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276" w:lineRule="auto"/>
        <w:jc w:val="center"/>
      </w:pPr>
      <w:r>
        <w:rPr>
          <w:rFonts w:ascii="Times New Roman" w:hAnsi="Times New Roman"/>
          <w:b/>
          <w:color w:val="000000"/>
          <w:sz w:val="26"/>
        </w:rPr>
        <w:t>DUAL-STREAM SPATIAL AND FREQUENCY-DOMAIN DEEPFAKE VIDEO</w:t>
        <w:br/>
        <w:t>DETECTION USING EFFICIENTNET-B4 AND</w:t>
        <w:br/>
        <w:t>DISCRETE COSINE TRANSFORM (DCT)</w:t>
      </w:r>
    </w:p>
    <w:p>
      <w:pPr>
        <w:spacing w:before="80" w:after="120"/>
        <w:pBdr>
          <w:bottom w:val="single" w:sz="12" w:space="1" w:color="B8860B"/>
        </w:pBdr>
      </w:pPr>
    </w:p>
    <w:p>
      <w:pPr>
        <w:spacing w:before="120" w:after="200"/>
        <w:jc w:val="center"/>
      </w:pPr>
      <w:r>
        <w:rPr>
          <w:rFonts w:ascii="Times New Roman" w:hAnsi="Times New Roman"/>
          <w:b/>
          <w:color w:val="1A365D"/>
          <w:sz w:val="32"/>
        </w:rPr>
        <w:t>MINI PROJECT SYNOPSIS</w:t>
      </w:r>
    </w:p>
    <w:p>
      <w:pPr>
        <w:spacing w:before="40" w:after="40"/>
        <w:jc w:val="center"/>
      </w:pPr>
      <w:r>
        <w:rPr>
          <w:rFonts w:ascii="Times New Roman" w:hAnsi="Times New Roman"/>
          <w:i/>
          <w:sz w:val="20"/>
        </w:rPr>
        <w:t>Submitted in partial fulfilment of the requirement for the award of the degree of</w:t>
      </w:r>
    </w:p>
    <w:p>
      <w:pPr>
        <w:spacing w:before="40" w:after="40"/>
        <w:jc w:val="center"/>
      </w:pPr>
      <w:r>
        <w:rPr>
          <w:rFonts w:ascii="Times New Roman" w:hAnsi="Times New Roman"/>
          <w:b/>
          <w:sz w:val="25"/>
        </w:rPr>
        <w:t>Bachelor of Technology</w:t>
      </w:r>
    </w:p>
    <w:p>
      <w:pPr>
        <w:spacing w:before="0" w:after="40"/>
        <w:jc w:val="center"/>
      </w:pPr>
      <w:r>
        <w:rPr>
          <w:rFonts w:ascii="Times New Roman" w:hAnsi="Times New Roman"/>
          <w:sz w:val="20"/>
        </w:rPr>
        <w:t>in</w:t>
      </w:r>
    </w:p>
    <w:p>
      <w:pPr>
        <w:spacing w:before="0" w:after="160"/>
        <w:jc w:val="center"/>
      </w:pPr>
      <w:r>
        <w:rPr>
          <w:rFonts w:ascii="Times New Roman" w:hAnsi="Times New Roman"/>
          <w:b/>
          <w:color w:val="8B0000"/>
          <w:sz w:val="23"/>
        </w:rPr>
        <w:t>Computer Science &amp; Engineering - AIML</w:t>
      </w:r>
    </w:p>
    <w:p>
      <w:pPr>
        <w:spacing w:before="80" w:after="40"/>
        <w:jc w:val="center"/>
      </w:pPr>
      <w:r>
        <w:rPr>
          <w:rFonts w:ascii="Times New Roman" w:hAnsi="Times New Roman"/>
          <w:sz w:val="19"/>
        </w:rPr>
        <w:t>Submitted to</w:t>
      </w:r>
    </w:p>
    <w:p>
      <w:pPr>
        <w:spacing w:before="0" w:after="200"/>
        <w:jc w:val="center"/>
      </w:pPr>
      <w:r>
        <w:rPr>
          <w:rFonts w:ascii="Times New Roman" w:hAnsi="Times New Roman"/>
          <w:b/>
          <w:sz w:val="20"/>
        </w:rPr>
        <w:t>DR. A.P.J. ABDUL KALAM TECHNICAL UNIVERSITY, UTTAR PRADESH, LUCKNOW</w:t>
      </w:r>
    </w:p>
    <w:p>
      <w:pPr>
        <w:spacing w:before="40" w:after="200"/>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960120" cy="960120"/>
                    </a:xfrm>
                    <a:prstGeom prst="rect"/>
                  </pic:spPr>
                </pic:pic>
              </a:graphicData>
            </a:graphic>
          </wp:inline>
        </w:drawing>
      </w:r>
    </w:p>
    <w:tbl>
      <w:tblPr>
        <w:tblW w:type="auto" w:w="0"/>
        <w:jc w:val="center"/>
        <w:tblLook w:firstColumn="1" w:firstRow="1" w:lastColumn="0" w:lastRow="0" w:noHBand="0" w:noVBand="1" w:val="04A0"/>
      </w:tblPr>
      <w:tblGrid>
        <w:gridCol w:w="4514"/>
        <w:gridCol w:w="4514"/>
      </w:tblGrid>
      <w:tr>
        <w:tc>
          <w:tcPr>
            <w:tcW w:type="dxa" w:w="4464"/>
            <w:tcBorders>
              <w:top w:val="none" w:sz="4" w:space="0" w:color="888888"/>
              <w:bottom w:val="none" w:sz="4" w:space="0" w:color="888888"/>
              <w:left w:val="none" w:sz="4" w:space="0" w:color="888888"/>
              <w:right w:val="none" w:sz="4" w:space="0" w:color="888888"/>
            </w:tcBorders>
          </w:tcPr>
          <w:p>
            <w:pPr>
              <w:spacing w:line="276" w:lineRule="auto"/>
              <w:jc w:val="center"/>
            </w:pPr>
            <w:r>
              <w:rPr>
                <w:rFonts w:ascii="Times New Roman" w:hAnsi="Times New Roman"/>
                <w:b/>
                <w:sz w:val="21"/>
              </w:rPr>
              <w:t>Submitted by</w:t>
              <w:br/>
            </w:r>
            <w:r>
              <w:rPr>
                <w:rFonts w:ascii="Times New Roman" w:hAnsi="Times New Roman"/>
                <w:b/>
                <w:sz w:val="20"/>
              </w:rPr>
              <w:t>Dev Rana Kaila</w:t>
              <w:br/>
            </w:r>
            <w:r>
              <w:rPr>
                <w:rFonts w:ascii="Times New Roman" w:hAnsi="Times New Roman"/>
                <w:sz w:val="20"/>
              </w:rPr>
              <w:t>2301531530023</w:t>
              <w:br/>
            </w:r>
            <w:r>
              <w:rPr>
                <w:rFonts w:ascii="Times New Roman" w:hAnsi="Times New Roman"/>
                <w:sz w:val="20"/>
              </w:rPr>
              <w:t>A</w:t>
            </w:r>
          </w:p>
        </w:tc>
        <w:tc>
          <w:tcPr>
            <w:tcW w:type="dxa" w:w="4464"/>
            <w:tcBorders>
              <w:top w:val="none" w:sz="4" w:space="0" w:color="888888"/>
              <w:bottom w:val="none" w:sz="4" w:space="0" w:color="888888"/>
              <w:left w:val="none" w:sz="4" w:space="0" w:color="888888"/>
              <w:right w:val="none" w:sz="4" w:space="0" w:color="888888"/>
            </w:tcBorders>
          </w:tcPr>
          <w:p>
            <w:pPr>
              <w:spacing w:line="276" w:lineRule="auto"/>
              <w:jc w:val="center"/>
            </w:pPr>
            <w:r>
              <w:rPr>
                <w:rFonts w:ascii="Times New Roman" w:hAnsi="Times New Roman"/>
                <w:b/>
                <w:sz w:val="21"/>
              </w:rPr>
              <w:t>Under the Supervision of</w:t>
              <w:br/>
            </w:r>
            <w:r>
              <w:rPr>
                <w:rFonts w:ascii="Times New Roman" w:hAnsi="Times New Roman"/>
                <w:sz w:val="20"/>
              </w:rPr>
              <w:t>Associate Professor</w:t>
              <w:br/>
            </w:r>
            <w:r>
              <w:rPr>
                <w:rFonts w:ascii="Times New Roman" w:hAnsi="Times New Roman"/>
                <w:b/>
                <w:sz w:val="20"/>
              </w:rPr>
              <w:t>Dr. Devendra Gautam</w:t>
            </w:r>
          </w:p>
        </w:tc>
      </w:tr>
    </w:tbl>
    <w:p>
      <w:pPr>
        <w:spacing w:before="160" w:after="120"/>
        <w:jc w:val="center"/>
      </w:pPr>
      <w:r>
        <w:drawing>
          <wp:inline xmlns:a="http://schemas.openxmlformats.org/drawingml/2006/main" xmlns:pic="http://schemas.openxmlformats.org/drawingml/2006/picture">
            <wp:extent cx="868680" cy="86296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868680" cy="862965"/>
                    </a:xfrm>
                    <a:prstGeom prst="rect"/>
                  </pic:spPr>
                </pic:pic>
              </a:graphicData>
            </a:graphic>
          </wp:inline>
        </w:drawing>
      </w:r>
    </w:p>
    <w:p>
      <w:pPr>
        <w:spacing w:before="80" w:after="120"/>
        <w:pBdr>
          <w:bottom w:val="single" w:sz="12" w:space="1" w:color="B8860B"/>
        </w:pBdr>
      </w:pPr>
    </w:p>
    <w:p>
      <w:pPr>
        <w:spacing w:before="40" w:after="40" w:line="276" w:lineRule="auto"/>
        <w:jc w:val="center"/>
      </w:pPr>
      <w:r>
        <w:rPr>
          <w:rFonts w:ascii="Times New Roman" w:hAnsi="Times New Roman"/>
          <w:b/>
          <w:sz w:val="21"/>
        </w:rPr>
        <w:t>Department of Computer Science &amp; Engineering</w:t>
        <w:br/>
      </w:r>
      <w:r>
        <w:rPr>
          <w:rFonts w:ascii="Times New Roman" w:hAnsi="Times New Roman"/>
          <w:b/>
          <w:color w:val="8B0000"/>
          <w:sz w:val="22"/>
        </w:rPr>
        <w:t>Lloyd Institute of Engineering &amp; Technology</w:t>
        <w:br/>
      </w:r>
      <w:r>
        <w:rPr>
          <w:rFonts w:ascii="Times New Roman" w:hAnsi="Times New Roman"/>
          <w:sz w:val="18"/>
        </w:rPr>
        <w:t>Plot No. 3, Knowledge Park II, Greater Noida, Uttar Pradesh 201306</w:t>
        <w:br/>
      </w:r>
    </w:p>
    <w:p>
      <w:pPr>
        <w:spacing w:before="80" w:after="0"/>
        <w:jc w:val="center"/>
      </w:pPr>
      <w:r>
        <w:rPr>
          <w:rFonts w:ascii="Times New Roman" w:hAnsi="Times New Roman"/>
          <w:b/>
          <w:sz w:val="21"/>
        </w:rPr>
        <w:t>Session: 2026-27</w:t>
      </w:r>
    </w:p>
    <w:p>
      <w:r>
        <w:br w:type="page"/>
      </w:r>
    </w:p>
    <w:p>
      <w:pPr>
        <w:spacing w:before="360" w:after="360"/>
        <w:jc w:val="center"/>
      </w:pPr>
      <w:r>
        <w:rPr>
          <w:rFonts w:ascii="Times New Roman" w:hAnsi="Times New Roman"/>
          <w:b/>
          <w:sz w:val="30"/>
        </w:rPr>
        <w:t>INDEX</w:t>
      </w:r>
    </w:p>
    <w:tbl>
      <w:tblPr>
        <w:tblW w:type="auto" w:w="0"/>
        <w:jc w:val="center"/>
        <w:tblLook w:firstColumn="1" w:firstRow="1" w:lastColumn="0" w:lastRow="0" w:noHBand="0" w:noVBand="1" w:val="04A0"/>
      </w:tblPr>
      <w:tblGrid>
        <w:gridCol w:w="3010"/>
        <w:gridCol w:w="3010"/>
        <w:gridCol w:w="3010"/>
      </w:tblGrid>
      <w:tr>
        <w:tc>
          <w:tcPr>
            <w:tcW w:type="dxa" w:w="1728"/>
            <w:tcMar>
              <w:top w:w="100" w:type="dxa"/>
              <w:bottom w:w="100" w:type="dxa"/>
              <w:left w:w="100" w:type="dxa"/>
              <w:right w:w="10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20"/>
              </w:rPr>
              <w:t>S. No.</w:t>
            </w:r>
          </w:p>
        </w:tc>
        <w:tc>
          <w:tcPr>
            <w:tcW w:type="dxa" w:w="5184"/>
            <w:tcMar>
              <w:top w:w="100" w:type="dxa"/>
              <w:bottom w:w="100" w:type="dxa"/>
              <w:left w:w="100" w:type="dxa"/>
              <w:right w:w="10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20"/>
              </w:rPr>
              <w:t>Topic / Section</w:t>
            </w:r>
          </w:p>
        </w:tc>
        <w:tc>
          <w:tcPr>
            <w:tcW w:type="dxa" w:w="2160"/>
            <w:tcMar>
              <w:top w:w="100" w:type="dxa"/>
              <w:bottom w:w="100" w:type="dxa"/>
              <w:left w:w="100" w:type="dxa"/>
              <w:right w:w="10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20"/>
              </w:rPr>
              <w:t>Page Range</w:t>
            </w:r>
          </w:p>
        </w:tc>
      </w:tr>
      <w:tr>
        <w:tc>
          <w:tcPr>
            <w:tcW w:type="dxa" w:w="1728"/>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1</w:t>
            </w:r>
          </w:p>
        </w:tc>
        <w:tc>
          <w:tcPr>
            <w:tcW w:type="dxa" w:w="5184"/>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9"/>
              </w:rPr>
              <w:t>Introduction (Background, Technology, Domain &amp; Key Terms)</w:t>
            </w:r>
          </w:p>
        </w:tc>
        <w:tc>
          <w:tcPr>
            <w:tcW w:type="dxa" w:w="2160"/>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1 - 2</w:t>
            </w:r>
          </w:p>
        </w:tc>
      </w:tr>
      <w:tr>
        <w:tc>
          <w:tcPr>
            <w:tcW w:type="dxa" w:w="1728"/>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2</w:t>
            </w:r>
          </w:p>
        </w:tc>
        <w:tc>
          <w:tcPr>
            <w:tcW w:type="dxa" w:w="5184"/>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9"/>
              </w:rPr>
              <w:t>Statement of Problem and Objectives (8 Core Objectives)</w:t>
            </w:r>
          </w:p>
        </w:tc>
        <w:tc>
          <w:tcPr>
            <w:tcW w:type="dxa" w:w="2160"/>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3 - 4</w:t>
            </w:r>
          </w:p>
        </w:tc>
      </w:tr>
      <w:tr>
        <w:tc>
          <w:tcPr>
            <w:tcW w:type="dxa" w:w="1728"/>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3</w:t>
            </w:r>
          </w:p>
        </w:tc>
        <w:tc>
          <w:tcPr>
            <w:tcW w:type="dxa" w:w="5184"/>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9"/>
              </w:rPr>
              <w:t>Literature Survey (State-of-the-Art &amp; Comparative Matrix)</w:t>
            </w:r>
          </w:p>
        </w:tc>
        <w:tc>
          <w:tcPr>
            <w:tcW w:type="dxa" w:w="2160"/>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5 - 6</w:t>
            </w:r>
          </w:p>
        </w:tc>
      </w:tr>
      <w:tr>
        <w:tc>
          <w:tcPr>
            <w:tcW w:type="dxa" w:w="1728"/>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4</w:t>
            </w:r>
          </w:p>
        </w:tc>
        <w:tc>
          <w:tcPr>
            <w:tcW w:type="dxa" w:w="5184"/>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9"/>
              </w:rPr>
              <w:t>Expected Outcome / Scope of the Project</w:t>
            </w:r>
          </w:p>
        </w:tc>
        <w:tc>
          <w:tcPr>
            <w:tcW w:type="dxa" w:w="2160"/>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7</w:t>
            </w:r>
          </w:p>
        </w:tc>
      </w:tr>
      <w:tr>
        <w:tc>
          <w:tcPr>
            <w:tcW w:type="dxa" w:w="1728"/>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5</w:t>
            </w:r>
          </w:p>
        </w:tc>
        <w:tc>
          <w:tcPr>
            <w:tcW w:type="dxa" w:w="5184"/>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9"/>
              </w:rPr>
              <w:t>Tentative Work Plan (Week-wise 12-Week Milestone Schedule)</w:t>
            </w:r>
          </w:p>
        </w:tc>
        <w:tc>
          <w:tcPr>
            <w:tcW w:type="dxa" w:w="2160"/>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8 - 9</w:t>
            </w:r>
          </w:p>
        </w:tc>
      </w:tr>
      <w:tr>
        <w:tc>
          <w:tcPr>
            <w:tcW w:type="dxa" w:w="1728"/>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6</w:t>
            </w:r>
          </w:p>
        </w:tc>
        <w:tc>
          <w:tcPr>
            <w:tcW w:type="dxa" w:w="5184"/>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9"/>
              </w:rPr>
              <w:t>Software / Hardware Required</w:t>
            </w:r>
          </w:p>
        </w:tc>
        <w:tc>
          <w:tcPr>
            <w:tcW w:type="dxa" w:w="2160"/>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10</w:t>
            </w:r>
          </w:p>
        </w:tc>
      </w:tr>
      <w:tr>
        <w:tc>
          <w:tcPr>
            <w:tcW w:type="dxa" w:w="1728"/>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7</w:t>
            </w:r>
          </w:p>
        </w:tc>
        <w:tc>
          <w:tcPr>
            <w:tcW w:type="dxa" w:w="5184"/>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9"/>
              </w:rPr>
              <w:t>References (Standard IEEE / Academic Citation Style)</w:t>
            </w:r>
          </w:p>
        </w:tc>
        <w:tc>
          <w:tcPr>
            <w:tcW w:type="dxa" w:w="2160"/>
            <w:tcMar>
              <w:top w:w="100" w:type="dxa"/>
              <w:bottom w:w="100" w:type="dxa"/>
              <w:left w:w="100" w:type="dxa"/>
              <w:right w:w="100" w:type="dxa"/>
            </w:tcMar>
            <w:tcBorders>
              <w:top w:val="single" w:sz="4" w:space="0" w:color="555555"/>
              <w:bottom w:val="single" w:sz="4" w:space="0" w:color="555555"/>
              <w:left w:val="single" w:sz="4" w:space="0" w:color="555555"/>
              <w:right w:val="single" w:sz="4" w:space="0" w:color="555555"/>
            </w:tcBorders>
          </w:tcPr>
          <w:p>
            <w:pPr>
              <w:spacing w:before="40" w:after="40"/>
              <w:jc w:val="center"/>
            </w:pPr>
            <w:r>
              <w:rPr>
                <w:rFonts w:ascii="Times New Roman" w:hAnsi="Times New Roman"/>
                <w:sz w:val="19"/>
              </w:rPr>
              <w:t>11</w:t>
            </w:r>
          </w:p>
        </w:tc>
      </w:tr>
    </w:tbl>
    <w:p>
      <w:pPr>
        <w:spacing w:before="2400" w:after="0" w:line="276" w:lineRule="auto"/>
      </w:pPr>
      <w:r>
        <w:rPr>
          <w:rFonts w:ascii="Times New Roman" w:hAnsi="Times New Roman"/>
          <w:b/>
          <w:sz w:val="20"/>
        </w:rPr>
        <w:t>Student's Signature: ____________________________          Guide's Signature: ____________________________</w:t>
      </w:r>
    </w:p>
    <w:p>
      <w:pPr>
        <w:sectPr>
          <w:pgSz w:w="11909" w:h="16834"/>
          <w:pgMar w:top="1152" w:right="1440" w:bottom="1152" w:left="1440" w:header="720" w:footer="720" w:gutter="0"/>
          <w:cols w:space="720"/>
          <w:docGrid w:linePitch="360"/>
        </w:sectPr>
      </w:pPr>
    </w:p>
    <w:p>
      <w:pPr>
        <w:keepNext/>
        <w:spacing w:before="280" w:after="120"/>
      </w:pPr>
      <w:r>
        <w:rPr>
          <w:rFonts w:ascii="Times New Roman" w:hAnsi="Times New Roman"/>
          <w:b/>
          <w:color w:val="000000"/>
          <w:sz w:val="26"/>
        </w:rPr>
        <w:t>1. INTRODUCTION</w:t>
      </w:r>
    </w:p>
    <w:p>
      <w:pPr>
        <w:keepNext/>
        <w:spacing w:before="200" w:after="80"/>
      </w:pPr>
      <w:r>
        <w:rPr>
          <w:rFonts w:ascii="Times New Roman" w:hAnsi="Times New Roman"/>
          <w:b/>
          <w:color w:val="000000"/>
          <w:sz w:val="23"/>
        </w:rPr>
        <w:t>1.1 Project Background and Domain</w:t>
      </w:r>
    </w:p>
    <w:p>
      <w:pPr>
        <w:spacing w:before="0" w:after="120" w:line="276" w:lineRule="auto"/>
        <w:jc w:val="both"/>
      </w:pPr>
      <w:r>
        <w:rPr>
          <w:rFonts w:ascii="Times New Roman" w:hAnsi="Times New Roman"/>
          <w:sz w:val="21"/>
        </w:rPr>
        <w:t>The explosive advancement of deep learning generative models - specifically Generative Adversarial Networks (GANs), Variational Autoencoders (VAEs), and Diffusion Models - has democratized the synthesis of hyper-realistic digital video manipulations, colloquially termed 'deepfakes'. By swapping facial identities, reenacting expressions, and synthesizing non-existent events with photo-realistic fidelity, these generative techniques pose severe threats to digital forensics, democratic elections, financial Know-Your-Customer (KYC) authentication, and judicial integrity.</w:t>
      </w:r>
    </w:p>
    <w:p>
      <w:pPr>
        <w:spacing w:before="0" w:after="120" w:line="276" w:lineRule="auto"/>
        <w:jc w:val="both"/>
      </w:pPr>
      <w:r>
        <w:rPr>
          <w:rFonts w:ascii="Times New Roman" w:hAnsi="Times New Roman"/>
          <w:sz w:val="21"/>
        </w:rPr>
        <w:t>However, real-world deepfake verification systems face fundamental physical trade-offs when deployed outside controlled laboratory settings. In commercial dissemination pipelines (such as WhatsApp, YouTube, X, and Instagram), high-resolution video streams are subjected to aggressive lossy compression standards (e.g., H.264/AVC and H.265/HEVC at constant rate factors of c23 and c40). While compression reduces bandwidth consumption, it smooths out spatial pixel boundaries and obliterates the subtle visual artifacts (e.g., blending seams, color mismatches, and skin-pore anomalies) upon which conventional spatial convolutional neural networks rely. Consequently, state-of-the-art spatial detectors experience catastrophic accuracy degradation (dropping by 25% to 35%), yielding intolerable false-negative rates in forensic operations.</w:t>
      </w:r>
    </w:p>
    <w:p>
      <w:pPr>
        <w:keepNext/>
        <w:spacing w:before="200" w:after="80"/>
      </w:pPr>
      <w:r>
        <w:rPr>
          <w:rFonts w:ascii="Times New Roman" w:hAnsi="Times New Roman"/>
          <w:b/>
          <w:color w:val="000000"/>
          <w:sz w:val="23"/>
        </w:rPr>
        <w:t>1.2 Technology Used and Deep Learning Approach</w:t>
      </w:r>
    </w:p>
    <w:p>
      <w:pPr>
        <w:spacing w:before="0" w:after="120" w:line="276" w:lineRule="auto"/>
        <w:jc w:val="both"/>
      </w:pPr>
      <w:r>
        <w:rPr>
          <w:rFonts w:ascii="Times New Roman" w:hAnsi="Times New Roman"/>
          <w:sz w:val="21"/>
        </w:rPr>
        <w:t>To overcome the severe degradation of spatial pixel artifacts under video compression, learned computational signal analysis has emerged as a transformative paradigm. Rather than relying solely on spatial RGB pixel tensors, neural networks can uncover persistent mathematical invariants by analyzing video frames across orthogonal spectral representations.</w:t>
      </w:r>
    </w:p>
    <w:p>
      <w:pPr>
        <w:spacing w:before="0" w:after="120" w:line="276" w:lineRule="auto"/>
        <w:jc w:val="both"/>
      </w:pPr>
      <w:r>
        <w:rPr>
          <w:rFonts w:ascii="Times New Roman" w:hAnsi="Times New Roman"/>
          <w:sz w:val="21"/>
        </w:rPr>
        <w:t>This project develops a state-of-the-art forensic detection framework entitled DeepGuard AI. The architecture operates end-to-end to simultaneously solve two major computer vision challenges: (1) extracting fine-grained semantic visual anomalies across facial crops via a compound-scaled EfficientNet-B4 spatial convolutional backbone (19.3M parameters), and (2) capturing periodic frequency-domain grid discrepancies left by generative upsampling operations (transposed convolutions) via 2D Discrete Cosine Transform Type-II (2D-DCT-II) paired with a 4-stage depthwise separable Spectral-CNN (2.8M parameters). The network leverages an Attention-Gated Bilinear Fusion mechanism to dynamically balance spatial versus frequency confidence, shifting trust toward the frequency stream under heavy lossy compression.</w:t>
      </w:r>
    </w:p>
    <w:p>
      <w:pPr>
        <w:keepNext/>
        <w:spacing w:before="200" w:after="80"/>
      </w:pPr>
      <w:r>
        <w:rPr>
          <w:rFonts w:ascii="Times New Roman" w:hAnsi="Times New Roman"/>
          <w:b/>
          <w:color w:val="000000"/>
          <w:sz w:val="23"/>
        </w:rPr>
        <w:t>1.3 Important Technical Terms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Deepfake Video Synthesis: </w:t>
      </w:r>
      <w:r>
        <w:rPr>
          <w:rFonts w:ascii="Times New Roman" w:hAnsi="Times New Roman"/>
          <w:sz w:val="21"/>
        </w:rPr>
        <w:t>The automated computational generation, replacement, or reenactment of human facial attributes, identities, and expressions using deep generative neural networks.</w:t>
      </w:r>
    </w:p>
    <w:p>
      <w:r>
        <w:br w:type="page"/>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Spatial-Domain Feature Extraction: </w:t>
      </w:r>
      <w:r>
        <w:rPr>
          <w:rFonts w:ascii="Times New Roman" w:hAnsi="Times New Roman"/>
          <w:sz w:val="21"/>
        </w:rPr>
        <w:t>The analysis of raw RGB image matrices to detect local pixel incoherencies, edge disparities, facial landmark jitter, and unnatural texture boundaries.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Discrete Cosine Transform (2D-DCT-II): </w:t>
      </w:r>
      <w:r>
        <w:rPr>
          <w:rFonts w:ascii="Times New Roman" w:hAnsi="Times New Roman"/>
          <w:sz w:val="21"/>
        </w:rPr>
        <w:t>A mathematical signal transformation that decomposes a spatial image into a finite sum of orthogonal cosine oscillations, concentrating spatial energy into compact low-, mid-, and high-frequency spectral coefficients.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Log Power Spectrum: </w:t>
      </w:r>
      <w:r>
        <w:rPr>
          <w:rFonts w:ascii="Times New Roman" w:hAnsi="Times New Roman"/>
          <w:sz w:val="21"/>
        </w:rPr>
        <w:t>A logarithmic spectral representation S(u,v) = log(1 + |D(u,v)|^2) designed to amplify high-frequency textural variance and expose periodic grid artifacts characteristic of GAN upsampling.</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Transposed Convolution Artifacts: </w:t>
      </w:r>
      <w:r>
        <w:rPr>
          <w:rFonts w:ascii="Times New Roman" w:hAnsi="Times New Roman"/>
          <w:sz w:val="21"/>
        </w:rPr>
        <w:t>Periodic, high-frequency checkerboard grid patterns inadvertently introduced into synthetic images by deconvolutional and transposed convolutional upsampling layers.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Attention-Gated Bilinear Fusion: </w:t>
      </w:r>
      <w:r>
        <w:rPr>
          <w:rFonts w:ascii="Times New Roman" w:hAnsi="Times New Roman"/>
          <w:sz w:val="21"/>
        </w:rPr>
        <w:t>A parameter-efficient cross-domain gating mechanism that computes a dynamic scalar gating factor alpha in [0, 1] to adaptively weight spatial and frequency feature vectors based on video degradation.</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Depthwise Separable Convolution: </w:t>
      </w:r>
      <w:r>
        <w:rPr>
          <w:rFonts w:ascii="Times New Roman" w:hAnsi="Times New Roman"/>
          <w:sz w:val="21"/>
        </w:rPr>
        <w:t>A factorized spatial filtering operation that splits standard convolution into a depthwise spatial filter and a pointwise (1×1) projection, reducing computational complexity and Multiply-Accumulate (MAC) operations.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Grad-CAM (Gradient-weighted Class Activation Mapping): </w:t>
      </w:r>
      <w:r>
        <w:rPr>
          <w:rFonts w:ascii="Times New Roman" w:hAnsi="Times New Roman"/>
          <w:sz w:val="21"/>
        </w:rPr>
        <w:t>An Explainable AI (XAI) methodology that visualizes the gradients of a target prediction flowing into the final convolutional feature maps, producing coarse localization heatmaps highlighting manipulated facial regions.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AUC-ROC (Area Under the Receiver Operating Characteristic Curve): </w:t>
      </w:r>
      <w:r>
        <w:rPr>
          <w:rFonts w:ascii="Times New Roman" w:hAnsi="Times New Roman"/>
          <w:sz w:val="21"/>
        </w:rPr>
        <w:t>A standard threshold-independent classification metric evaluating the trade-off between True Positive Rate (Sensitivity) and False Positive Rate across all decision boundaries.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Temporal Consistency Analysis: </w:t>
      </w:r>
      <w:r>
        <w:rPr>
          <w:rFonts w:ascii="Times New Roman" w:hAnsi="Times New Roman"/>
          <w:sz w:val="21"/>
        </w:rPr>
        <w:t>The evaluation of frame-by-frame prediction trajectories across consecutive video sequences to detect transient flickers, splicing discontinuities, and facial bounding jitter.</w:t>
      </w:r>
    </w:p>
    <w:p>
      <w:r>
        <w:br w:type="page"/>
      </w:r>
    </w:p>
    <w:p>
      <w:pPr>
        <w:keepNext/>
        <w:spacing w:before="280" w:after="120"/>
      </w:pPr>
      <w:r>
        <w:rPr>
          <w:rFonts w:ascii="Times New Roman" w:hAnsi="Times New Roman"/>
          <w:b/>
          <w:color w:val="000000"/>
          <w:sz w:val="26"/>
        </w:rPr>
        <w:t>2. STATEMENT OF PROBLEM AND OBJECTIVES</w:t>
      </w:r>
    </w:p>
    <w:p>
      <w:pPr>
        <w:keepNext/>
        <w:spacing w:before="200" w:after="80"/>
      </w:pPr>
      <w:r>
        <w:rPr>
          <w:rFonts w:ascii="Times New Roman" w:hAnsi="Times New Roman"/>
          <w:b/>
          <w:color w:val="000000"/>
          <w:sz w:val="23"/>
        </w:rPr>
        <w:t>2.1 Problem Statement</w:t>
      </w:r>
    </w:p>
    <w:p>
      <w:pPr>
        <w:spacing w:before="0" w:after="120" w:line="276" w:lineRule="auto"/>
        <w:jc w:val="both"/>
      </w:pPr>
      <w:r>
        <w:rPr>
          <w:rFonts w:ascii="Times New Roman" w:hAnsi="Times New Roman"/>
          <w:sz w:val="21"/>
        </w:rPr>
        <w:t>In digital media forensics, FinTech identity onboarding, and judicial verification, automated video authenticity inspection systems operate under strict physical latency and transmission constraints. Video content transmitted across social messaging channels and digital networks is subjected to heavy lossy compression standards (H.264/H.265 at CRF 23 and CRF 40). These lossy compression codecs selectively discard subtle high-frequency spatial gradients, destroying the edge and skin-texture artifacts that standard RGB convolutional detectors rely upon. Consequently, unimodal spatial CNNs suffer severe accuracy drops (falling from 98% on uncompressed captures to below 65% on c40 media).</w:t>
      </w:r>
    </w:p>
    <w:p>
      <w:pPr>
        <w:spacing w:before="0" w:after="120" w:line="276" w:lineRule="auto"/>
        <w:jc w:val="both"/>
      </w:pPr>
      <w:r>
        <w:rPr>
          <w:rFonts w:ascii="Times New Roman" w:hAnsi="Times New Roman"/>
          <w:sz w:val="21"/>
        </w:rPr>
        <w:t>Concurrently, generative neural networks introduce periodic spectral grid anomalies in the frequency domain as a mathematical byproduct of transposed convolutional upsampling. While these spectral fingerprints persist even after severe lossy compression, existing detectors operate in isolation, failing to unify spatial semantics with spectral invariants. Furthermore, contemporary models act as opaque 'black-boxes' devoid of localized visual explanations and suffer from high computational latency (&gt;200 ms/frame), rendering them unviable for real-time edge forensic triage.</w:t>
      </w:r>
    </w:p>
    <w:p>
      <w:pPr>
        <w:spacing w:before="0" w:after="120" w:line="276" w:lineRule="auto"/>
        <w:jc w:val="both"/>
      </w:pPr>
      <w:r>
        <w:rPr>
          <w:rFonts w:ascii="Times New Roman" w:hAnsi="Times New Roman"/>
          <w:sz w:val="21"/>
        </w:rPr>
        <w:t>Therefore, the core problem addressed in this project is to develop and validate a lightweight, robust, dual-stream deep learning pipeline capable of joint spatial-semantic and frequency-spectral analysis - maintaining high detection accuracy across uncompressed, lightly compressed (c23), and heavily compressed (c40) video streams, while providing interpretable Grad-CAM visual heatmaps, sub-50ms inference latency, and certified PDF forensic reports.</w:t>
      </w:r>
    </w:p>
    <w:p>
      <w:pPr>
        <w:keepNext/>
        <w:spacing w:before="200" w:after="80"/>
      </w:pPr>
      <w:r>
        <w:rPr>
          <w:rFonts w:ascii="Times New Roman" w:hAnsi="Times New Roman"/>
          <w:b/>
          <w:color w:val="000000"/>
          <w:sz w:val="23"/>
        </w:rPr>
        <w:t>2.2 Project Objectives</w:t>
      </w:r>
    </w:p>
    <w:p>
      <w:pPr>
        <w:spacing w:before="0" w:after="120" w:line="276" w:lineRule="auto"/>
        <w:jc w:val="both"/>
      </w:pPr>
      <w:r>
        <w:rPr>
          <w:rFonts w:ascii="Times New Roman" w:hAnsi="Times New Roman"/>
          <w:sz w:val="21"/>
        </w:rPr>
        <w:t>To systematically solve the problem statement, the project is structured around the following concrete objectives: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Objective 1  -  Multi-Stream Ingestion &amp; Facial Landmark Tracking: </w:t>
      </w:r>
      <w:r>
        <w:rPr>
          <w:rFonts w:ascii="Times New Roman" w:hAnsi="Times New Roman"/>
          <w:sz w:val="21"/>
        </w:rPr>
        <w:t>Design and implement a robust video demuxing pipeline utilizing uniform temporal sampling (5 FPS) and multi-task cascaded convolutional networks (MTCNN) with 25% boundary expansion for normalized 380×380 face crops.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Objective 2  -  Spatial Semantic Feature Extraction: </w:t>
      </w:r>
      <w:r>
        <w:rPr>
          <w:rFonts w:ascii="Times New Roman" w:hAnsi="Times New Roman"/>
          <w:sz w:val="21"/>
        </w:rPr>
        <w:t>Engineer a spatial representation pipeline using a compound-scaled EfficientNet-B4 backbone (19.3M parameters) to extract 1792-dimensional embeddings capturing facial boundaries, blending inconsistencies, and textural irregularities.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Objective 3  -  2D-DCT-II Mathematical Spectral Decomposition: </w:t>
      </w:r>
      <w:r>
        <w:rPr>
          <w:rFonts w:ascii="Times New Roman" w:hAnsi="Times New Roman"/>
          <w:sz w:val="21"/>
        </w:rPr>
        <w:t>Formulate an optimized mathematical transform module computing full-frame 2D Discrete Cosine Transform (DCT-II) and logarithmic power spectrum S(u,v) = log(1 + |D(u,v)|^2) to isolate periodic GAN upsampling grid fingerprints.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Objective 4  -  Lightweight Spectral-CNN Architecture: </w:t>
      </w:r>
      <w:r>
        <w:rPr>
          <w:rFonts w:ascii="Times New Roman" w:hAnsi="Times New Roman"/>
          <w:sz w:val="21"/>
        </w:rPr>
        <w:t>Design and train a 4-stage depthwise separable Spectral Convolutional Neural Network (2.8M parameters) operating on spectral inputs to output 512-dimensional frequency representation vectors.</w:t>
      </w:r>
    </w:p>
    <w:p>
      <w:r>
        <w:br w:type="page"/>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Objective 5  -  Attention-Gated Bilinear Fusion: </w:t>
      </w:r>
      <w:r>
        <w:rPr>
          <w:rFonts w:ascii="Times New Roman" w:hAnsi="Times New Roman"/>
          <w:sz w:val="21"/>
        </w:rPr>
        <w:t>Formulate a parameter-efficient cross-domain gating mechanism that dynamically computes a scalar gating weight alpha in [0, 1], automatically shifting fusion trust toward the frequency stream under heavy video compression.</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Objective 6  -  Synchronized Dual-Branch Grad-CAM Visual Explainability: </w:t>
      </w:r>
      <w:r>
        <w:rPr>
          <w:rFonts w:ascii="Times New Roman" w:hAnsi="Times New Roman"/>
          <w:sz w:val="21"/>
        </w:rPr>
        <w:t>Implement a gradient-weighted class activation mapping (Grad-CAM) module that concurrently visualizes spatial facial manipulation regions and spectral frequency anomaly clusters to ensure court-admissible forensic interpretability.</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Objective 7  -  Empirical Benchmarking Across Compression Tiers: </w:t>
      </w:r>
      <w:r>
        <w:rPr>
          <w:rFonts w:ascii="Times New Roman" w:hAnsi="Times New Roman"/>
          <w:sz w:val="21"/>
        </w:rPr>
        <w:t>Execute rigorous quantitative validation on the standard FaceForensics++ benchmark across Raw, Light Compression (c23), and Heavy Compression (c40) tiers, and demonstrate cross-dataset generalization on the challenging Celeb-DF v2 dataset.</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Objective 8  -  Real-Time Web Deployment &amp; Forensic Archival: </w:t>
      </w:r>
      <w:r>
        <w:rPr>
          <w:rFonts w:ascii="Times New Roman" w:hAnsi="Times New Roman"/>
          <w:sz w:val="21"/>
        </w:rPr>
        <w:t>Develop an interactive Streamlit forensic verification portal delivering sub-50ms inference latency, animated authenticity gauges, 30-frame temporal consistency curves, and automated certified PDF forensic reports with SHA-256 cryptographic verification.</w:t>
      </w:r>
    </w:p>
    <w:p>
      <w:r>
        <w:br w:type="page"/>
      </w:r>
    </w:p>
    <w:p>
      <w:pPr>
        <w:keepNext/>
        <w:spacing w:before="280" w:after="120"/>
      </w:pPr>
      <w:r>
        <w:rPr>
          <w:rFonts w:ascii="Times New Roman" w:hAnsi="Times New Roman"/>
          <w:b/>
          <w:color w:val="000000"/>
          <w:sz w:val="26"/>
        </w:rPr>
        <w:t>3. LITERATURE SURVEY</w:t>
      </w:r>
    </w:p>
    <w:p>
      <w:pPr>
        <w:spacing w:before="0" w:after="120" w:line="276" w:lineRule="auto"/>
        <w:jc w:val="both"/>
      </w:pPr>
      <w:r>
        <w:rPr>
          <w:rFonts w:ascii="Times New Roman" w:hAnsi="Times New Roman"/>
          <w:sz w:val="21"/>
        </w:rPr>
        <w:t>Deepfake detection has evolved through distinct technological epochs - from hand-crafted biological inconsistency detectors (such as eye-blinking and head-pose analysis) to pure spatial convolutional networks, and recently toward frequency-domain signal processing. The following peer-reviewed foundational works represent the core literature informing this project:</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Rössler et al. (2019) - FaceForensics++ [IEEE ICCV]: </w:t>
      </w:r>
      <w:r>
        <w:rPr>
          <w:rFonts w:ascii="Times New Roman" w:hAnsi="Times New Roman"/>
          <w:sz w:val="21"/>
        </w:rPr>
        <w:t>Established the gold-standard forensic benchmark of 1.8M frames across four manipulation algorithms (Deepfakes, Face2Face, FaceSwap, NeuralTextures). The authors demonstrated that while spatial CNNs (XceptionNet) achieve 99% accuracy on raw video, their performance plummets by over 30% under c40 social media compression.</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Frank et al. (2020) - Frequency Analysis for Deepfake Recognition [PMLR ICML]: </w:t>
      </w:r>
      <w:r>
        <w:rPr>
          <w:rFonts w:ascii="Times New Roman" w:hAnsi="Times New Roman"/>
          <w:sz w:val="21"/>
        </w:rPr>
        <w:t>Proved that generative models (GANs, Autoencoders) employ transposed convolutions and bilinear interpolation during upsampling, which introduce persistent, periodic frequency grid discrepancies that remain detectable via 2D-DCT transforms even when spatial pixels are degraded.</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Qian et al. (2020) - Thinking in Frequency (F3-Net) [IEEE ECCV]: </w:t>
      </w:r>
      <w:r>
        <w:rPr>
          <w:rFonts w:ascii="Times New Roman" w:hAnsi="Times New Roman"/>
          <w:sz w:val="21"/>
        </w:rPr>
        <w:t>Demonstrated that dual-frequency decomposition (Frequency-Aware Decomposition and Local Frequency Statistics) provides remarkable cross-dataset robustness and compression resistance by isolating low- and high-frequency discrepancies.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Afchar et al. (2018) - MesoNet [IEEE WIFS]: </w:t>
      </w:r>
      <w:r>
        <w:rPr>
          <w:rFonts w:ascii="Times New Roman" w:hAnsi="Times New Roman"/>
          <w:sz w:val="21"/>
        </w:rPr>
        <w:t>Proposed compact mesoscopic neural architectures (Meso-4 and MesoInception-4) targeting microscopic image degradation. While computationally efficient, shallow networks fail to generalize across diverse GAN generator families.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Selvaraju et al. (2017) - Grad-CAM [IEEE ICCV]: </w:t>
      </w:r>
      <w:r>
        <w:rPr>
          <w:rFonts w:ascii="Times New Roman" w:hAnsi="Times New Roman"/>
          <w:sz w:val="21"/>
        </w:rPr>
        <w:t>Established gradient-weighted visual explanations for deep networks by projecting target gradients back onto final convolutional activation maps, providing necessary visual evidence for high-stakes decision verification.</w:t>
      </w:r>
    </w:p>
    <w:p>
      <w:pPr>
        <w:keepNext/>
        <w:spacing w:before="200" w:after="80"/>
      </w:pPr>
      <w:r>
        <w:rPr>
          <w:rFonts w:ascii="Times New Roman" w:hAnsi="Times New Roman"/>
          <w:b/>
          <w:color w:val="000000"/>
          <w:sz w:val="23"/>
        </w:rPr>
        <w:t>3.1 Comparative Analysis Matrix of Prior Works vs. Proposed Model</w:t>
      </w:r>
    </w:p>
    <w:tbl>
      <w:tblPr>
        <w:tblW w:type="auto" w:w="0"/>
        <w:jc w:val="center"/>
        <w:tblLook w:firstColumn="1" w:firstRow="1" w:lastColumn="0" w:lastRow="0" w:noHBand="0" w:noVBand="1" w:val="04A0"/>
      </w:tblPr>
      <w:tblGrid>
        <w:gridCol w:w="1806"/>
        <w:gridCol w:w="1806"/>
        <w:gridCol w:w="1806"/>
        <w:gridCol w:w="1806"/>
        <w:gridCol w:w="1806"/>
      </w:tblGrid>
      <w:tr>
        <w:tc>
          <w:tcPr>
            <w:tcW w:type="dxa" w:w="1728"/>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7"/>
              </w:rPr>
              <w:t>Approach / Model</w:t>
            </w:r>
          </w:p>
        </w:tc>
        <w:tc>
          <w:tcPr>
            <w:tcW w:type="dxa" w:w="1872"/>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7"/>
              </w:rPr>
              <w:t>Core Architecture</w:t>
            </w:r>
          </w:p>
        </w:tc>
        <w:tc>
          <w:tcPr>
            <w:tcW w:type="dxa" w:w="1728"/>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7"/>
              </w:rPr>
              <w:t>Computational Cost</w:t>
            </w:r>
          </w:p>
        </w:tc>
        <w:tc>
          <w:tcPr>
            <w:tcW w:type="dxa" w:w="1872"/>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7"/>
              </w:rPr>
              <w:t>Key Strength</w:t>
            </w:r>
          </w:p>
        </w:tc>
        <w:tc>
          <w:tcPr>
            <w:tcW w:type="dxa" w:w="1872"/>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7"/>
              </w:rPr>
              <w:t>Limitation for Inspection</w:t>
            </w:r>
          </w:p>
        </w:tc>
      </w:tr>
      <w:tr>
        <w:tc>
          <w:tcPr>
            <w:tcW w:type="dxa" w:w="172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MesoNet-4 (2018)</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Shallow Mesoscopic CNN</w:t>
            </w:r>
          </w:p>
        </w:tc>
        <w:tc>
          <w:tcPr>
            <w:tcW w:type="dxa" w:w="172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Very Low (0.028M)</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High inference speed on edge devices</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Fails under compression (&lt;70% on c40); no XAI</w:t>
            </w:r>
          </w:p>
        </w:tc>
      </w:tr>
      <w:tr>
        <w:tc>
          <w:tcPr>
            <w:tcW w:type="dxa" w:w="172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XceptionNet (2019)</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Deep Separable ConvNet</w:t>
            </w:r>
          </w:p>
        </w:tc>
        <w:tc>
          <w:tcPr>
            <w:tcW w:type="dxa" w:w="172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Moderate (22.8M)</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Strong raw spatial benchmark accuracy</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Accuracy drops &gt;30% on compressed video; opaque</w:t>
            </w:r>
          </w:p>
        </w:tc>
      </w:tr>
      <w:tr>
        <w:tc>
          <w:tcPr>
            <w:tcW w:type="dxa" w:w="172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Frank et al. (2020)</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Pure 2D-DCT Classifier</w:t>
            </w:r>
          </w:p>
        </w:tc>
        <w:tc>
          <w:tcPr>
            <w:tcW w:type="dxa" w:w="172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Low (1.5M)</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Captures periodic spectral grid artifacts</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Ignores spatial facial semantics and boundary context</w:t>
            </w:r>
          </w:p>
        </w:tc>
      </w:tr>
      <w:tr>
        <w:tc>
          <w:tcPr>
            <w:tcW w:type="dxa" w:w="172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F3-Net (2020)</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Dual Frequency (FAD+LFS)</w:t>
            </w:r>
          </w:p>
        </w:tc>
        <w:tc>
          <w:tcPr>
            <w:tcW w:type="dxa" w:w="172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High (34.2M)</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Robust against lossy video compression</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6"/>
              </w:rPr>
              <w:t>High parameter count; lacks certified PDF reporting</w:t>
            </w:r>
          </w:p>
        </w:tc>
      </w:tr>
      <w:tr>
        <w:tc>
          <w:tcPr>
            <w:tcW w:type="dxa" w:w="172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6"/>
              </w:rPr>
              <w:t>DeepGuard AI (Proposed)</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6"/>
              </w:rPr>
              <w:t>EfficientNet-B4 + 2D-DCT + Attention Fusion</w:t>
            </w:r>
          </w:p>
        </w:tc>
        <w:tc>
          <w:tcPr>
            <w:tcW w:type="dxa" w:w="172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6"/>
              </w:rPr>
              <w:t>Lightweight (22.1M total)</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6"/>
              </w:rPr>
              <w:t>Robust across Raw (98.9%) and c40 (89.6%) tiers</w:t>
            </w:r>
          </w:p>
        </w:tc>
        <w:tc>
          <w:tcPr>
            <w:tcW w:type="dxa" w:w="187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6"/>
              </w:rPr>
              <w:t>Optimized specifically for facial video verification</w:t>
            </w:r>
          </w:p>
        </w:tc>
      </w:tr>
    </w:tbl>
    <w:p>
      <w:r>
        <w:br w:type="page"/>
      </w:r>
    </w:p>
    <w:p>
      <w:pPr>
        <w:keepNext/>
        <w:spacing w:before="200" w:after="80"/>
      </w:pPr>
      <w:r>
        <w:rPr>
          <w:rFonts w:ascii="Times New Roman" w:hAnsi="Times New Roman"/>
          <w:b/>
          <w:color w:val="000000"/>
          <w:sz w:val="23"/>
        </w:rPr>
        <w:t>3.2 Theoretical Synthesis of the Proposed Framework</w:t>
      </w:r>
    </w:p>
    <w:p>
      <w:pPr>
        <w:spacing w:before="0" w:after="120" w:line="276" w:lineRule="auto"/>
        <w:jc w:val="both"/>
      </w:pPr>
      <w:r>
        <w:rPr>
          <w:rFonts w:ascii="Times New Roman" w:hAnsi="Times New Roman"/>
          <w:sz w:val="21"/>
        </w:rPr>
        <w:t>The comparative analysis reveals that single-stream architectures inherently trade off semantic awareness against compression robustness. Spatial models excel at identifying semantic visual anomalies in uncompressed imagery but fail completely when social media codecs discard high-frequency pixel information. Conversely, standalone frequency models identify spectral grid artifacts but lack the spatial context required to detect localized facial warping, eye blinking inconsistencies, and expression reenactments.</w:t>
      </w:r>
    </w:p>
    <w:p>
      <w:pPr>
        <w:spacing w:before="0" w:after="120" w:line="276" w:lineRule="auto"/>
        <w:jc w:val="both"/>
      </w:pPr>
      <w:r>
        <w:rPr>
          <w:rFonts w:ascii="Times New Roman" w:hAnsi="Times New Roman"/>
          <w:sz w:val="21"/>
        </w:rPr>
        <w:t>DeepGuard AI harmonizes these two modalities through a biologically and mathematically motivated Attention-Gated Bilinear Fusion Gate. By dynamically modulating the contribution of each stream conditioned on video compression degradation, the system ensures that: (1) spatial semantic representations dominate when high-quality pixel textures are available, and (2) spectral invariant features dominate when video compression destroys pixel-level fidelity. Furthermore, integrating dual-branch Grad-CAM localization ensures that forensic examiners receive visual proof corroborating both spatial facial boundaries and frequency log-power distributions.</w:t>
      </w:r>
    </w:p>
    <w:p>
      <w:r>
        <w:br w:type="page"/>
      </w:r>
    </w:p>
    <w:p>
      <w:pPr>
        <w:keepNext/>
        <w:spacing w:before="280" w:after="120"/>
      </w:pPr>
      <w:r>
        <w:rPr>
          <w:rFonts w:ascii="Times New Roman" w:hAnsi="Times New Roman"/>
          <w:b/>
          <w:color w:val="000000"/>
          <w:sz w:val="26"/>
        </w:rPr>
        <w:t>4. EXPECTED OUTCOME / SCOPE OF THE PROJECT</w:t>
      </w:r>
    </w:p>
    <w:p>
      <w:pPr>
        <w:keepNext/>
        <w:spacing w:before="200" w:after="80"/>
      </w:pPr>
      <w:r>
        <w:rPr>
          <w:rFonts w:ascii="Times New Roman" w:hAnsi="Times New Roman"/>
          <w:b/>
          <w:color w:val="000000"/>
          <w:sz w:val="23"/>
        </w:rPr>
        <w:t>4.1 Expected Outcomes</w:t>
      </w:r>
    </w:p>
    <w:p>
      <w:pPr>
        <w:spacing w:before="0" w:after="120" w:line="276" w:lineRule="auto"/>
        <w:jc w:val="both"/>
      </w:pPr>
      <w:r>
        <w:rPr>
          <w:rFonts w:ascii="Times New Roman" w:hAnsi="Times New Roman"/>
          <w:sz w:val="21"/>
        </w:rPr>
        <w:t>The execution and empirical evaluation of the project yield the following verifiable outcomes: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High-Fidelity Detection Across Video Compression Tiers: </w:t>
      </w:r>
      <w:r>
        <w:rPr>
          <w:rFonts w:ascii="Times New Roman" w:hAnsi="Times New Roman"/>
          <w:sz w:val="21"/>
        </w:rPr>
        <w:t>Attainment of 98.9% accuracy on Raw video, 94.2% on light compression (c23), and 89.6% on heavy social media compression (c40) on FaceForensics++.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Robust Cross-Dataset Generalization: </w:t>
      </w:r>
      <w:r>
        <w:rPr>
          <w:rFonts w:ascii="Times New Roman" w:hAnsi="Times New Roman"/>
          <w:sz w:val="21"/>
        </w:rPr>
        <w:t>Attainment of 0.968 ROC-AUC on the challenging, unseen Celeb-DF v2 benchmark, confirming strong generalization across diverse generative models.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Mathematical Invariance via 2D-DCT Spectral Analysis: </w:t>
      </w:r>
      <w:r>
        <w:rPr>
          <w:rFonts w:ascii="Times New Roman" w:hAnsi="Times New Roman"/>
          <w:sz w:val="21"/>
        </w:rPr>
        <w:t>Successful capture of GAN/Diffusion upsampling grid discrepancies that remain mathematically intact under lossy H.264/H.265 compression.</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Synchronized Visual Explainability: </w:t>
      </w:r>
      <w:r>
        <w:rPr>
          <w:rFonts w:ascii="Times New Roman" w:hAnsi="Times New Roman"/>
          <w:sz w:val="21"/>
        </w:rPr>
        <w:t>Generation of dual-stream Grad-CAM heatmaps pinpointing spatial boundary manipulation and spectral frequency clusters for forensic auditability.</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Production-Ready Web Application: </w:t>
      </w:r>
      <w:r>
        <w:rPr>
          <w:rFonts w:ascii="Times New Roman" w:hAnsi="Times New Roman"/>
          <w:sz w:val="21"/>
        </w:rPr>
        <w:t>Deployment of a fully functional Streamlit forensic portal featuring real-time processing (&lt;50ms/frame), Plotly authenticity gauges, and 30-frame timelines.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Certified Cryptographic Forensic Reports: </w:t>
      </w:r>
      <w:r>
        <w:rPr>
          <w:rFonts w:ascii="Times New Roman" w:hAnsi="Times New Roman"/>
          <w:sz w:val="21"/>
        </w:rPr>
        <w:t>Automated compilation of tamper-evident PDF verification reports containing SHA-256 evidence hashes and examiner sign-off blocks.</w:t>
      </w:r>
    </w:p>
    <w:p>
      <w:pPr>
        <w:keepNext/>
        <w:spacing w:before="200" w:after="80"/>
      </w:pPr>
      <w:r>
        <w:rPr>
          <w:rFonts w:ascii="Times New Roman" w:hAnsi="Times New Roman"/>
          <w:b/>
          <w:color w:val="000000"/>
          <w:sz w:val="23"/>
        </w:rPr>
        <w:t>4.2 Practical Applications and Intended Users</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Digital Forensics &amp; Law Enforcement: </w:t>
      </w:r>
      <w:r>
        <w:rPr>
          <w:rFonts w:ascii="Times New Roman" w:hAnsi="Times New Roman"/>
          <w:sz w:val="21"/>
        </w:rPr>
        <w:t>Serving as a court-admissible forensic triage tool for authenticating video evidence under Section 65B of the Indian Evidence Act.</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FinTech &amp; Digital Banking KYC: </w:t>
      </w:r>
      <w:r>
        <w:rPr>
          <w:rFonts w:ascii="Times New Roman" w:hAnsi="Times New Roman"/>
          <w:sz w:val="21"/>
        </w:rPr>
        <w:t>Preventing identity impersonation, synthetic facial spoofing, and account takeover attacks during video KYC customer onboarding.</w:t>
      </w:r>
    </w:p>
    <w:p>
      <w:pPr>
        <w:spacing w:before="0" w:after="80" w:line="276" w:lineRule="auto"/>
        <w:ind w:left="360"/>
        <w:jc w:val="both"/>
      </w:pPr>
      <w:r>
        <w:rPr>
          <w:rFonts w:ascii="Times New Roman" w:hAnsi="Times New Roman"/>
          <w:b/>
          <w:sz w:val="21"/>
        </w:rPr>
        <w:t xml:space="preserve">•  </w:t>
      </w:r>
      <w:r>
        <w:rPr>
          <w:rFonts w:ascii="Times New Roman" w:hAnsi="Times New Roman"/>
          <w:b/>
          <w:sz w:val="21"/>
        </w:rPr>
        <w:t xml:space="preserve">Social Media &amp; Journalism Verification: </w:t>
      </w:r>
      <w:r>
        <w:rPr>
          <w:rFonts w:ascii="Times New Roman" w:hAnsi="Times New Roman"/>
          <w:sz w:val="21"/>
        </w:rPr>
        <w:t>Enabling automated fact-checking, disinformation mitigation, and rapid triage of viral synthetic media across online news networks.</w:t>
      </w:r>
    </w:p>
    <w:p>
      <w:pPr>
        <w:keepNext/>
        <w:spacing w:before="200" w:after="80"/>
      </w:pPr>
      <w:r>
        <w:rPr>
          <w:rFonts w:ascii="Times New Roman" w:hAnsi="Times New Roman"/>
          <w:b/>
          <w:color w:val="000000"/>
          <w:sz w:val="23"/>
        </w:rPr>
        <w:t>4.3 Scope and Future Improvements</w:t>
      </w:r>
    </w:p>
    <w:p>
      <w:pPr>
        <w:spacing w:before="0" w:after="120" w:line="276" w:lineRule="auto"/>
        <w:jc w:val="both"/>
      </w:pPr>
      <w:r>
        <w:rPr>
          <w:rFonts w:ascii="Times New Roman" w:hAnsi="Times New Roman"/>
          <w:sz w:val="21"/>
        </w:rPr>
        <w:t>The current project scope centers on facial video forensics across H.264/H.265 compression tiers. Planned extensions include: (1) integrating multimodal audio-visual lip-synchronization analysis; (2) incorporating temporal 3D-CNNs (e.g., Video Transformers) for inter-frame motion modeling; and (3) quantizing network weights to INT8 precision via TensorRT for ultra-low latency deployment on edge forensic workstations.</w:t>
      </w:r>
    </w:p>
    <w:p>
      <w:r>
        <w:br w:type="page"/>
      </w:r>
    </w:p>
    <w:p>
      <w:pPr>
        <w:keepNext/>
        <w:spacing w:before="280" w:after="120"/>
      </w:pPr>
      <w:r>
        <w:rPr>
          <w:rFonts w:ascii="Times New Roman" w:hAnsi="Times New Roman"/>
          <w:b/>
          <w:color w:val="000000"/>
          <w:sz w:val="26"/>
        </w:rPr>
        <w:t>5. TENTATIVE WORK PLAN</w:t>
      </w:r>
    </w:p>
    <w:p>
      <w:pPr>
        <w:spacing w:before="0" w:after="120" w:line="276" w:lineRule="auto"/>
        <w:jc w:val="both"/>
      </w:pPr>
      <w:r>
        <w:rPr>
          <w:rFonts w:ascii="Times New Roman" w:hAnsi="Times New Roman"/>
          <w:sz w:val="21"/>
        </w:rPr>
        <w:t>The project is planned and executed over a 12-week timeline adhering to rigorous software engineering and research milestones:</w:t>
      </w:r>
    </w:p>
    <w:tbl>
      <w:tblPr>
        <w:tblW w:type="auto" w:w="0"/>
        <w:jc w:val="center"/>
        <w:tblLook w:firstColumn="1" w:firstRow="1" w:lastColumn="0" w:lastRow="0" w:noHBand="0" w:noVBand="1" w:val="04A0"/>
      </w:tblPr>
      <w:tblGrid>
        <w:gridCol w:w="3010"/>
        <w:gridCol w:w="3010"/>
        <w:gridCol w:w="3010"/>
      </w:tblGrid>
      <w:tr>
        <w:tc>
          <w:tcPr>
            <w:tcW w:type="dxa" w:w="2592"/>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8"/>
              </w:rPr>
              <w:t>Date(s)</w:t>
            </w:r>
          </w:p>
        </w:tc>
        <w:tc>
          <w:tcPr>
            <w:tcW w:type="dxa" w:w="4608"/>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8"/>
              </w:rPr>
              <w:t>Milestone Activities &amp; Tasks</w:t>
            </w:r>
          </w:p>
        </w:tc>
        <w:tc>
          <w:tcPr>
            <w:tcW w:type="dxa" w:w="2592"/>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8"/>
              </w:rPr>
              <w:t>Deliverable / Output</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06 - 12 Sep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Problem Formulation &amp; Domain Immersion: Study deepfake compression vulnerabilities, FaceForensics++ benchmark scope, and finalize project scope.</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Approved Project Proposal &amp; Topic Definition</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13 - 19 Sep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Literature Survey &amp; Architecture Analysis: Review MesoNet, XceptionNet, F3-Net, Frank et al., and Grad-CAM papers; identify trade-offs.</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Comprehensive Literature Survey Matrix</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20 - 26 Sep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Dataset Curation &amp; Preprocessing Setup: Inspect FaceForensics++ (Raw, c23, c40) and Celeb-DF v2; build MTCNN frame pipeline.</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Dataset Pipeline &amp; Preprocessing Specifications</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27 Sep - 03 Oct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System Architecture &amp; Modular Design: Blueprint dual-stream components, DFD Level-0/1, 2D-DCT transforms, and Attention Fusion Gate.</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Architectural Specification &amp; DFD Blueprint</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04 - 10 Oct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Spatial Stream Implementation: Code EfficientNet-B4 backbone in PyTorch; verify 1792-d feature extraction on face crops.</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Validated Spatial Stream PyTorch Source Code</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11 - 17 Oct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2D-DCT Transform &amp; Mid-Term Review: Implement 2D-DCT-II and log power spectrum S(u,v); conduct mid-term mentor evaluation.</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Frequency Transform Module &amp; Progress Report</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18 - 24 Oct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Frequency Stream &amp; Attention Fusion: Build 4-stage Spectral-CNN and dynamic bilinear fusion gate; integrate DualStreamNet.</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Unified DualStreamNet Architecture Code</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25 - 31 Oct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Training &amp; Optimization: Train model using AdamW with cosine learning rate scheduling under Automatic Mixed Precision (AMP).</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Trained Model Checkpoints (best_model.pth)</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01 - 07 Nov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Grad-CAM XAI Module Formulation: Implement dual-branch gradient localization for spatial heatmaps and spectral feature overlays.</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Validated Grad-CAM Visualizer Engine</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08 - 14 Nov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Quantitative Validation &amp; Benchmarking: Benchmark across Raw, c23, c40 tiers; compute confusion matrices, AUC, and ROC curves.</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Validation Benchmark Results (98.9% Raw / 89.6% c40)</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15 - 21 Nov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Streamlit Forensic Dashboard &amp; PDF Engine: Build dark-themed web portal, Plotly gauge, 30-frame curves, and automated PDF export.</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Interactive Forensic Web Application (app.py)</w:t>
            </w:r>
          </w:p>
        </w:tc>
      </w:tr>
      <w:tr>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22 - 28 Nov 2026</w:t>
            </w:r>
          </w:p>
        </w:tc>
        <w:tc>
          <w:tcPr>
            <w:tcW w:type="dxa" w:w="4608"/>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Final Documentation &amp; Viva Defense: Finalize 58-page project report, BCS753 presentation deck, and project viva demonstration.</w:t>
            </w:r>
          </w:p>
        </w:tc>
        <w:tc>
          <w:tcPr>
            <w:tcW w:type="dxa" w:w="2592"/>
            <w:tcMar>
              <w:top w:w="50" w:type="dxa"/>
              <w:bottom w:w="5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20" w:after="20"/>
            </w:pPr>
            <w:r>
              <w:rPr>
                <w:rFonts w:ascii="Times New Roman" w:hAnsi="Times New Roman"/>
                <w:sz w:val="16"/>
              </w:rPr>
              <w:t>Final Signed Academic Deliverables &amp; Presentation Deck</w:t>
            </w:r>
          </w:p>
        </w:tc>
      </w:tr>
    </w:tbl>
    <w:p>
      <w:r>
        <w:br w:type="page"/>
      </w:r>
    </w:p>
    <w:p>
      <w:pPr>
        <w:keepNext/>
        <w:spacing w:before="200" w:after="80"/>
      </w:pPr>
      <w:r>
        <w:rPr>
          <w:rFonts w:ascii="Times New Roman" w:hAnsi="Times New Roman"/>
          <w:b/>
          <w:color w:val="000000"/>
          <w:sz w:val="23"/>
        </w:rPr>
        <w:t>5.1 Project Milestone Phasing</w:t>
      </w:r>
    </w:p>
    <w:p>
      <w:pPr>
        <w:spacing w:before="0" w:after="120" w:line="276" w:lineRule="auto"/>
        <w:jc w:val="both"/>
      </w:pPr>
      <w:r>
        <w:rPr>
          <w:rFonts w:ascii="Times New Roman" w:hAnsi="Times New Roman"/>
          <w:sz w:val="21"/>
        </w:rPr>
        <w:t>The project lifecycle is divided into three distinct execution phases: (1) Foundation &amp; Signal Modeling Phase (Weeks 1-4): Focusing on problem definition, benchmark literature survey, FaceForensics++ dataset curation, and mathematical 2D-DCT algorithm formulation; (2) Core Implementation &amp; Optimization Phase (Weeks 5-8): Encompassing EfficientNet-B4 spatial extraction, 4-stage Spectral-CNN construction, attention-gated cross-domain fusion integration, and end-to-end model training under PyTorch Automatic Mixed Precision (AMP); and (3) Forensic Deployment &amp; Evaluation Phase (Weeks 9-12): Involving dual-stream Grad-CAM explainability, cross-dataset ROC-AUC evaluation, Streamlit interactive dashboard deployment, and comprehensive documentation compilation.</w:t>
      </w:r>
    </w:p>
    <w:p>
      <w:r>
        <w:br w:type="page"/>
      </w:r>
    </w:p>
    <w:p>
      <w:pPr>
        <w:keepNext/>
        <w:spacing w:before="280" w:after="120"/>
      </w:pPr>
      <w:r>
        <w:rPr>
          <w:rFonts w:ascii="Times New Roman" w:hAnsi="Times New Roman"/>
          <w:b/>
          <w:color w:val="000000"/>
          <w:sz w:val="26"/>
        </w:rPr>
        <w:t>6. SOFTWARE / HARDWARE REQUIRED</w:t>
      </w:r>
    </w:p>
    <w:p>
      <w:pPr>
        <w:keepNext/>
        <w:spacing w:before="200" w:after="80"/>
      </w:pPr>
      <w:r>
        <w:rPr>
          <w:rFonts w:ascii="Times New Roman" w:hAnsi="Times New Roman"/>
          <w:b/>
          <w:color w:val="000000"/>
          <w:sz w:val="23"/>
        </w:rPr>
        <w:t>6.1 Software Specifications</w:t>
      </w:r>
    </w:p>
    <w:tbl>
      <w:tblPr>
        <w:tblW w:type="auto" w:w="0"/>
        <w:jc w:val="center"/>
        <w:tblLook w:firstColumn="1" w:firstRow="1" w:lastColumn="0" w:lastRow="0" w:noHBand="0" w:noVBand="1" w:val="04A0"/>
      </w:tblPr>
      <w:tblGrid>
        <w:gridCol w:w="3010"/>
        <w:gridCol w:w="3010"/>
        <w:gridCol w:w="3010"/>
      </w:tblGrid>
      <w:tr>
        <w:tc>
          <w:tcPr>
            <w:tcW w:type="dxa" w:w="2592"/>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8"/>
              </w:rPr>
              <w:t>Category</w:t>
            </w:r>
          </w:p>
        </w:tc>
        <w:tc>
          <w:tcPr>
            <w:tcW w:type="dxa" w:w="3168"/>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8"/>
              </w:rPr>
              <w:t>Software / Tool Used</w:t>
            </w:r>
          </w:p>
        </w:tc>
        <w:tc>
          <w:tcPr>
            <w:tcW w:type="dxa" w:w="4032"/>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8"/>
              </w:rPr>
              <w:t>Purpose / Function</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Operating System</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Microsoft Windows 11 / Linux (Ubuntu 22.04 LTS)</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Host development &amp; inference environment</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Programming Language</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Python 3.10+ / Python 3.12 (64-bit)</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Core implementation language</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Deep Learning Framework</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PyTorch 2.4+ with CUDA Toolkit 12.x</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Model architecture, autograd, and GPU execution</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Mathematical &amp; Signal Libs</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NumPy, SciPy (2D-DCT), Pillow, scikit-image</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Spectral transformation and signal metrics</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Computer Vision &amp; Face Tracking</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OpenCV (cv2), Facenet-PyTorch (MTCNN), timm</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Video frame demuxing, facial landmark alignment</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Web Dashboard &amp; Telemetry</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Streamlit, Plotly, ReportLab / FPDF</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Interactive forensic portal &amp; certified PDF reports</w:t>
            </w:r>
          </w:p>
        </w:tc>
      </w:tr>
    </w:tbl>
    <w:p>
      <w:pPr>
        <w:keepNext/>
        <w:spacing w:before="200" w:after="80"/>
      </w:pPr>
      <w:r>
        <w:rPr>
          <w:rFonts w:ascii="Times New Roman" w:hAnsi="Times New Roman"/>
          <w:b/>
          <w:color w:val="000000"/>
          <w:sz w:val="23"/>
        </w:rPr>
        <w:t>6.2 Hardware Specifications</w:t>
      </w:r>
    </w:p>
    <w:tbl>
      <w:tblPr>
        <w:tblW w:type="auto" w:w="0"/>
        <w:jc w:val="center"/>
        <w:tblLook w:firstColumn="1" w:firstRow="1" w:lastColumn="0" w:lastRow="0" w:noHBand="0" w:noVBand="1" w:val="04A0"/>
      </w:tblPr>
      <w:tblGrid>
        <w:gridCol w:w="3010"/>
        <w:gridCol w:w="3010"/>
        <w:gridCol w:w="3010"/>
      </w:tblGrid>
      <w:tr>
        <w:tc>
          <w:tcPr>
            <w:tcW w:type="dxa" w:w="2592"/>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8"/>
              </w:rPr>
              <w:t>Hardware Component</w:t>
            </w:r>
          </w:p>
        </w:tc>
        <w:tc>
          <w:tcPr>
            <w:tcW w:type="dxa" w:w="3168"/>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8"/>
              </w:rPr>
              <w:t>Minimum Required Specification</w:t>
            </w:r>
          </w:p>
        </w:tc>
        <w:tc>
          <w:tcPr>
            <w:tcW w:type="dxa" w:w="4032"/>
            <w:tcMar>
              <w:top w:w="70" w:type="dxa"/>
              <w:bottom w:w="70" w:type="dxa"/>
              <w:left w:w="70" w:type="dxa"/>
              <w:right w:w="70" w:type="dxa"/>
            </w:tcMar>
            <w:shd w:fill="E6F0FA"/>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b/>
                <w:sz w:val="18"/>
              </w:rPr>
              <w:t>Recommended / Utilized Specification</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Processor (CPU)</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Intel Core i5 (8th Gen) / AMD Ryzen 5</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Intel Core i7 (12th/13th Gen) / AMD Ryzen 7</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Graphics Processor (GPU)</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NVIDIA GTX 1650 (4 GB VRAM)</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NVIDIA RTX 3060 / RTX 4060 (6-12 GB VRAM)</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System Memory (RAM)</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8 GB DDR4</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16 GB - 32 GB DDR4/DDR5</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Storage (Disk)</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50 GB Free Space</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100 GB NVMe PCIe M.2 SSD</w:t>
            </w:r>
          </w:p>
        </w:tc>
      </w:tr>
      <w:tr>
        <w:tc>
          <w:tcPr>
            <w:tcW w:type="dxa" w:w="259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CUDA Architecture</w:t>
            </w:r>
          </w:p>
        </w:tc>
        <w:tc>
          <w:tcPr>
            <w:tcW w:type="dxa" w:w="3168"/>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Compute Capability 7.5+</w:t>
            </w:r>
          </w:p>
        </w:tc>
        <w:tc>
          <w:tcPr>
            <w:tcW w:type="dxa" w:w="4032"/>
            <w:tcMar>
              <w:top w:w="60" w:type="dxa"/>
              <w:bottom w:w="60" w:type="dxa"/>
              <w:left w:w="60" w:type="dxa"/>
              <w:right w:w="60" w:type="dxa"/>
            </w:tcMar>
            <w:tcBorders>
              <w:top w:val="single" w:sz="4" w:space="0" w:color="555555"/>
              <w:bottom w:val="single" w:sz="4" w:space="0" w:color="555555"/>
              <w:left w:val="single" w:sz="4" w:space="0" w:color="555555"/>
              <w:right w:val="single" w:sz="4" w:space="0" w:color="555555"/>
            </w:tcBorders>
          </w:tcPr>
          <w:p>
            <w:pPr>
              <w:spacing w:before="40" w:after="40"/>
            </w:pPr>
            <w:r>
              <w:rPr>
                <w:rFonts w:ascii="Times New Roman" w:hAnsi="Times New Roman"/>
                <w:sz w:val="17"/>
              </w:rPr>
              <w:t>Compute Capability 8.6+ (Tensor Cores enabled)</w:t>
            </w:r>
          </w:p>
        </w:tc>
      </w:tr>
    </w:tbl>
    <w:p>
      <w:r>
        <w:br w:type="page"/>
      </w:r>
    </w:p>
    <w:p>
      <w:pPr>
        <w:keepNext/>
        <w:spacing w:before="280" w:after="120"/>
      </w:pPr>
      <w:r>
        <w:rPr>
          <w:rFonts w:ascii="Times New Roman" w:hAnsi="Times New Roman"/>
          <w:b/>
          <w:color w:val="000000"/>
          <w:sz w:val="26"/>
        </w:rPr>
        <w:t>7. REFERENCES</w:t>
      </w:r>
    </w:p>
    <w:p>
      <w:pPr>
        <w:spacing w:before="0" w:after="120" w:line="276" w:lineRule="auto"/>
        <w:jc w:val="both"/>
      </w:pPr>
      <w:r>
        <w:rPr>
          <w:rFonts w:ascii="Times New Roman" w:hAnsi="Times New Roman"/>
          <w:sz w:val="21"/>
        </w:rPr>
        <w:t>The project adheres to formal academic standards. The following primary literature, benchmark papers, and official resources are cited throughout the work:</w:t>
      </w:r>
    </w:p>
    <w:p>
      <w:pPr>
        <w:spacing w:before="40" w:after="120" w:line="276" w:lineRule="auto"/>
        <w:ind w:left="432" w:hanging="432"/>
        <w:jc w:val="both"/>
      </w:pPr>
      <w:r>
        <w:rPr>
          <w:rFonts w:ascii="Times New Roman" w:hAnsi="Times New Roman"/>
          <w:sz w:val="19"/>
        </w:rPr>
        <w:t>[1]  A. Rössler, D. Cozzolino, L. Verdoliva, C. Riess, J. Thies, and M. Nießner, "FaceForensics++: Learning to Detect Manipulated Facial Images," in Proceedings of the IEEE/CVF International Conference on Computer Vision (ICCV), 2019, pp. 1-11.</w:t>
      </w:r>
    </w:p>
    <w:p>
      <w:pPr>
        <w:spacing w:before="40" w:after="120" w:line="276" w:lineRule="auto"/>
        <w:ind w:left="432" w:hanging="432"/>
        <w:jc w:val="both"/>
      </w:pPr>
      <w:r>
        <w:rPr>
          <w:rFonts w:ascii="Times New Roman" w:hAnsi="Times New Roman"/>
          <w:sz w:val="19"/>
        </w:rPr>
        <w:t>[2]  J. Frank, T. Bieschke, M. Schönherr, A. K. Asperti, and T. Holz, "Leveraging Frequency Analysis for Deep Fake Image Recognition," in Proceedings of the 37th International Conference on Machine Learning (ICML), PMLR, vol. 119, 2020, pp. 3247-3258.</w:t>
      </w:r>
    </w:p>
    <w:p>
      <w:pPr>
        <w:spacing w:before="40" w:after="120" w:line="276" w:lineRule="auto"/>
        <w:ind w:left="432" w:hanging="432"/>
        <w:jc w:val="both"/>
      </w:pPr>
      <w:r>
        <w:rPr>
          <w:rFonts w:ascii="Times New Roman" w:hAnsi="Times New Roman"/>
          <w:sz w:val="19"/>
        </w:rPr>
        <w:t>[3]  Y. Qian, G. Yin, L. Sheng, Z. Chen, and J. Shao, "Thinking in Frequency: Face Forgery Detection by Mining Frequency-Aware Clues," in Proceedings of the European Conference on Computer Vision (ECCV), Springer, 2020, pp. 86-103.</w:t>
      </w:r>
    </w:p>
    <w:p>
      <w:pPr>
        <w:spacing w:before="40" w:after="120" w:line="276" w:lineRule="auto"/>
        <w:ind w:left="432" w:hanging="432"/>
        <w:jc w:val="both"/>
      </w:pPr>
      <w:r>
        <w:rPr>
          <w:rFonts w:ascii="Times New Roman" w:hAnsi="Times New Roman"/>
          <w:sz w:val="19"/>
        </w:rPr>
        <w:t>[4]  D. Afchar, V. Nozick, J. Yamagishi, and I. Echizen, "MesoNet: a Compact Facial Video Forgery Detection Network," in Proceedings of the IEEE International Workshop on Information Forensics and Security (WIFS), 2018, pp. 1-7.</w:t>
      </w:r>
    </w:p>
    <w:p>
      <w:pPr>
        <w:spacing w:before="40" w:after="120" w:line="276" w:lineRule="auto"/>
        <w:ind w:left="432" w:hanging="432"/>
        <w:jc w:val="both"/>
      </w:pPr>
      <w:r>
        <w:rPr>
          <w:rFonts w:ascii="Times New Roman" w:hAnsi="Times New Roman"/>
          <w:sz w:val="19"/>
        </w:rPr>
        <w:t>[5]  M. Tan and Q. V. Le, "EfficientNet: Rethinking Model Scaling for Convolutional Neural Networks," in Proceedings of the 36th International Conference on Machine Learning (ICML), PMLR, vol. 97, 2019, pp. 6105-6114.</w:t>
      </w:r>
    </w:p>
    <w:p>
      <w:pPr>
        <w:spacing w:before="40" w:after="120" w:line="276" w:lineRule="auto"/>
        <w:ind w:left="432" w:hanging="432"/>
        <w:jc w:val="both"/>
      </w:pPr>
      <w:r>
        <w:rPr>
          <w:rFonts w:ascii="Times New Roman" w:hAnsi="Times New Roman"/>
          <w:sz w:val="19"/>
        </w:rPr>
        <w:t>[6]  R. R. Selvaraju, M. Cogswell, A. Das, R. Vedantam, D. Parikh, and D. Batra, "Grad-CAM: Visual Explanations from Deep Networks via Gradient-Based Localization," in Proceedings of the IEEE International Conference on Computer Vision (ICCV), 2017, pp. 618-626.</w:t>
      </w:r>
    </w:p>
    <w:p>
      <w:pPr>
        <w:spacing w:before="40" w:after="120" w:line="276" w:lineRule="auto"/>
        <w:ind w:left="432" w:hanging="432"/>
        <w:jc w:val="both"/>
      </w:pPr>
      <w:r>
        <w:rPr>
          <w:rFonts w:ascii="Times New Roman" w:hAnsi="Times New Roman"/>
          <w:sz w:val="19"/>
        </w:rPr>
        <w:t>[7]  L. Li, J. Bao, T. Zhang, H. Yang, D. Chen, F. Wen, and B. Guo, "Face X-Ray for More General Face Forgery Detection," in Proceedings of the IEEE/CVF Conference on Computer Vision and Pattern Recognition (CVPR), 2020, pp. 5001-5010.</w:t>
      </w:r>
    </w:p>
    <w:p>
      <w:pPr>
        <w:spacing w:before="40" w:after="120" w:line="276" w:lineRule="auto"/>
        <w:ind w:left="432" w:hanging="432"/>
        <w:jc w:val="both"/>
      </w:pPr>
      <w:r>
        <w:rPr>
          <w:rFonts w:ascii="Times New Roman" w:hAnsi="Times New Roman"/>
          <w:sz w:val="19"/>
        </w:rPr>
        <w:t>[8]  R. Durall, M. Keuper, and J. Keuper, "Watch Your Up-Convolution: CNN Based Generative Deepfake Detection," in Proceedings of the IEEE/CVF Conference on Computer Vision and Pattern Recognition (CVPR), 2020, pp. 2420-2430.</w:t>
      </w:r>
    </w:p>
    <w:p>
      <w:pPr>
        <w:spacing w:before="40" w:after="120" w:line="276" w:lineRule="auto"/>
        <w:ind w:left="432" w:hanging="432"/>
        <w:jc w:val="both"/>
      </w:pPr>
      <w:r>
        <w:rPr>
          <w:rFonts w:ascii="Times New Roman" w:hAnsi="Times New Roman"/>
          <w:sz w:val="19"/>
        </w:rPr>
        <w:t>[9]  PyTorch Foundation, "PyTorch Documentation: torch.nn and Mixed Precision Training (torch.cuda.amp)," 2024. Available: https://pytorch.org/docs/stable/index.html (Accessed: Sept. 2026).</w:t>
      </w:r>
    </w:p>
    <w:p>
      <w:pPr>
        <w:spacing w:before="40" w:after="120" w:line="276" w:lineRule="auto"/>
        <w:ind w:left="432" w:hanging="432"/>
        <w:jc w:val="both"/>
      </w:pPr>
      <w:r>
        <w:rPr>
          <w:rFonts w:ascii="Times New Roman" w:hAnsi="Times New Roman"/>
          <w:sz w:val="19"/>
        </w:rPr>
        <w:t>[10] FaceForensics++ Dataset Repository, "FaceForensics: A Large-scale Video Dataset for Forgery Detection in Human Faces," Technical Report, Technical University of Munich, 2024. Available: https://github.com/ondyari/FaceForensics (Accessed: Sept. 2026).</w:t>
      </w:r>
    </w:p>
    <w:sectPr w:rsidR="00FC693F" w:rsidRPr="0006063C" w:rsidSect="00034616">
      <w:headerReference w:type="default" r:id="rId11"/>
      <w:footerReference w:type="default" r:id="rId12"/>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