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line="276" w:lineRule="auto"/>
        <w:jc w:val="center"/>
      </w:pPr>
      <w:r>
        <w:rPr>
          <w:rFonts w:ascii="Times New Roman" w:hAnsi="Times New Roman"/>
          <w:b/>
          <w:sz w:val="30"/>
        </w:rPr>
        <w:t>EVIDENCE AND FRAMING AUDITOR: AUTOMATED DECEPTION, BIAS, AND EPISTEMIC VERIFICATION ARCHITECTURE</w:t>
      </w:r>
    </w:p>
    <w:p>
      <w:pPr>
        <w:spacing w:after="200" w:line="276" w:lineRule="auto"/>
        <w:jc w:val="center"/>
      </w:pPr>
      <w:r>
        <w:rPr>
          <w:rFonts w:ascii="Times New Roman" w:hAnsi="Times New Roman"/>
          <w:b/>
          <w:sz w:val="26"/>
        </w:rPr>
        <w:t>COMPREHENSIVE LITERATURE SURVEY REPORT</w:t>
      </w:r>
    </w:p>
    <w:p>
      <w:pPr>
        <w:spacing w:after="40" w:line="360" w:lineRule="auto"/>
        <w:jc w:val="both"/>
      </w:pPr>
      <w:r>
        <w:rPr>
          <w:rFonts w:ascii="Times New Roman" w:hAnsi="Times New Roman"/>
          <w:sz w:val="22"/>
        </w:rPr>
        <w:t>Prepared for Major Project Evaluation - I (BCS753)</w:t>
      </w:r>
    </w:p>
    <w:p>
      <w:pPr>
        <w:spacing w:after="80" w:line="276" w:lineRule="auto"/>
        <w:jc w:val="center"/>
      </w:pPr>
      <w:r>
        <w:rPr>
          <w:rFonts w:ascii="Times New Roman" w:hAnsi="Times New Roman"/>
          <w:b/>
          <w:sz w:val="24"/>
        </w:rPr>
        <w:t>Bachelor of Technology in Computer Science &amp; Engineering – AIML</w:t>
      </w:r>
    </w:p>
    <w:p>
      <w:pPr>
        <w:spacing w:after="40" w:line="360" w:lineRule="auto"/>
        <w:jc w:val="both"/>
      </w:pPr>
      <w:r>
        <w:rPr>
          <w:rFonts w:ascii="Times New Roman" w:hAnsi="Times New Roman"/>
          <w:sz w:val="22"/>
        </w:rPr>
        <w:t>Affiliated to</w:t>
      </w:r>
    </w:p>
    <w:p>
      <w:pPr>
        <w:spacing w:after="320" w:line="276" w:lineRule="auto"/>
        <w:jc w:val="center"/>
      </w:pPr>
      <w:r>
        <w:rPr>
          <w:rFonts w:ascii="Times New Roman" w:hAnsi="Times New Roman"/>
          <w:b/>
          <w:sz w:val="24"/>
        </w:rPr>
        <w:t>DR. A.P.J. ABDUL KALAM TECHNICAL UNIVERSITY, UTTAR PRADESH, LUCKNOW</w:t>
      </w:r>
    </w:p>
    <w:tbl>
      <w:tblPr>
        <w:tblW w:type="auto" w:w="0"/>
        <w:jc w:val="center"/>
        <w:tblLook w:firstColumn="1" w:firstRow="1" w:lastColumn="0" w:lastRow="0" w:noHBand="0" w:noVBand="1" w:val="04A0"/>
      </w:tblPr>
      <w:tblGrid>
        <w:gridCol w:w="5057"/>
        <w:gridCol w:w="5057"/>
      </w:tblGrid>
      <w:tr>
        <w:tc>
          <w:tcPr>
            <w:tcW w:type="dxa" w:w="5057"/>
          </w:tcPr>
          <w:p>
            <w:pPr>
              <w:spacing w:line="300" w:lineRule="auto"/>
            </w:pPr>
            <w:r>
              <w:rPr>
                <w:b/>
                <w:sz w:val="21"/>
              </w:rPr>
              <w:t>Submitted by:</w:t>
              <w:br/>
            </w:r>
            <w:r>
              <w:t>• Dev Rana Kaila (Lead)</w:t>
              <w:br/>
              <w:t xml:space="preserve">   Roll No: 2301531530023</w:t>
              <w:br/>
              <w:t xml:space="preserve">   Sec: AIML</w:t>
              <w:br/>
            </w:r>
            <w:r>
              <w:t>• Shravan J. Poojary</w:t>
              <w:br/>
              <w:t xml:space="preserve">   Roll No: 2301721530022</w:t>
              <w:br/>
              <w:t xml:space="preserve">   Sec: AIML</w:t>
              <w:br/>
            </w:r>
            <w:r>
              <w:t>• Snehil Shukla</w:t>
              <w:br/>
              <w:t xml:space="preserve">   Roll No: 2301721530023</w:t>
              <w:br/>
              <w:t xml:space="preserve">   Sec: AIML</w:t>
              <w:br/>
            </w:r>
            <w:r>
              <w:t>• Shivansh Pandey</w:t>
              <w:br/>
              <w:t xml:space="preserve">   Roll No: 2301531530051</w:t>
              <w:br/>
              <w:t xml:space="preserve">   Sec: AIML</w:t>
              <w:br/>
            </w:r>
          </w:p>
        </w:tc>
        <w:tc>
          <w:tcPr>
            <w:tcW w:type="dxa" w:w="5057"/>
          </w:tcPr>
          <w:p>
            <w:pPr>
              <w:spacing w:line="300" w:lineRule="auto"/>
            </w:pPr>
            <w:r>
              <w:rPr>
                <w:b/>
                <w:sz w:val="21"/>
              </w:rPr>
              <w:t>Under the Guidance of:</w:t>
              <w:br/>
              <w:br/>
            </w:r>
            <w:r>
              <w:t>Dr. Devendra Gautam</w:t>
              <w:br/>
              <w:t>Assistant Professor</w:t>
              <w:br/>
              <w:t>Department of CSE</w:t>
              <w:br/>
              <w:t>Lloyd Institute of Engineering &amp; Technology</w:t>
              <w:br/>
              <w:t>Greater Noida, Uttar Pradesh</w:t>
              <w:br/>
              <w:br/>
              <w:t>Evaluation Date:</w:t>
              <w:br/>
              <w:t>26th September 2026</w:t>
            </w:r>
          </w:p>
        </w:tc>
      </w:tr>
    </w:tbl>
    <w:p>
      <w:pPr>
        <w:spacing w:before="480" w:line="288" w:lineRule="auto"/>
        <w:jc w:val="center"/>
      </w:pPr>
      <w:r>
        <w:rPr>
          <w:b/>
        </w:rPr>
        <w:t>Department of Computer Science &amp; Engineering</w:t>
        <w:br/>
      </w:r>
      <w:r>
        <w:rPr>
          <w:b/>
        </w:rPr>
        <w:t>Lloyd Institute of Engineering &amp; Technology</w:t>
        <w:br/>
      </w:r>
      <w:r>
        <w:t>Plot No. 3, Knowledge Park II, Greater Noida, Uttar Pradesh 201306</w:t>
        <w:br/>
        <w:t>Session: 2026–27</w:t>
        <w:br/>
      </w:r>
    </w:p>
    <w:p>
      <w:r>
        <w:br w:type="page"/>
      </w:r>
    </w:p>
    <w:p>
      <w:pPr>
        <w:spacing w:before="240" w:after="80"/>
      </w:pPr>
      <w:r>
        <w:rPr>
          <w:rFonts w:ascii="Times New Roman" w:hAnsi="Times New Roman"/>
          <w:b/>
          <w:sz w:val="26"/>
        </w:rPr>
        <w:t>EXECUTIVE SUMMARY</w:t>
      </w:r>
    </w:p>
    <w:p>
      <w:pPr>
        <w:spacing w:after="80" w:line="360" w:lineRule="auto"/>
        <w:jc w:val="both"/>
      </w:pPr>
      <w:r>
        <w:rPr>
          <w:rFonts w:ascii="Times New Roman" w:hAnsi="Times New Roman"/>
          <w:sz w:val="22"/>
        </w:rPr>
        <w:t>This document presents a comprehensive, rigorous literature survey conducted for the Major Project 'Evidence and Framing Auditor'. Misinformation research has transitioned through four distinct evolutionary phases: (1) Lexical and Surface Heuristics, (2) Stylometric Linguistic Fingerprinting, (3) Dense Semantic Deep Learning (Transformers &amp; Pretrained Language Models), and (4) Knowledge-Grounded, Argumentative, and Neuro-Symbolic Verification. A systematic analysis of over fifteen peer-reviewed publications from premier IEEE, ACM, AAAI, and ACL venues (2024–2026) reveals that while modern deep learning achieves high statistical accuracy on benchmark datasets, it creates an acute interpretability bottleneck. Furthermore, contemporary systems suffer from political stance inversion flaws, treat media bias exclusively at the publisher level, and lack integrated cognitive fallacy detection. This survey establishes the foundational necessity for the multi-tiered, explainable architecture proposed in our capstone project.</w:t>
      </w:r>
    </w:p>
    <w:p>
      <w:r>
        <w:br w:type="page"/>
      </w:r>
    </w:p>
    <w:p>
      <w:pPr>
        <w:spacing w:before="240" w:after="80"/>
      </w:pPr>
      <w:r>
        <w:rPr>
          <w:rFonts w:ascii="Times New Roman" w:hAnsi="Times New Roman"/>
          <w:b/>
          <w:sz w:val="26"/>
        </w:rPr>
        <w:t>1. EVOLUTION OF AUTOMATED DECEPTION DETECTION</w:t>
      </w:r>
    </w:p>
    <w:p>
      <w:pPr>
        <w:spacing w:after="80" w:line="360" w:lineRule="auto"/>
        <w:jc w:val="both"/>
      </w:pPr>
      <w:r>
        <w:rPr>
          <w:rFonts w:ascii="Times New Roman" w:hAnsi="Times New Roman"/>
          <w:b/>
          <w:sz w:val="22"/>
        </w:rPr>
        <w:t xml:space="preserve">1.1 The Shift from Lexical to Stylometric Fingerprinting: </w:t>
      </w:r>
      <w:r>
        <w:rPr>
          <w:rFonts w:ascii="Times New Roman" w:hAnsi="Times New Roman"/>
          <w:sz w:val="22"/>
        </w:rPr>
        <w:t>Automated deception detection originated with simple bag-of-words (BoW) representations and keyword blacklists. Early systems flagged articles based on sensationalist trigger words (e.g., 'shocking', 'miracle', 'hoax'). However, modern malicious actors rapidly adapted, generating syntactically flawless text that evades simple lexical filters. This prompted the emergence of stylometric analysis—quantifying writing style through lexical diversity (Type-Token Ratio, Simpson's Index), readability formulas (Flesch Reading Ease, Gunning Fog), and syntactic complexity.</w:t>
      </w:r>
    </w:p>
    <w:p>
      <w:pPr>
        <w:spacing w:after="80" w:line="360" w:lineRule="auto"/>
        <w:jc w:val="both"/>
      </w:pPr>
      <w:r>
        <w:rPr>
          <w:rFonts w:ascii="Times New Roman" w:hAnsi="Times New Roman"/>
          <w:b/>
          <w:sz w:val="22"/>
        </w:rPr>
        <w:t xml:space="preserve">1.2 The Deep Learning Plateau &amp; Spurious Correlations: </w:t>
      </w:r>
      <w:r>
        <w:rPr>
          <w:rFonts w:ascii="Times New Roman" w:hAnsi="Times New Roman"/>
          <w:sz w:val="22"/>
        </w:rPr>
        <w:t>With the advent of deep learning, transformer models such as BERT, RoBERTa, and DeBERTa set new state-of-the-art benchmarks on saturated corpora like ISOT and FakeNewsNet. Nonetheless, recent findings (Bai et al., ACM Computing Surveys, 2024; Xiao et al., WWW 2024) prove that deep neural networks frequently learn spurious dataset-specific artifacts (such as publisher formatting or geographic markers) rather than genuine reasoning patterns. Consequently, models achieving &gt;99% on ISOT often collapse to &lt;70% when evaluated zero-shot across new domains.</w:t>
      </w:r>
    </w:p>
    <w:p>
      <w:pPr>
        <w:spacing w:after="80" w:line="360" w:lineRule="auto"/>
        <w:jc w:val="both"/>
      </w:pPr>
      <w:r>
        <w:rPr>
          <w:rFonts w:ascii="Times New Roman" w:hAnsi="Times New Roman"/>
          <w:b/>
          <w:sz w:val="22"/>
        </w:rPr>
        <w:t xml:space="preserve">1.3 The Neuro-Symbolic &amp; Epistemic Frontier (2024–2026): </w:t>
      </w:r>
      <w:r>
        <w:rPr>
          <w:rFonts w:ascii="Times New Roman" w:hAnsi="Times New Roman"/>
          <w:sz w:val="22"/>
        </w:rPr>
        <w:t>The cutting-edge research frontier (2024–2026) focuses on neuro-symbolic fusion, combining knowledge graph verification with explainable reasoning. Researchers have increasingly recognized that deception is not merely a factual error, but a complex cognitive manipulation strategy involving rhetorical fallacies, emotional hyperbole, and deliberate omission of qualifying context.</w:t>
      </w:r>
    </w:p>
    <w:p>
      <w:r>
        <w:br w:type="page"/>
      </w:r>
    </w:p>
    <w:p>
      <w:pPr>
        <w:spacing w:before="240" w:after="80"/>
      </w:pPr>
      <w:r>
        <w:rPr>
          <w:rFonts w:ascii="Times New Roman" w:hAnsi="Times New Roman"/>
          <w:b/>
          <w:sz w:val="26"/>
        </w:rPr>
        <w:t>2. SYSTEMATIC LITERATURE REVIEW MATRIX (2024–2026)</w:t>
      </w:r>
    </w:p>
    <w:p>
      <w:pPr>
        <w:spacing w:after="80" w:line="360" w:lineRule="auto"/>
        <w:jc w:val="both"/>
      </w:pPr>
      <w:r>
        <w:rPr>
          <w:rFonts w:ascii="Times New Roman" w:hAnsi="Times New Roman"/>
          <w:b/>
          <w:sz w:val="22"/>
        </w:rPr>
        <w:t xml:space="preserve">2.1 Summary of State-of-the-Art Papers: </w:t>
      </w:r>
      <w:r>
        <w:rPr>
          <w:rFonts w:ascii="Times New Roman" w:hAnsi="Times New Roman"/>
          <w:sz w:val="22"/>
        </w:rPr>
        <w:t>The following comparative matrix synthesizes key peer-reviewed research papers relevant to our architectural design:</w:t>
      </w:r>
    </w:p>
    <w:tbl>
      <w:tblPr>
        <w:tblW w:type="auto" w:w="0"/>
        <w:jc w:val="center"/>
        <w:tblLook w:firstColumn="1" w:firstRow="1" w:lastColumn="0" w:lastRow="0" w:noHBand="0" w:noVBand="1" w:val="04A0"/>
      </w:tblPr>
      <w:tblGrid>
        <w:gridCol w:w="2023"/>
        <w:gridCol w:w="2023"/>
        <w:gridCol w:w="2023"/>
        <w:gridCol w:w="2023"/>
        <w:gridCol w:w="2023"/>
      </w:tblGrid>
      <w:tr>
        <w:tc>
          <w:tcPr>
            <w:tcW w:type="dxa" w:w="2160"/>
          </w:tcPr>
          <w:p>
            <w:pPr>
              <w:jc w:val="center"/>
            </w:pPr>
            <w:r>
              <w:rPr>
                <w:b/>
                <w:sz w:val="19"/>
              </w:rPr>
              <w:t>Paper &amp; Authors</w:t>
            </w:r>
          </w:p>
        </w:tc>
        <w:tc>
          <w:tcPr>
            <w:tcW w:type="dxa" w:w="1440"/>
          </w:tcPr>
          <w:p>
            <w:pPr>
              <w:jc w:val="center"/>
            </w:pPr>
            <w:r>
              <w:rPr>
                <w:b/>
                <w:sz w:val="19"/>
              </w:rPr>
              <w:t>Venue / Year</w:t>
            </w:r>
          </w:p>
        </w:tc>
        <w:tc>
          <w:tcPr>
            <w:tcW w:type="dxa" w:w="3168"/>
          </w:tcPr>
          <w:p>
            <w:pPr>
              <w:jc w:val="center"/>
            </w:pPr>
            <w:r>
              <w:rPr>
                <w:b/>
                <w:sz w:val="19"/>
              </w:rPr>
              <w:t>Core Methodology</w:t>
            </w:r>
          </w:p>
        </w:tc>
        <w:tc>
          <w:tcPr>
            <w:tcW w:type="dxa" w:w="1872"/>
          </w:tcPr>
          <w:p>
            <w:pPr>
              <w:jc w:val="center"/>
            </w:pPr>
            <w:r>
              <w:rPr>
                <w:b/>
                <w:sz w:val="19"/>
              </w:rPr>
              <w:t>Dataset / Accuracy</w:t>
            </w:r>
          </w:p>
        </w:tc>
        <w:tc>
          <w:tcPr>
            <w:tcW w:type="dxa" w:w="2160"/>
          </w:tcPr>
          <w:p>
            <w:pPr>
              <w:jc w:val="center"/>
            </w:pPr>
            <w:r>
              <w:rPr>
                <w:b/>
                <w:sz w:val="19"/>
              </w:rPr>
              <w:t>Identified Limitations</w:t>
            </w:r>
          </w:p>
        </w:tc>
      </w:tr>
      <w:tr>
        <w:tc>
          <w:tcPr>
            <w:tcW w:type="dxa" w:w="2023"/>
          </w:tcPr>
          <w:p>
            <w:pPr>
              <w:spacing w:line="276" w:lineRule="auto" w:after="40"/>
              <w:jc w:val="left"/>
            </w:pPr>
            <w:r>
              <w:rPr>
                <w:rFonts w:ascii="Times New Roman" w:hAnsi="Times New Roman"/>
                <w:sz w:val="17"/>
              </w:rPr>
              <w:t>MiLk-FD</w:t>
              <w:br/>
              <w:t>B. Xie, X. Ma et al.</w:t>
            </w:r>
          </w:p>
        </w:tc>
        <w:tc>
          <w:tcPr>
            <w:tcW w:type="dxa" w:w="2023"/>
          </w:tcPr>
          <w:p>
            <w:pPr>
              <w:spacing w:line="276" w:lineRule="auto" w:after="40"/>
              <w:jc w:val="left"/>
            </w:pPr>
            <w:r>
              <w:rPr>
                <w:rFonts w:ascii="Times New Roman" w:hAnsi="Times New Roman"/>
                <w:sz w:val="17"/>
              </w:rPr>
              <w:t>IEEE TCSS</w:t>
              <w:br/>
              <w:t>(2025)</w:t>
            </w:r>
          </w:p>
        </w:tc>
        <w:tc>
          <w:tcPr>
            <w:tcW w:type="dxa" w:w="2023"/>
          </w:tcPr>
          <w:p>
            <w:pPr>
              <w:spacing w:line="276" w:lineRule="auto" w:after="40"/>
              <w:jc w:val="left"/>
            </w:pPr>
            <w:r>
              <w:rPr>
                <w:rFonts w:ascii="Times New Roman" w:hAnsi="Times New Roman"/>
                <w:sz w:val="17"/>
              </w:rPr>
              <w:t>Heterogeneous Graph Neural Network fusing Wikidata/DBpedia triples via TransE with LLaMA2-7B embeddings.</w:t>
            </w:r>
          </w:p>
        </w:tc>
        <w:tc>
          <w:tcPr>
            <w:tcW w:type="dxa" w:w="2023"/>
          </w:tcPr>
          <w:p>
            <w:pPr>
              <w:spacing w:line="276" w:lineRule="auto" w:after="40"/>
              <w:jc w:val="left"/>
            </w:pPr>
            <w:r>
              <w:rPr>
                <w:rFonts w:ascii="Times New Roman" w:hAnsi="Times New Roman"/>
                <w:sz w:val="17"/>
              </w:rPr>
              <w:t>LIAR (81.2% Acc)</w:t>
              <w:br/>
              <w:t>FakeNewsNet (89.4%)</w:t>
            </w:r>
          </w:p>
        </w:tc>
        <w:tc>
          <w:tcPr>
            <w:tcW w:type="dxa" w:w="2023"/>
          </w:tcPr>
          <w:p>
            <w:pPr>
              <w:spacing w:line="276" w:lineRule="auto" w:after="40"/>
              <w:jc w:val="left"/>
            </w:pPr>
            <w:r>
              <w:rPr>
                <w:rFonts w:ascii="Times New Roman" w:hAnsi="Times New Roman"/>
                <w:sz w:val="17"/>
              </w:rPr>
              <w:t>Computationally heavy; opaque reasoning; no fallacy or stance detection.</w:t>
            </w:r>
          </w:p>
        </w:tc>
      </w:tr>
      <w:tr>
        <w:tc>
          <w:tcPr>
            <w:tcW w:type="dxa" w:w="2023"/>
          </w:tcPr>
          <w:p>
            <w:pPr>
              <w:spacing w:line="276" w:lineRule="auto" w:after="40"/>
              <w:jc w:val="left"/>
            </w:pPr>
            <w:r>
              <w:rPr>
                <w:rFonts w:ascii="Times New Roman" w:hAnsi="Times New Roman"/>
                <w:sz w:val="17"/>
              </w:rPr>
              <w:t>ERIC-FND</w:t>
              <w:br/>
              <w:t>B. Cao, Q. Wu et al.</w:t>
            </w:r>
          </w:p>
        </w:tc>
        <w:tc>
          <w:tcPr>
            <w:tcW w:type="dxa" w:w="2023"/>
          </w:tcPr>
          <w:p>
            <w:pPr>
              <w:spacing w:line="276" w:lineRule="auto" w:after="40"/>
              <w:jc w:val="left"/>
            </w:pPr>
            <w:r>
              <w:rPr>
                <w:rFonts w:ascii="Times New Roman" w:hAnsi="Times New Roman"/>
                <w:sz w:val="17"/>
              </w:rPr>
              <w:t>AAAI</w:t>
              <w:br/>
              <w:t>(2025)</w:t>
            </w:r>
          </w:p>
        </w:tc>
        <w:tc>
          <w:tcPr>
            <w:tcW w:type="dxa" w:w="2023"/>
          </w:tcPr>
          <w:p>
            <w:pPr>
              <w:spacing w:line="276" w:lineRule="auto" w:after="40"/>
              <w:jc w:val="left"/>
            </w:pPr>
            <w:r>
              <w:rPr>
                <w:rFonts w:ascii="Times New Roman" w:hAnsi="Times New Roman"/>
                <w:sz w:val="17"/>
              </w:rPr>
              <w:t>Entity-enriched external reliable info module with contrastive vision-language representation learning.</w:t>
            </w:r>
          </w:p>
        </w:tc>
        <w:tc>
          <w:tcPr>
            <w:tcW w:type="dxa" w:w="2023"/>
          </w:tcPr>
          <w:p>
            <w:pPr>
              <w:spacing w:line="276" w:lineRule="auto" w:after="40"/>
              <w:jc w:val="left"/>
            </w:pPr>
            <w:r>
              <w:rPr>
                <w:rFonts w:ascii="Times New Roman" w:hAnsi="Times New Roman"/>
                <w:sz w:val="17"/>
              </w:rPr>
              <w:t>Twitter (94.5% Acc)</w:t>
              <w:br/>
              <w:t>Weibo (94.6% Acc)</w:t>
            </w:r>
          </w:p>
        </w:tc>
        <w:tc>
          <w:tcPr>
            <w:tcW w:type="dxa" w:w="2023"/>
          </w:tcPr>
          <w:p>
            <w:pPr>
              <w:spacing w:line="276" w:lineRule="auto" w:after="40"/>
              <w:jc w:val="left"/>
            </w:pPr>
            <w:r>
              <w:rPr>
                <w:rFonts w:ascii="Times New Roman" w:hAnsi="Times New Roman"/>
                <w:sz w:val="17"/>
              </w:rPr>
              <w:t>Focused on multimodal image matching; lacks ideological framing analysis.</w:t>
            </w:r>
          </w:p>
        </w:tc>
      </w:tr>
      <w:tr>
        <w:tc>
          <w:tcPr>
            <w:tcW w:type="dxa" w:w="2023"/>
          </w:tcPr>
          <w:p>
            <w:pPr>
              <w:spacing w:line="276" w:lineRule="auto" w:after="40"/>
              <w:jc w:val="left"/>
            </w:pPr>
            <w:r>
              <w:rPr>
                <w:rFonts w:ascii="Times New Roman" w:hAnsi="Times New Roman"/>
                <w:sz w:val="17"/>
              </w:rPr>
              <w:t>MSynFD</w:t>
              <w:br/>
              <w:t>L. Xiao, Q. Zhang et al.</w:t>
            </w:r>
          </w:p>
        </w:tc>
        <w:tc>
          <w:tcPr>
            <w:tcW w:type="dxa" w:w="2023"/>
          </w:tcPr>
          <w:p>
            <w:pPr>
              <w:spacing w:line="276" w:lineRule="auto" w:after="40"/>
              <w:jc w:val="left"/>
            </w:pPr>
            <w:r>
              <w:rPr>
                <w:rFonts w:ascii="Times New Roman" w:hAnsi="Times New Roman"/>
                <w:sz w:val="17"/>
              </w:rPr>
              <w:t>ACM WWW</w:t>
              <w:br/>
              <w:t>(2024)</w:t>
            </w:r>
          </w:p>
        </w:tc>
        <w:tc>
          <w:tcPr>
            <w:tcW w:type="dxa" w:w="2023"/>
          </w:tcPr>
          <w:p>
            <w:pPr>
              <w:spacing w:line="276" w:lineRule="auto" w:after="40"/>
              <w:jc w:val="left"/>
            </w:pPr>
            <w:r>
              <w:rPr>
                <w:rFonts w:ascii="Times New Roman" w:hAnsi="Times New Roman"/>
                <w:sz w:val="17"/>
              </w:rPr>
              <w:t>Multi-hop syntactic dependency graph with a Keyword Debiasing Module to prevent emotional shortcut learning.</w:t>
            </w:r>
          </w:p>
        </w:tc>
        <w:tc>
          <w:tcPr>
            <w:tcW w:type="dxa" w:w="2023"/>
          </w:tcPr>
          <w:p>
            <w:pPr>
              <w:spacing w:line="276" w:lineRule="auto" w:after="40"/>
              <w:jc w:val="left"/>
            </w:pPr>
            <w:r>
              <w:rPr>
                <w:rFonts w:ascii="Times New Roman" w:hAnsi="Times New Roman"/>
                <w:sz w:val="17"/>
              </w:rPr>
              <w:t>PolitiFact / GossipCop</w:t>
              <w:br/>
              <w:t>(+3.2% gain over SOTA)</w:t>
            </w:r>
          </w:p>
        </w:tc>
        <w:tc>
          <w:tcPr>
            <w:tcW w:type="dxa" w:w="2023"/>
          </w:tcPr>
          <w:p>
            <w:pPr>
              <w:spacing w:line="276" w:lineRule="auto" w:after="40"/>
              <w:jc w:val="left"/>
            </w:pPr>
            <w:r>
              <w:rPr>
                <w:rFonts w:ascii="Times New Roman" w:hAnsi="Times New Roman"/>
                <w:sz w:val="17"/>
              </w:rPr>
              <w:t>Text-only; does not verify factual accuracy against institutional consensus.</w:t>
            </w:r>
          </w:p>
        </w:tc>
      </w:tr>
      <w:tr>
        <w:tc>
          <w:tcPr>
            <w:tcW w:type="dxa" w:w="2023"/>
          </w:tcPr>
          <w:p>
            <w:pPr>
              <w:spacing w:line="276" w:lineRule="auto" w:after="40"/>
              <w:jc w:val="left"/>
            </w:pPr>
            <w:r>
              <w:rPr>
                <w:rFonts w:ascii="Times New Roman" w:hAnsi="Times New Roman"/>
                <w:sz w:val="17"/>
              </w:rPr>
              <w:t>PRISM</w:t>
              <w:br/>
              <w:t>Y. Sun, Q. Huang et al.</w:t>
            </w:r>
          </w:p>
        </w:tc>
        <w:tc>
          <w:tcPr>
            <w:tcW w:type="dxa" w:w="2023"/>
          </w:tcPr>
          <w:p>
            <w:pPr>
              <w:spacing w:line="276" w:lineRule="auto" w:after="40"/>
              <w:jc w:val="left"/>
            </w:pPr>
            <w:r>
              <w:rPr>
                <w:rFonts w:ascii="Times New Roman" w:hAnsi="Times New Roman"/>
                <w:sz w:val="17"/>
              </w:rPr>
              <w:t>ACL</w:t>
              <w:br/>
              <w:t>(2025)</w:t>
            </w:r>
          </w:p>
        </w:tc>
        <w:tc>
          <w:tcPr>
            <w:tcW w:type="dxa" w:w="2023"/>
          </w:tcPr>
          <w:p>
            <w:pPr>
              <w:spacing w:line="276" w:lineRule="auto" w:after="40"/>
              <w:jc w:val="left"/>
            </w:pPr>
            <w:r>
              <w:rPr>
                <w:rFonts w:ascii="Times New Roman" w:hAnsi="Times New Roman"/>
                <w:sz w:val="17"/>
              </w:rPr>
              <w:t>Political-aware cross-encoder transforming AllSides ratings into continuous latent embeddings.</w:t>
            </w:r>
          </w:p>
        </w:tc>
        <w:tc>
          <w:tcPr>
            <w:tcW w:type="dxa" w:w="2023"/>
          </w:tcPr>
          <w:p>
            <w:pPr>
              <w:spacing w:line="276" w:lineRule="auto" w:after="40"/>
              <w:jc w:val="left"/>
            </w:pPr>
            <w:r>
              <w:rPr>
                <w:rFonts w:ascii="Times New Roman" w:hAnsi="Times New Roman"/>
                <w:sz w:val="17"/>
              </w:rPr>
              <w:t>AllSides Corpus</w:t>
              <w:br/>
              <w:t>(F1: 72.4%)</w:t>
            </w:r>
          </w:p>
        </w:tc>
        <w:tc>
          <w:tcPr>
            <w:tcW w:type="dxa" w:w="2023"/>
          </w:tcPr>
          <w:p>
            <w:pPr>
              <w:spacing w:line="276" w:lineRule="auto" w:after="40"/>
              <w:jc w:val="left"/>
            </w:pPr>
            <w:r>
              <w:rPr>
                <w:rFonts w:ascii="Times New Roman" w:hAnsi="Times New Roman"/>
                <w:sz w:val="17"/>
              </w:rPr>
              <w:t>Operates primarily at topic/domain level rather than article-specific stance.</w:t>
            </w:r>
          </w:p>
        </w:tc>
      </w:tr>
      <w:tr>
        <w:tc>
          <w:tcPr>
            <w:tcW w:type="dxa" w:w="2023"/>
          </w:tcPr>
          <w:p>
            <w:pPr>
              <w:spacing w:line="276" w:lineRule="auto" w:after="40"/>
              <w:jc w:val="left"/>
            </w:pPr>
            <w:r>
              <w:rPr>
                <w:rFonts w:ascii="Times New Roman" w:hAnsi="Times New Roman"/>
                <w:sz w:val="17"/>
              </w:rPr>
              <w:t>Rationale LVLM</w:t>
              <w:br/>
              <w:t>X. Zheng, Z. Zeng et al.</w:t>
            </w:r>
          </w:p>
        </w:tc>
        <w:tc>
          <w:tcPr>
            <w:tcW w:type="dxa" w:w="2023"/>
          </w:tcPr>
          <w:p>
            <w:pPr>
              <w:spacing w:line="276" w:lineRule="auto" w:after="40"/>
              <w:jc w:val="left"/>
            </w:pPr>
            <w:r>
              <w:rPr>
                <w:rFonts w:ascii="Times New Roman" w:hAnsi="Times New Roman"/>
                <w:sz w:val="17"/>
              </w:rPr>
              <w:t>ACM WWW</w:t>
              <w:br/>
              <w:t>(2025)</w:t>
            </w:r>
          </w:p>
        </w:tc>
        <w:tc>
          <w:tcPr>
            <w:tcW w:type="dxa" w:w="2023"/>
          </w:tcPr>
          <w:p>
            <w:pPr>
              <w:spacing w:line="276" w:lineRule="auto" w:after="40"/>
              <w:jc w:val="left"/>
            </w:pPr>
            <w:r>
              <w:rPr>
                <w:rFonts w:ascii="Times New Roman" w:hAnsi="Times New Roman"/>
                <w:sz w:val="17"/>
              </w:rPr>
              <w:t>Rationale-augmented detection using Large Vision-Language Models for multimodal inconsistency detection.</w:t>
            </w:r>
          </w:p>
        </w:tc>
        <w:tc>
          <w:tcPr>
            <w:tcW w:type="dxa" w:w="2023"/>
          </w:tcPr>
          <w:p>
            <w:pPr>
              <w:spacing w:line="276" w:lineRule="auto" w:after="40"/>
              <w:jc w:val="left"/>
            </w:pPr>
            <w:r>
              <w:rPr>
                <w:rFonts w:ascii="Times New Roman" w:hAnsi="Times New Roman"/>
                <w:sz w:val="17"/>
              </w:rPr>
              <w:t>GossipCop / PolitiFact</w:t>
              <w:br/>
              <w:t>(91.8% Acc)</w:t>
            </w:r>
          </w:p>
        </w:tc>
        <w:tc>
          <w:tcPr>
            <w:tcW w:type="dxa" w:w="2023"/>
          </w:tcPr>
          <w:p>
            <w:pPr>
              <w:spacing w:line="276" w:lineRule="auto" w:after="40"/>
              <w:jc w:val="left"/>
            </w:pPr>
            <w:r>
              <w:rPr>
                <w:rFonts w:ascii="Times New Roman" w:hAnsi="Times New Roman"/>
                <w:sz w:val="17"/>
              </w:rPr>
              <w:t>High inference latency; potential LLM hallucinations in rationale generation.</w:t>
            </w:r>
          </w:p>
        </w:tc>
      </w:tr>
      <w:tr>
        <w:tc>
          <w:tcPr>
            <w:tcW w:type="dxa" w:w="2023"/>
          </w:tcPr>
          <w:p>
            <w:pPr>
              <w:spacing w:line="276" w:lineRule="auto" w:after="40"/>
              <w:jc w:val="left"/>
            </w:pPr>
            <w:r>
              <w:rPr>
                <w:rFonts w:ascii="Times New Roman" w:hAnsi="Times New Roman"/>
                <w:sz w:val="17"/>
              </w:rPr>
              <w:t>GLPN-LLM</w:t>
              <w:br/>
              <w:t>S. Hu, J. Hu et al.</w:t>
            </w:r>
          </w:p>
        </w:tc>
        <w:tc>
          <w:tcPr>
            <w:tcW w:type="dxa" w:w="2023"/>
          </w:tcPr>
          <w:p>
            <w:pPr>
              <w:spacing w:line="276" w:lineRule="auto" w:after="40"/>
              <w:jc w:val="left"/>
            </w:pPr>
            <w:r>
              <w:rPr>
                <w:rFonts w:ascii="Times New Roman" w:hAnsi="Times New Roman"/>
                <w:sz w:val="17"/>
              </w:rPr>
              <w:t>ACL</w:t>
              <w:br/>
              <w:t>(2025)</w:t>
            </w:r>
          </w:p>
        </w:tc>
        <w:tc>
          <w:tcPr>
            <w:tcW w:type="dxa" w:w="2023"/>
          </w:tcPr>
          <w:p>
            <w:pPr>
              <w:spacing w:line="276" w:lineRule="auto" w:after="40"/>
              <w:jc w:val="left"/>
            </w:pPr>
            <w:r>
              <w:rPr>
                <w:rFonts w:ascii="Times New Roman" w:hAnsi="Times New Roman"/>
                <w:sz w:val="17"/>
              </w:rPr>
              <w:t>LLM pseudo-labeling combined with Mask-based Global Label Propagation Network across cross-modal graphs.</w:t>
            </w:r>
          </w:p>
        </w:tc>
        <w:tc>
          <w:tcPr>
            <w:tcW w:type="dxa" w:w="2023"/>
          </w:tcPr>
          <w:p>
            <w:pPr>
              <w:spacing w:line="276" w:lineRule="auto" w:after="40"/>
              <w:jc w:val="left"/>
            </w:pPr>
            <w:r>
              <w:rPr>
                <w:rFonts w:ascii="Times New Roman" w:hAnsi="Times New Roman"/>
                <w:sz w:val="17"/>
              </w:rPr>
              <w:t>Twitter (88.8% Acc)</w:t>
              <w:br/>
              <w:t>PHEME (86.5% Acc)</w:t>
            </w:r>
          </w:p>
        </w:tc>
        <w:tc>
          <w:tcPr>
            <w:tcW w:type="dxa" w:w="2023"/>
          </w:tcPr>
          <w:p>
            <w:pPr>
              <w:spacing w:line="276" w:lineRule="auto" w:after="40"/>
              <w:jc w:val="left"/>
            </w:pPr>
            <w:r>
              <w:rPr>
                <w:rFonts w:ascii="Times New Roman" w:hAnsi="Times New Roman"/>
                <w:sz w:val="17"/>
              </w:rPr>
              <w:t>Complex multi-stage pipeline; lacks mathematical explainability.</w:t>
            </w:r>
          </w:p>
        </w:tc>
      </w:tr>
      <w:tr>
        <w:tc>
          <w:tcPr>
            <w:tcW w:type="dxa" w:w="2023"/>
          </w:tcPr>
          <w:p>
            <w:pPr>
              <w:spacing w:line="276" w:lineRule="auto" w:after="40"/>
              <w:jc w:val="left"/>
            </w:pPr>
            <w:r>
              <w:rPr>
                <w:rFonts w:ascii="Times New Roman" w:hAnsi="Times New Roman"/>
                <w:sz w:val="17"/>
              </w:rPr>
              <w:t>Logical Structure Tree</w:t>
              <w:br/>
              <w:t>Y. Lei, R. Huang</w:t>
            </w:r>
          </w:p>
        </w:tc>
        <w:tc>
          <w:tcPr>
            <w:tcW w:type="dxa" w:w="2023"/>
          </w:tcPr>
          <w:p>
            <w:pPr>
              <w:spacing w:line="276" w:lineRule="auto" w:after="40"/>
              <w:jc w:val="left"/>
            </w:pPr>
            <w:r>
              <w:rPr>
                <w:rFonts w:ascii="Times New Roman" w:hAnsi="Times New Roman"/>
                <w:sz w:val="17"/>
              </w:rPr>
              <w:t>EMNLP</w:t>
              <w:br/>
              <w:t>(2024)</w:t>
            </w:r>
          </w:p>
        </w:tc>
        <w:tc>
          <w:tcPr>
            <w:tcW w:type="dxa" w:w="2023"/>
          </w:tcPr>
          <w:p>
            <w:pPr>
              <w:spacing w:line="276" w:lineRule="auto" w:after="40"/>
              <w:jc w:val="left"/>
            </w:pPr>
            <w:r>
              <w:rPr>
                <w:rFonts w:ascii="Times New Roman" w:hAnsi="Times New Roman"/>
                <w:sz w:val="17"/>
              </w:rPr>
              <w:t>Hierarchical logical structure tree (+Tlogic) modeling argumentative connective discourse flow.</w:t>
            </w:r>
          </w:p>
        </w:tc>
        <w:tc>
          <w:tcPr>
            <w:tcW w:type="dxa" w:w="2023"/>
          </w:tcPr>
          <w:p>
            <w:pPr>
              <w:spacing w:line="276" w:lineRule="auto" w:after="40"/>
              <w:jc w:val="left"/>
            </w:pPr>
            <w:r>
              <w:rPr>
                <w:rFonts w:ascii="Times New Roman" w:hAnsi="Times New Roman"/>
                <w:sz w:val="17"/>
              </w:rPr>
              <w:t>LOGIC / Fallacy Benchmark</w:t>
              <w:br/>
              <w:t>(F1: ~74%)</w:t>
            </w:r>
          </w:p>
        </w:tc>
        <w:tc>
          <w:tcPr>
            <w:tcW w:type="dxa" w:w="2023"/>
          </w:tcPr>
          <w:p>
            <w:pPr>
              <w:spacing w:line="276" w:lineRule="auto" w:after="40"/>
              <w:jc w:val="left"/>
            </w:pPr>
            <w:r>
              <w:rPr>
                <w:rFonts w:ascii="Times New Roman" w:hAnsi="Times New Roman"/>
                <w:sz w:val="17"/>
              </w:rPr>
              <w:t>Tested on isolated debate text, not integrated into news verification.</w:t>
            </w:r>
          </w:p>
        </w:tc>
      </w:tr>
      <w:tr>
        <w:tc>
          <w:tcPr>
            <w:tcW w:type="dxa" w:w="2023"/>
          </w:tcPr>
          <w:p>
            <w:pPr>
              <w:spacing w:line="276" w:lineRule="auto" w:after="40"/>
              <w:jc w:val="left"/>
            </w:pPr>
            <w:r>
              <w:rPr>
                <w:rFonts w:ascii="Times New Roman" w:hAnsi="Times New Roman"/>
                <w:sz w:val="17"/>
              </w:rPr>
              <w:t>CoCoLoFa</w:t>
              <w:br/>
              <w:t>M.-H. Yeh et al.</w:t>
            </w:r>
          </w:p>
        </w:tc>
        <w:tc>
          <w:tcPr>
            <w:tcW w:type="dxa" w:w="2023"/>
          </w:tcPr>
          <w:p>
            <w:pPr>
              <w:spacing w:line="276" w:lineRule="auto" w:after="40"/>
              <w:jc w:val="left"/>
            </w:pPr>
            <w:r>
              <w:rPr>
                <w:rFonts w:ascii="Times New Roman" w:hAnsi="Times New Roman"/>
                <w:sz w:val="17"/>
              </w:rPr>
              <w:t>EMNLP</w:t>
              <w:br/>
              <w:t>(2024)</w:t>
            </w:r>
          </w:p>
        </w:tc>
        <w:tc>
          <w:tcPr>
            <w:tcW w:type="dxa" w:w="2023"/>
          </w:tcPr>
          <w:p>
            <w:pPr>
              <w:spacing w:line="276" w:lineRule="auto" w:after="40"/>
              <w:jc w:val="left"/>
            </w:pPr>
            <w:r>
              <w:rPr>
                <w:rFonts w:ascii="Times New Roman" w:hAnsi="Times New Roman"/>
                <w:sz w:val="17"/>
              </w:rPr>
              <w:t>Benchmark of 7,706 news comments annotated across 8 major formal and informal logical fallacies.</w:t>
            </w:r>
          </w:p>
        </w:tc>
        <w:tc>
          <w:tcPr>
            <w:tcW w:type="dxa" w:w="2023"/>
          </w:tcPr>
          <w:p>
            <w:pPr>
              <w:spacing w:line="276" w:lineRule="auto" w:after="40"/>
              <w:jc w:val="left"/>
            </w:pPr>
            <w:r>
              <w:rPr>
                <w:rFonts w:ascii="Times New Roman" w:hAnsi="Times New Roman"/>
                <w:sz w:val="17"/>
              </w:rPr>
              <w:t>CoCoLoFa Corpus</w:t>
              <w:br/>
              <w:t>(Baseline F1: 68.2%)</w:t>
            </w:r>
          </w:p>
        </w:tc>
        <w:tc>
          <w:tcPr>
            <w:tcW w:type="dxa" w:w="2023"/>
          </w:tcPr>
          <w:p>
            <w:pPr>
              <w:spacing w:line="276" w:lineRule="auto" w:after="40"/>
              <w:jc w:val="left"/>
            </w:pPr>
            <w:r>
              <w:rPr>
                <w:rFonts w:ascii="Times New Roman" w:hAnsi="Times New Roman"/>
                <w:sz w:val="17"/>
              </w:rPr>
              <w:t>Focuses on reader comments rather than original news article bodies.</w:t>
            </w:r>
          </w:p>
        </w:tc>
      </w:tr>
    </w:tbl>
    <w:p>
      <w:r>
        <w:br w:type="page"/>
      </w:r>
    </w:p>
    <w:p>
      <w:pPr>
        <w:spacing w:before="240" w:after="80"/>
      </w:pPr>
      <w:r>
        <w:rPr>
          <w:rFonts w:ascii="Times New Roman" w:hAnsi="Times New Roman"/>
          <w:b/>
          <w:sz w:val="26"/>
        </w:rPr>
        <w:t>3. IN-DEPTH ANALYSIS OF CORE RESEARCH MODALITIES</w:t>
      </w:r>
    </w:p>
    <w:p>
      <w:pPr>
        <w:spacing w:after="80" w:line="360" w:lineRule="auto"/>
        <w:jc w:val="both"/>
      </w:pPr>
      <w:r>
        <w:rPr>
          <w:rFonts w:ascii="Times New Roman" w:hAnsi="Times New Roman"/>
          <w:b/>
          <w:sz w:val="22"/>
        </w:rPr>
        <w:t xml:space="preserve">3.1 Stylometric &amp; Syntactic Fingerprinting: </w:t>
      </w:r>
      <w:r>
        <w:rPr>
          <w:rFonts w:ascii="Times New Roman" w:hAnsi="Times New Roman"/>
          <w:sz w:val="22"/>
        </w:rPr>
        <w:t>Linguistic diversity indices (such as Type-Token Ratio and Simpson's Diversity Index) serve as powerful proxies for text credibility. Credible investigative journalism naturally exhibits higher vocabulary entropy and lexical dispersion. Conversely, deceptive text deliberately constrains vocabulary diversity to reinforce sensationalist narratives. Readability metrics—specifically Flesch Reading Ease (FRE), Flesch-Kincaid Grade Level (FKGL), and Gunning Fog Index (GFI)—consistently correlate with target reader manipulation. Our survey indicates that deceptive clickbait maintains high FRE (&gt;70) and low sentence complexity to facilitate viral comprehension across broad demographic segments.</w:t>
      </w:r>
    </w:p>
    <w:p>
      <w:pPr>
        <w:spacing w:after="80" w:line="360" w:lineRule="auto"/>
        <w:jc w:val="both"/>
      </w:pPr>
      <w:r>
        <w:rPr>
          <w:rFonts w:ascii="Times New Roman" w:hAnsi="Times New Roman"/>
          <w:b/>
          <w:sz w:val="22"/>
        </w:rPr>
        <w:t xml:space="preserve">3.2 Target-Stance Political Bias Spectrum: </w:t>
      </w:r>
      <w:r>
        <w:rPr>
          <w:rFonts w:ascii="Times New Roman" w:hAnsi="Times New Roman"/>
          <w:sz w:val="22"/>
        </w:rPr>
        <w:t>Traditional media bias models rely on static outlet ratings (e.g., AllSides or Ad Fontes), assuming that every article from a given publisher carries identical political orientation. However, contemporary computational political science (Rönnback et al., PLOS ONE 2025; Sun et al., ACL 2025) demonstrates that bias is dynamic and entity-dependent. The primary flaw in naive sentiment classifiers is 'stance inversion': when an article vehemently attacks Left-wing politicians, sentiment models detect 'left' and negative polarity, incorrectly classifying it as Left-biased. A directional stance engine that cross-references entity targets against attack modifiers is required to correctly position the article on the ideological spectrum.</w:t>
      </w:r>
    </w:p>
    <w:p>
      <w:pPr>
        <w:spacing w:after="80" w:line="360" w:lineRule="auto"/>
        <w:jc w:val="both"/>
      </w:pPr>
      <w:r>
        <w:rPr>
          <w:rFonts w:ascii="Times New Roman" w:hAnsi="Times New Roman"/>
          <w:b/>
          <w:sz w:val="22"/>
        </w:rPr>
        <w:t xml:space="preserve">3.3 Cognitive Fallacy &amp; Rhetorical Manipulation: </w:t>
      </w:r>
      <w:r>
        <w:rPr>
          <w:rFonts w:ascii="Times New Roman" w:hAnsi="Times New Roman"/>
          <w:sz w:val="22"/>
        </w:rPr>
        <w:t>Logical fallacies are the structural backbone of cognitive manipulation. Recent NLP benchmarks (Lei &amp; Huang, EMNLP 2024; Yeh et al., EMNLP 2024) categorize misinformation into recurring rhetorical patterns: Ad Hominem smears, Appeals to Fear, Phantom Authority, False Dilemma, and Conspiracy Framing. While transformer models have been applied to fallacy detection, their probabilistic nature frequently causes hallucinated explanations. A deterministic, rule-based fallacy scanner guarantees 100% precision on matched linguistic patterns, providing transparent evidentiary explanations.</w:t>
      </w:r>
    </w:p>
    <w:p>
      <w:pPr>
        <w:spacing w:after="80" w:line="360" w:lineRule="auto"/>
        <w:jc w:val="both"/>
      </w:pPr>
      <w:r>
        <w:rPr>
          <w:rFonts w:ascii="Times New Roman" w:hAnsi="Times New Roman"/>
          <w:b/>
          <w:sz w:val="22"/>
        </w:rPr>
        <w:t xml:space="preserve">3.4 Institutional Knowledge Grounding: </w:t>
      </w:r>
      <w:r>
        <w:rPr>
          <w:rFonts w:ascii="Times New Roman" w:hAnsi="Times New Roman"/>
          <w:sz w:val="22"/>
        </w:rPr>
        <w:t>Recent state-of-the-art architectures (Xie et al., IEEE TCSS 2025; Cao et al., AAAI 2025) demonstrate that external knowledge grounding is essential to combat hallucination and lexical shortcuts. Rather than performing open-web searches—which often retrieve contradictory blogs—fact verification must be grounded in curated institutional databases (WHO, NASA, IPCC, UNESCO) representing peer-reviewed global consensus.</w:t>
      </w:r>
    </w:p>
    <w:p>
      <w:r>
        <w:br w:type="page"/>
      </w:r>
    </w:p>
    <w:p>
      <w:pPr>
        <w:spacing w:before="240" w:after="80"/>
      </w:pPr>
      <w:r>
        <w:rPr>
          <w:rFonts w:ascii="Times New Roman" w:hAnsi="Times New Roman"/>
          <w:b/>
          <w:sz w:val="26"/>
        </w:rPr>
        <w:t>4. IDENTIFIED RESEARCH GAPS &amp; ARCHITECTURAL POSITIONING</w:t>
      </w:r>
    </w:p>
    <w:p>
      <w:pPr>
        <w:spacing w:after="80" w:line="360" w:lineRule="auto"/>
        <w:jc w:val="both"/>
      </w:pPr>
      <w:r>
        <w:rPr>
          <w:rFonts w:ascii="Times New Roman" w:hAnsi="Times New Roman"/>
          <w:b/>
          <w:sz w:val="22"/>
        </w:rPr>
        <w:t xml:space="preserve">4.1 Summary of Critical Research Gaps: </w:t>
      </w:r>
      <w:r>
        <w:rPr>
          <w:rFonts w:ascii="Times New Roman" w:hAnsi="Times New Roman"/>
          <w:sz w:val="22"/>
        </w:rPr>
        <w:t>1. The Interpretability Void: State-of-the-art transformer baselines provide no quantitative mathematical indices explaining why an article was flagged.</w:t>
        <w:br/>
        <w:t>2. The Stance Inversion Flaw: Inability of conventional sentiment classifiers to distinguish between entity mentions and directional author stance.</w:t>
        <w:br/>
        <w:t>3. Omission of Rhetorical Fallacies: Complete absence of fallacy auditing in mainstream automated fact-checking tools.</w:t>
        <w:br/>
        <w:t>4. Uncurated Fact Grounding: Reliance on noisy web retrieval rather than authoritative institutional databases.</w:t>
        <w:br/>
        <w:t>5. Resource-Intensive Deployments: Existing research architectures require massive multi-GPU clusters, rendering them unviable for local newsrooms or edge devices.</w:t>
      </w:r>
    </w:p>
    <w:p>
      <w:pPr>
        <w:spacing w:after="80" w:line="360" w:lineRule="auto"/>
        <w:jc w:val="both"/>
      </w:pPr>
      <w:r>
        <w:rPr>
          <w:rFonts w:ascii="Times New Roman" w:hAnsi="Times New Roman"/>
          <w:b/>
          <w:sz w:val="22"/>
        </w:rPr>
        <w:t xml:space="preserve">4.2 Positioning of the Proposed System: </w:t>
      </w:r>
      <w:r>
        <w:rPr>
          <w:rFonts w:ascii="Times New Roman" w:hAnsi="Times New Roman"/>
          <w:sz w:val="22"/>
        </w:rPr>
        <w:t>The 'Evidence and Framing Auditor' directly addresses all five gaps by implementing an interpretable, multi-branch pipeline:</w:t>
        <w:br/>
        <w:t>• It fuses 18+ stylometric metrics with 4,000 sublinear TF-IDF features (D=5,028) into a calibrated Stacking Ensemble (LR + RF + XGBoost) achieving 98.33% accuracy.</w:t>
        <w:br/>
        <w:t>• It introduces the Target-Stance Ideological Coordinate Engine, computing continuous 2D coordinates (Bias_x, Fact_y) on an AllSides-calibrated spectrum.</w:t>
        <w:br/>
        <w:t>• It embeds an 8-class Cognitive Fallacy Scanner with an aggregated Fallacy Severity Index (FSI in [0, 100]).</w:t>
        <w:br/>
        <w:t>• It performs line-by-line institutional claim verification against WHO, NASA, IPCC, and UNESCO consensus records.</w:t>
        <w:br/>
        <w:t>• It operates as a lightweight, real-time web application (Flask on Port 5001) requiring no expensive GPU infrastructure.</w:t>
      </w:r>
    </w:p>
    <w:p>
      <w:r>
        <w:br w:type="page"/>
      </w:r>
    </w:p>
    <w:p>
      <w:pPr>
        <w:spacing w:before="240" w:after="80"/>
      </w:pPr>
      <w:r>
        <w:rPr>
          <w:rFonts w:ascii="Times New Roman" w:hAnsi="Times New Roman"/>
          <w:b/>
          <w:sz w:val="26"/>
        </w:rPr>
        <w:t>5. REFERENCES (IEEE FORMAT)</w:t>
      </w:r>
    </w:p>
    <w:p>
      <w:pPr>
        <w:spacing w:after="100" w:line="300" w:lineRule="auto"/>
        <w:jc w:val="both"/>
      </w:pPr>
      <w:r>
        <w:rPr>
          <w:rFonts w:ascii="Times New Roman" w:hAnsi="Times New Roman"/>
          <w:sz w:val="20"/>
        </w:rPr>
        <w:t>[1] B. Xie, X. Ma, and X. Shan, "Multiknowledge and LLM-Inspired Heterogeneous Graph Neural Network for Fake News Detection," IEEE Transactions on Computational Social Systems, vol. 12, no. 2, pp. 682–694, 2025.</w:t>
      </w:r>
    </w:p>
    <w:p>
      <w:pPr>
        <w:spacing w:after="100" w:line="300" w:lineRule="auto"/>
        <w:jc w:val="both"/>
      </w:pPr>
      <w:r>
        <w:rPr>
          <w:rFonts w:ascii="Times New Roman" w:hAnsi="Times New Roman"/>
          <w:sz w:val="20"/>
        </w:rPr>
        <w:t>[2] B. Cao, Q. Wu, J. Cao, B. Liu, and J. Gui, "External Reliable Information-enhanced Multimodal Contrastive Learning for Fake News Detection," in Proceedings of the AAAI Conference on Artificial Intelligence, vol. 39, pp. 31–39, 2025.</w:t>
      </w:r>
    </w:p>
    <w:p>
      <w:pPr>
        <w:spacing w:after="100" w:line="300" w:lineRule="auto"/>
        <w:jc w:val="both"/>
      </w:pPr>
      <w:r>
        <w:rPr>
          <w:rFonts w:ascii="Times New Roman" w:hAnsi="Times New Roman"/>
          <w:sz w:val="20"/>
        </w:rPr>
        <w:t>[3] L. Xiao, Q. Zhang, C. Shi, S. Wang, U. Naseem, and L. Hu, "MSynFD: Multi-Hop Syntax-Aware Fake News Detection," in Proceedings of the ACM Web Conference (WWW '24), pp. 4112–4123, 2024.</w:t>
      </w:r>
    </w:p>
    <w:p>
      <w:pPr>
        <w:spacing w:after="100" w:line="300" w:lineRule="auto"/>
        <w:jc w:val="both"/>
      </w:pPr>
      <w:r>
        <w:rPr>
          <w:rFonts w:ascii="Times New Roman" w:hAnsi="Times New Roman"/>
          <w:sz w:val="20"/>
        </w:rPr>
        <w:t>[4] Y. Sun, Q. Huang, A. K. H. Tung, and J. Yu, "PRISM: A Framework for Producing Interpretable Political Bias Embeddings with Political-Aware Cross-Encoder," in Proceedings of the Association for Computational Linguistics (ACL 2025), pp. 1520–1534, 2025.</w:t>
      </w:r>
    </w:p>
    <w:p>
      <w:pPr>
        <w:spacing w:after="100" w:line="300" w:lineRule="auto"/>
        <w:jc w:val="both"/>
      </w:pPr>
      <w:r>
        <w:rPr>
          <w:rFonts w:ascii="Times New Roman" w:hAnsi="Times New Roman"/>
          <w:sz w:val="20"/>
        </w:rPr>
        <w:t>[5] X. Zheng, Z. Zeng, H. Wang, Y. Bai, and M. Luo, "From Predictions to Analyses: Rationale-Augmented Fake News Detection with Large Vision-Language Models," in Proceedings of the ACM Web Conference (WWW '25), pp. 2410–2421, 2025.</w:t>
      </w:r>
    </w:p>
    <w:p>
      <w:pPr>
        <w:spacing w:after="100" w:line="300" w:lineRule="auto"/>
        <w:jc w:val="both"/>
      </w:pPr>
      <w:r>
        <w:rPr>
          <w:rFonts w:ascii="Times New Roman" w:hAnsi="Times New Roman"/>
          <w:sz w:val="20"/>
        </w:rPr>
        <w:t>[6] S. Hu, J. Hu, and H. Zhang, "Synergizing LLMs with Global Label Propagation for Multimodal Fake News Detection (GLPN-LLM)," in Findings of the Association for Computational Linguistics (ACL 2025), pp. 3120–3133, 2025.</w:t>
      </w:r>
    </w:p>
    <w:p>
      <w:pPr>
        <w:spacing w:after="100" w:line="300" w:lineRule="auto"/>
        <w:jc w:val="both"/>
      </w:pPr>
      <w:r>
        <w:rPr>
          <w:rFonts w:ascii="Times New Roman" w:hAnsi="Times New Roman"/>
          <w:sz w:val="20"/>
        </w:rPr>
        <w:t>[7] Y. Lei and R. Huang, "Boosting Logical Fallacy Reasoning in LLMs via Logical Structure Tree," in Proceedings of the Conference on Empirical Methods in Natural Language Processing (EMNLP 2024), pp. 1820–1835, 2024.</w:t>
      </w:r>
    </w:p>
    <w:p>
      <w:pPr>
        <w:spacing w:after="100" w:line="300" w:lineRule="auto"/>
        <w:jc w:val="both"/>
      </w:pPr>
      <w:r>
        <w:rPr>
          <w:rFonts w:ascii="Times New Roman" w:hAnsi="Times New Roman"/>
          <w:sz w:val="20"/>
        </w:rPr>
        <w:t>[8] M.-H. Yeh, R. Wan, and T.-H. K. Huang, "CoCoLoFa: A Dataset of News Comments with Common Logical Fallacies Written by LLM-Assisted Crowds," in Proceedings of EMNLP 2024, pp. 4501–4514, 2024.</w:t>
      </w:r>
    </w:p>
    <w:p>
      <w:pPr>
        <w:spacing w:after="100" w:line="300" w:lineRule="auto"/>
        <w:jc w:val="both"/>
      </w:pPr>
      <w:r>
        <w:rPr>
          <w:rFonts w:ascii="Times New Roman" w:hAnsi="Times New Roman"/>
          <w:sz w:val="20"/>
        </w:rPr>
        <w:t>[9] R. Rönnback, C. Emmery, and H. Brighton, "Automatic Large-Scale Political Bias Detection of News Outlets," PLOS ONE, vol. 20, no. 5, p. e0321418, 2025.</w:t>
      </w:r>
    </w:p>
    <w:p>
      <w:pPr>
        <w:spacing w:after="100" w:line="300" w:lineRule="auto"/>
        <w:jc w:val="both"/>
      </w:pPr>
      <w:r>
        <w:rPr>
          <w:rFonts w:ascii="Times New Roman" w:hAnsi="Times New Roman"/>
          <w:sz w:val="20"/>
        </w:rPr>
        <w:t>[10] X. Wang, E. Cabrio, and S. Villata, "When Automated Fact-Checking Meets Argumentation: Unveiling Fake News Through Argumentative Evidence," Argument &amp; Computation, vol. 16, no. 3, pp. 210–235, 2025.</w:t>
      </w:r>
    </w:p>
    <w:p>
      <w:pPr>
        <w:spacing w:after="100" w:line="300" w:lineRule="auto"/>
        <w:jc w:val="both"/>
      </w:pPr>
      <w:r>
        <w:rPr>
          <w:rFonts w:ascii="Times New Roman" w:hAnsi="Times New Roman"/>
          <w:sz w:val="20"/>
        </w:rPr>
        <w:t>[11] Y. Bai, H. Wang, and M. Luo, "Towards Explainable Misinformation Detection: A Survey," ACM Computing Surveys, vol. 56, no. 8, pp. 1–38, 2024.</w:t>
      </w:r>
    </w:p>
    <w:p>
      <w:pPr>
        <w:spacing w:after="100" w:line="300" w:lineRule="auto"/>
        <w:jc w:val="both"/>
      </w:pPr>
      <w:r>
        <w:rPr>
          <w:rFonts w:ascii="Times New Roman" w:hAnsi="Times New Roman"/>
          <w:sz w:val="20"/>
        </w:rPr>
        <w:t>[12] Q. Nan, D. Cao, and Y. Zhu, "Multimodal Fake News Detection: A Survey and a New Dataset," Information Processing &amp; Management, vol. 61, no. 3, p. 103650, 2024.</w:t>
      </w:r>
    </w:p>
    <w:p>
      <w:pPr>
        <w:spacing w:before="600"/>
      </w:pPr>
      <w:r>
        <w:rPr>
          <w:b/>
        </w:rPr>
        <w:t>Student’s Signature: __________________          Guide’s Signature: __________________</w:t>
      </w:r>
    </w:p>
    <w:sectPr w:rsidR="00FC693F" w:rsidRPr="0006063C" w:rsidSect="00034616">
      <w:pgSz w:w="12240" w:h="15840"/>
      <w:pgMar w:top="1417" w:right="709" w:bottom="709"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