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0A1628" w:val="clear"/>
            <w:tcMar>
              <w:top w:type="dxa" w:w="480"/>
              <w:left w:type="dxa" w:w="480"/>
              <w:bottom w:type="dxa" w:w="480"/>
              <w:right w:type="dxa" w:w="480"/>
            </w:tcMar>
          </w:tcPr>
          <w:p>
            <w:pPr>
              <w:spacing w:before="0" w:after="160"/>
            </w:pPr>
            <w:r>
              <w:rPr>
                <w:rFonts w:ascii="Arial" w:cs="Arial" w:eastAsia="Arial" w:hAnsi="Arial"/>
                <w:b/>
                <w:bCs/>
                <w:color w:val="00C4E0"/>
                <w:spacing w:val="100"/>
                <w:sz w:val="18"/>
                <w:szCs w:val="18"/>
              </w:rPr>
              <w:t xml:space="preserve">HACKATHON PROJECT DOCUMENTATION</w:t>
            </w:r>
          </w:p>
          <w:p>
            <w:pPr>
              <w:spacing w:before="0" w:after="80"/>
            </w:pPr>
            <w:r>
              <w:rPr>
                <w:rFonts w:ascii="Arial" w:cs="Arial" w:eastAsia="Arial" w:hAnsi="Arial"/>
                <w:b/>
                <w:bCs/>
                <w:color w:val="FFFFFF"/>
                <w:sz w:val="72"/>
                <w:szCs w:val="72"/>
              </w:rPr>
              <w:t xml:space="preserve">AI Trust Sentinel</w:t>
            </w:r>
          </w:p>
          <w:p>
            <w:pPr>
              <w:spacing w:before="0" w:after="280"/>
            </w:pPr>
            <w:r>
              <w:rPr>
                <w:rFonts w:ascii="Arial" w:cs="Arial" w:eastAsia="Arial" w:hAnsi="Arial"/>
                <w:i/>
                <w:iCs/>
                <w:color w:val="00C4E0"/>
                <w:sz w:val="28"/>
                <w:szCs w:val="28"/>
              </w:rPr>
              <w:t xml:space="preserve">The trust layer AI never gave you.</w:t>
            </w:r>
          </w:p>
          <w:p>
            <w:pPr>
              <w:spacing w:before="0" w:after="0"/>
            </w:pPr>
            <w:r>
              <w:rPr>
                <w:rFonts w:ascii="Arial" w:cs="Arial" w:eastAsia="Arial" w:hAnsi="Arial"/>
                <w:color w:val="8BAFC4"/>
                <w:sz w:val="20"/>
                <w:szCs w:val="20"/>
              </w:rPr>
              <w:t xml:space="preserve">Track: AI / ML   |   Version: 1.0   |   Status: Hackathon Draft</w:t>
            </w:r>
          </w:p>
        </w:tc>
      </w:tr>
    </w:tbl>
    <w:p>
      <w:pPr>
        <w:spacing w:before="40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0097B2" w:sz="1"/>
              <w:left w:val="single" w:color="0097B2" w:sz="1"/>
              <w:bottom w:val="single" w:color="0097B2" w:sz="1"/>
              <w:right w:val="single" w:color="0097B2" w:sz="1"/>
            </w:tcBorders>
            <w:shd w:fill="E8F4F8" w:val="clear"/>
            <w:tcMar>
              <w:top w:type="dxa" w:w="180"/>
              <w:left w:type="dxa" w:w="200"/>
              <w:bottom w:type="dxa" w:w="180"/>
              <w:right w:type="dxa" w:w="200"/>
            </w:tcMar>
            <w:vAlign w:val="center"/>
          </w:tcPr>
          <w:p>
            <w:pPr>
              <w:spacing w:before="0" w:after="40"/>
              <w:jc w:val="center"/>
            </w:pPr>
            <w:r>
              <w:rPr>
                <w:rFonts w:ascii="Arial" w:cs="Arial" w:eastAsia="Arial" w:hAnsi="Arial"/>
                <w:b/>
                <w:bCs/>
                <w:color w:val="0097B2"/>
                <w:sz w:val="40"/>
                <w:szCs w:val="40"/>
              </w:rPr>
              <w:t xml:space="preserve">$0.10</w:t>
            </w:r>
          </w:p>
          <w:p>
            <w:pPr>
              <w:spacing w:before="0" w:after="0"/>
              <w:jc w:val="center"/>
            </w:pPr>
            <w:r>
              <w:rPr>
                <w:rFonts w:ascii="Arial" w:cs="Arial" w:eastAsia="Arial" w:hAnsi="Arial"/>
                <w:color w:val="64748B"/>
                <w:sz w:val="18"/>
                <w:szCs w:val="18"/>
              </w:rPr>
              <w:t xml:space="preserve">Cost for 500 queries</w:t>
            </w:r>
          </w:p>
        </w:tc>
        <w:tc>
          <w:tcPr>
            <w:tcW w:type="dxa" w:w="2430"/>
            <w:tcBorders>
              <w:top w:val="single" w:color="0097B2" w:sz="1"/>
              <w:left w:val="single" w:color="0097B2" w:sz="1"/>
              <w:bottom w:val="single" w:color="0097B2" w:sz="1"/>
              <w:right w:val="single" w:color="0097B2" w:sz="1"/>
            </w:tcBorders>
            <w:shd w:fill="E8F4F8" w:val="clear"/>
            <w:tcMar>
              <w:top w:type="dxa" w:w="180"/>
              <w:left w:type="dxa" w:w="200"/>
              <w:bottom w:type="dxa" w:w="180"/>
              <w:right w:type="dxa" w:w="200"/>
            </w:tcMar>
            <w:vAlign w:val="center"/>
          </w:tcPr>
          <w:p>
            <w:pPr>
              <w:spacing w:before="0" w:after="40"/>
              <w:jc w:val="center"/>
            </w:pPr>
            <w:r>
              <w:rPr>
                <w:rFonts w:ascii="Arial" w:cs="Arial" w:eastAsia="Arial" w:hAnsi="Arial"/>
                <w:b/>
                <w:bCs/>
                <w:color w:val="0097B2"/>
                <w:sz w:val="40"/>
                <w:szCs w:val="40"/>
              </w:rPr>
              <w:t xml:space="preserve">2 LLMs</w:t>
            </w:r>
          </w:p>
          <w:p>
            <w:pPr>
              <w:spacing w:before="0" w:after="0"/>
              <w:jc w:val="center"/>
            </w:pPr>
            <w:r>
              <w:rPr>
                <w:rFonts w:ascii="Arial" w:cs="Arial" w:eastAsia="Arial" w:hAnsi="Arial"/>
                <w:color w:val="64748B"/>
                <w:sz w:val="18"/>
                <w:szCs w:val="18"/>
              </w:rPr>
              <w:t xml:space="preserve">Cross-verification</w:t>
            </w:r>
          </w:p>
        </w:tc>
        <w:tc>
          <w:tcPr>
            <w:tcW w:type="dxa" w:w="2430"/>
            <w:tcBorders>
              <w:top w:val="single" w:color="0097B2" w:sz="1"/>
              <w:left w:val="single" w:color="0097B2" w:sz="1"/>
              <w:bottom w:val="single" w:color="0097B2" w:sz="1"/>
              <w:right w:val="single" w:color="0097B2" w:sz="1"/>
            </w:tcBorders>
            <w:shd w:fill="E8F4F8" w:val="clear"/>
            <w:tcMar>
              <w:top w:type="dxa" w:w="180"/>
              <w:left w:type="dxa" w:w="200"/>
              <w:bottom w:type="dxa" w:w="180"/>
              <w:right w:type="dxa" w:w="200"/>
            </w:tcMar>
            <w:vAlign w:val="center"/>
          </w:tcPr>
          <w:p>
            <w:pPr>
              <w:spacing w:before="0" w:after="40"/>
              <w:jc w:val="center"/>
            </w:pPr>
            <w:r>
              <w:rPr>
                <w:rFonts w:ascii="Arial" w:cs="Arial" w:eastAsia="Arial" w:hAnsi="Arial"/>
                <w:b/>
                <w:bCs/>
                <w:color w:val="0097B2"/>
                <w:sz w:val="40"/>
                <w:szCs w:val="40"/>
              </w:rPr>
              <w:t xml:space="preserve">7 Stages</w:t>
            </w:r>
          </w:p>
          <w:p>
            <w:pPr>
              <w:spacing w:before="0" w:after="0"/>
              <w:jc w:val="center"/>
            </w:pPr>
            <w:r>
              <w:rPr>
                <w:rFonts w:ascii="Arial" w:cs="Arial" w:eastAsia="Arial" w:hAnsi="Arial"/>
                <w:color w:val="64748B"/>
                <w:sz w:val="18"/>
                <w:szCs w:val="18"/>
              </w:rPr>
              <w:t xml:space="preserve">Pipeline steps</w:t>
            </w:r>
          </w:p>
        </w:tc>
        <w:tc>
          <w:tcPr>
            <w:tcW w:type="dxa" w:w="2430"/>
            <w:tcBorders>
              <w:top w:val="single" w:color="0097B2" w:sz="1"/>
              <w:left w:val="single" w:color="0097B2" w:sz="1"/>
              <w:bottom w:val="single" w:color="0097B2" w:sz="1"/>
              <w:right w:val="single" w:color="0097B2" w:sz="1"/>
            </w:tcBorders>
            <w:shd w:fill="E8F4F8" w:val="clear"/>
            <w:tcMar>
              <w:top w:type="dxa" w:w="180"/>
              <w:left w:type="dxa" w:w="200"/>
              <w:bottom w:type="dxa" w:w="180"/>
              <w:right w:type="dxa" w:w="200"/>
            </w:tcMar>
            <w:vAlign w:val="center"/>
          </w:tcPr>
          <w:p>
            <w:pPr>
              <w:spacing w:before="0" w:after="40"/>
              <w:jc w:val="center"/>
            </w:pPr>
            <w:r>
              <w:rPr>
                <w:rFonts w:ascii="Arial" w:cs="Arial" w:eastAsia="Arial" w:hAnsi="Arial"/>
                <w:b/>
                <w:bCs/>
                <w:color w:val="0097B2"/>
                <w:sz w:val="40"/>
                <w:szCs w:val="40"/>
              </w:rPr>
              <w:t xml:space="preserve">48 hrs</w:t>
            </w:r>
          </w:p>
          <w:p>
            <w:pPr>
              <w:spacing w:before="0" w:after="0"/>
              <w:jc w:val="center"/>
            </w:pPr>
            <w:r>
              <w:rPr>
                <w:rFonts w:ascii="Arial" w:cs="Arial" w:eastAsia="Arial" w:hAnsi="Arial"/>
                <w:color w:val="64748B"/>
                <w:sz w:val="18"/>
                <w:szCs w:val="18"/>
              </w:rPr>
              <w:t xml:space="preserve">Build timeline</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80"/>
              <w:left w:type="dxa" w:w="240"/>
              <w:bottom w:type="dxa" w:w="180"/>
              <w:right w:type="dxa" w:w="240"/>
            </w:tcMar>
          </w:tcPr>
          <w:p>
            <w:pPr>
              <w:spacing w:before="0" w:after="0"/>
            </w:pPr>
            <w:r>
              <w:rPr>
                <w:rFonts w:ascii="Arial" w:cs="Arial" w:eastAsia="Arial" w:hAnsi="Arial"/>
                <w:b/>
                <w:bCs/>
                <w:color w:val="FFFFFF"/>
                <w:spacing w:val="80"/>
                <w:sz w:val="26"/>
                <w:szCs w:val="26"/>
              </w:rPr>
              <w:t xml:space="preserve">01. EXECUTIVE SUMMARY</w:t>
            </w:r>
          </w:p>
        </w:tc>
      </w:tr>
    </w:tbl>
    <w:p>
      <w:pPr>
        <w:spacing w:before="80" w:after="0"/>
      </w:pPr>
      <w:r>
        <w:t xml:space="preserve"/>
      </w:r>
    </w:p>
    <w:p>
      <w:pPr>
        <w:spacing w:before="60" w:after="80"/>
        <w:jc w:val="both"/>
      </w:pPr>
      <w:r>
        <w:rPr>
          <w:rFonts w:ascii="Arial" w:cs="Arial" w:eastAsia="Arial" w:hAnsi="Arial"/>
          <w:color w:val="2C3E50"/>
          <w:sz w:val="22"/>
          <w:szCs w:val="22"/>
        </w:rPr>
        <w:t xml:space="preserve">AI Trust Sentinel is a real-time hallucination detection and trust verification platform that wraps any AI-generated response and tells users exactly which parts to trust — and which to question. It uses a cost-optimized dual-LLM pipeline, web-grounded fact-checking, and a sentence-level trust scoring engine to give users the confidence layer that no major AI product currently provides.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97B2"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MISSION</w:t>
            </w:r>
          </w:p>
        </w:tc>
        <w:tc>
          <w:tcPr>
            <w:tcW w:type="dxa" w:w="9160"/>
            <w:tcBorders>
              <w:top w:val="none" w:color="FFFFFF" w:sz="0"/>
              <w:left w:val="none" w:color="FFFFFF" w:sz="0"/>
              <w:bottom w:val="none" w:color="FFFFFF" w:sz="0"/>
              <w:right w:val="none" w:color="FFFFFF" w:sz="0"/>
            </w:tcBorders>
            <w:shd w:fill="E8F4F8" w:val="clear"/>
            <w:tcMar>
              <w:top w:type="dxa" w:w="100"/>
              <w:left w:type="dxa" w:w="160"/>
              <w:bottom w:type="dxa" w:w="100"/>
              <w:right w:type="dxa" w:w="120"/>
            </w:tcMar>
          </w:tcPr>
          <w:p>
            <w:pPr>
              <w:spacing w:before="0" w:after="0"/>
            </w:pPr>
            <w:r>
              <w:rPr>
                <w:rFonts w:ascii="Arial" w:cs="Arial" w:eastAsia="Arial" w:hAnsi="Arial"/>
                <w:i/>
                <w:iCs/>
                <w:color w:val="2C3E50"/>
                <w:sz w:val="21"/>
                <w:szCs w:val="21"/>
              </w:rPr>
              <w:t xml:space="preserve">Every major AI company is racing to make their models smarter. Nobody is building the trust layer that tells you when not to trust them. That is AI Trust Sentinel.</w:t>
            </w:r>
          </w:p>
        </w:tc>
      </w:tr>
    </w:tbl>
    <w:p>
      <w:pPr>
        <w:spacing w:before="140" w:after="0"/>
      </w:pPr>
      <w:r>
        <w:t xml:space="preserve"/>
      </w:r>
    </w:p>
    <w:p>
      <w:pPr>
        <w:pStyle w:val="Heading2"/>
        <w:spacing w:before="300" w:after="120"/>
      </w:pPr>
      <w:r>
        <w:rPr>
          <w:rFonts w:ascii="Arial" w:cs="Arial" w:eastAsia="Arial" w:hAnsi="Arial"/>
          <w:b/>
          <w:bCs/>
          <w:color w:val="1A2940"/>
          <w:sz w:val="28"/>
          <w:szCs w:val="28"/>
        </w:rPr>
        <w:t xml:space="preserve">Core Value Proposition</w:t>
      </w:r>
    </w:p>
    <w:p>
      <w:pPr>
        <w:spacing w:before="60" w:after="80"/>
        <w:jc w:val="both"/>
      </w:pPr>
      <w:r>
        <w:rPr>
          <w:rFonts w:ascii="Arial" w:cs="Arial" w:eastAsia="Arial" w:hAnsi="Arial"/>
          <w:color w:val="2C3E50"/>
          <w:sz w:val="22"/>
          <w:szCs w:val="22"/>
        </w:rPr>
        <w:t xml:space="preserve">When a user asks any question to an AI, they receive a confident, fluent answer. There is currently no native mechanism in ChatGPT, Gemini, or Claude that warns users when that answer contains a hallucination. AI Trust Sentinel fills this gap by:</w:t>
      </w:r>
    </w:p>
    <w:p>
      <w:pPr>
        <w:spacing w:before="60" w:after="0"/>
      </w:pPr>
      <w:r>
        <w:t xml:space="preserve"/>
      </w:r>
    </w:p>
    <w:p>
      <w:pPr>
        <w:pStyle w:val="ListParagraph"/>
        <w:numPr>
          <w:ilvl w:val="0"/>
          <w:numId w:val="2"/>
        </w:numPr>
        <w:spacing w:before="40" w:after="60"/>
      </w:pPr>
      <w:r>
        <w:rPr>
          <w:rFonts w:ascii="Arial" w:cs="Arial" w:eastAsia="Arial" w:hAnsi="Arial"/>
          <w:color w:val="2C3E50"/>
          <w:sz w:val="22"/>
          <w:szCs w:val="22"/>
        </w:rPr>
        <w:t xml:space="preserve">Running the same query through two independent AI models simultaneously</w:t>
      </w:r>
    </w:p>
    <w:p>
      <w:pPr>
        <w:pStyle w:val="ListParagraph"/>
        <w:numPr>
          <w:ilvl w:val="0"/>
          <w:numId w:val="2"/>
        </w:numPr>
        <w:spacing w:before="40" w:after="60"/>
      </w:pPr>
      <w:r>
        <w:rPr>
          <w:rFonts w:ascii="Arial" w:cs="Arial" w:eastAsia="Arial" w:hAnsi="Arial"/>
          <w:color w:val="2C3E50"/>
          <w:sz w:val="22"/>
          <w:szCs w:val="22"/>
        </w:rPr>
        <w:t xml:space="preserve">Cross-referencing key claims against live web sources</w:t>
      </w:r>
    </w:p>
    <w:p>
      <w:pPr>
        <w:pStyle w:val="ListParagraph"/>
        <w:numPr>
          <w:ilvl w:val="0"/>
          <w:numId w:val="2"/>
        </w:numPr>
        <w:spacing w:before="40" w:after="60"/>
      </w:pPr>
      <w:r>
        <w:rPr>
          <w:rFonts w:ascii="Arial" w:cs="Arial" w:eastAsia="Arial" w:hAnsi="Arial"/>
          <w:color w:val="2C3E50"/>
          <w:sz w:val="22"/>
          <w:szCs w:val="22"/>
        </w:rPr>
        <w:t xml:space="preserve">Generating a Trust Score (0-100) for the entire response</w:t>
      </w:r>
    </w:p>
    <w:p>
      <w:pPr>
        <w:pStyle w:val="ListParagraph"/>
        <w:numPr>
          <w:ilvl w:val="0"/>
          <w:numId w:val="2"/>
        </w:numPr>
        <w:spacing w:before="40" w:after="60"/>
      </w:pPr>
      <w:r>
        <w:rPr>
          <w:rFonts w:ascii="Arial" w:cs="Arial" w:eastAsia="Arial" w:hAnsi="Arial"/>
          <w:color w:val="2C3E50"/>
          <w:sz w:val="22"/>
          <w:szCs w:val="22"/>
        </w:rPr>
        <w:t xml:space="preserve">Highlighting every sentence in the response as Verified, Uncertain, or Hallucinated</w:t>
      </w:r>
    </w:p>
    <w:p>
      <w:pPr>
        <w:pStyle w:val="ListParagraph"/>
        <w:numPr>
          <w:ilvl w:val="0"/>
          <w:numId w:val="2"/>
        </w:numPr>
        <w:spacing w:before="40" w:after="60"/>
      </w:pPr>
      <w:r>
        <w:rPr>
          <w:rFonts w:ascii="Arial" w:cs="Arial" w:eastAsia="Arial" w:hAnsi="Arial"/>
          <w:color w:val="2C3E50"/>
          <w:sz w:val="22"/>
          <w:szCs w:val="22"/>
        </w:rPr>
        <w:t xml:space="preserve">Providing a clickable Source Chain — the exact web evidence behind each claim</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80"/>
              <w:left w:type="dxa" w:w="240"/>
              <w:bottom w:type="dxa" w:w="180"/>
              <w:right w:type="dxa" w:w="240"/>
            </w:tcMar>
          </w:tcPr>
          <w:p>
            <w:pPr>
              <w:spacing w:before="0" w:after="0"/>
            </w:pPr>
            <w:r>
              <w:rPr>
                <w:rFonts w:ascii="Arial" w:cs="Arial" w:eastAsia="Arial" w:hAnsi="Arial"/>
                <w:b/>
                <w:bCs/>
                <w:color w:val="FFFFFF"/>
                <w:spacing w:val="80"/>
                <w:sz w:val="26"/>
                <w:szCs w:val="26"/>
              </w:rPr>
              <w:t xml:space="preserve">02. PROBLEM STATEMENT</w:t>
            </w:r>
          </w:p>
        </w:tc>
      </w:tr>
    </w:tbl>
    <w:p>
      <w:pPr>
        <w:spacing w:before="80" w:after="0"/>
      </w:pPr>
      <w:r>
        <w:t xml:space="preserve"/>
      </w:r>
    </w:p>
    <w:p>
      <w:pPr>
        <w:pStyle w:val="Heading2"/>
        <w:spacing w:before="300" w:after="120"/>
      </w:pPr>
      <w:r>
        <w:rPr>
          <w:rFonts w:ascii="Arial" w:cs="Arial" w:eastAsia="Arial" w:hAnsi="Arial"/>
          <w:b/>
          <w:bCs/>
          <w:color w:val="1A2940"/>
          <w:sz w:val="28"/>
          <w:szCs w:val="28"/>
        </w:rPr>
        <w:t xml:space="preserve">The Hallucination Crisis</w:t>
      </w:r>
    </w:p>
    <w:p>
      <w:pPr>
        <w:spacing w:before="60" w:after="80"/>
        <w:jc w:val="both"/>
      </w:pPr>
      <w:r>
        <w:rPr>
          <w:rFonts w:ascii="Arial" w:cs="Arial" w:eastAsia="Arial" w:hAnsi="Arial"/>
          <w:color w:val="2C3E50"/>
          <w:sz w:val="22"/>
          <w:szCs w:val="22"/>
        </w:rPr>
        <w:t xml:space="preserve">Large Language Models (LLMs) are trained to produce fluent, confident-sounding text. This design characteristic means they generate plausible-sounding answers even when they have no reliable information on a topic — a phenomenon called hallucination. The problem is not rare or theoretical; it is widespread and already causing measurable real-world harm.</w:t>
      </w:r>
    </w:p>
    <w:p>
      <w:pPr>
        <w:spacing w:before="80" w:after="0"/>
      </w:pPr>
      <w:r>
        <w:t xml:space="preserve"/>
      </w:r>
    </w:p>
    <w:p>
      <w:pPr>
        <w:pStyle w:val="Heading3"/>
        <w:spacing w:before="220" w:after="80"/>
      </w:pPr>
      <w:r>
        <w:rPr>
          <w:rFonts w:ascii="Arial" w:cs="Arial" w:eastAsia="Arial" w:hAnsi="Arial"/>
          <w:b/>
          <w:bCs/>
          <w:color w:val="2E4A6B"/>
          <w:sz w:val="24"/>
          <w:szCs w:val="24"/>
        </w:rPr>
        <w:t xml:space="preserve">Scale of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8" w:sz="1"/>
              <w:left w:val="single" w:color="B0C4D8" w:sz="1"/>
              <w:bottom w:val="single" w:color="B0C4D8" w:sz="1"/>
              <w:right w:val="single" w:color="B0C4D8" w:sz="1"/>
            </w:tcBorders>
            <w:shd w:fill="1A294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Metric</w:t>
            </w:r>
          </w:p>
        </w:tc>
        <w:tc>
          <w:tcPr>
            <w:tcW w:type="dxa" w:w="6560"/>
            <w:tcBorders>
              <w:top w:val="single" w:color="B0C4D8" w:sz="1"/>
              <w:left w:val="single" w:color="B0C4D8" w:sz="1"/>
              <w:bottom w:val="single" w:color="B0C4D8" w:sz="1"/>
              <w:right w:val="single" w:color="B0C4D8" w:sz="1"/>
            </w:tcBorders>
            <w:shd w:fill="2E4A6B" w:val="clear"/>
            <w:tcMar>
              <w:top w:type="dxa" w:w="100"/>
              <w:left w:type="dxa" w:w="140"/>
              <w:bottom w:type="dxa" w:w="100"/>
              <w:right w:type="dxa" w:w="140"/>
            </w:tcMar>
          </w:tcPr>
          <w:p>
            <w:pPr>
              <w:spacing w:before="0" w:after="0"/>
            </w:pPr>
            <w:r>
              <w:rPr>
                <w:rFonts w:ascii="Arial" w:cs="Arial" w:eastAsia="Arial" w:hAnsi="Arial"/>
                <w:color w:val="FFFFFF"/>
                <w:sz w:val="20"/>
                <w:szCs w:val="20"/>
              </w:rPr>
              <w:t xml:space="preserve">Detail</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Hallucination Rate</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GPT-4 hallucinates on approximately 3-10% of factual queries. Across millions of daily queries, this means tens of thousands of false statements delivered confidently every day.</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Legal Harm</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1 in 4 lawyers who used ChatGPT for legal research cited fabricated case references in real court filings and were subsequently sanctioned by judges.</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Academic Impact</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Over 60% of students globally now use AI tools for academic work, submitting AI-generated content that may contain undetected factual errors.</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Medical Risk</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Healthcare workers using AI for drug interaction lookups and treatment protocols have flagged incorrect information being confidently recommended.</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Journalism</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Multiple news organizations have published AI-written articles containing entirely fabricated quotes, statistics, and citations before retractions.</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Enterprise Liability</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Companies deploying internal AI chatbots for HR, finance, and legal Q&amp;A face serious liability when those bots confidently give employees wrong policy information.</w:t>
            </w:r>
          </w:p>
        </w:tc>
      </w:tr>
    </w:tbl>
    <w:p>
      <w:pPr>
        <w:spacing w:before="160" w:after="0"/>
      </w:pPr>
      <w:r>
        <w:t xml:space="preserve"/>
      </w:r>
    </w:p>
    <w:p>
      <w:pPr>
        <w:pStyle w:val="Heading3"/>
        <w:spacing w:before="220" w:after="80"/>
      </w:pPr>
      <w:r>
        <w:rPr>
          <w:rFonts w:ascii="Arial" w:cs="Arial" w:eastAsia="Arial" w:hAnsi="Arial"/>
          <w:b/>
          <w:bCs/>
          <w:color w:val="2E4A6B"/>
          <w:sz w:val="24"/>
          <w:szCs w:val="24"/>
        </w:rPr>
        <w:t xml:space="preserve">Why Existing Solutions Fall Short</w:t>
      </w:r>
    </w:p>
    <w:p>
      <w:pPr>
        <w:spacing w:before="60" w:after="80"/>
        <w:jc w:val="both"/>
      </w:pPr>
      <w:r>
        <w:rPr>
          <w:rFonts w:ascii="Arial" w:cs="Arial" w:eastAsia="Arial" w:hAnsi="Arial"/>
          <w:color w:val="2C3E50"/>
          <w:sz w:val="22"/>
          <w:szCs w:val="22"/>
        </w:rPr>
        <w:t xml:space="preserve">Current approaches to this problem are inadequate for the everyday user:</w:t>
      </w:r>
    </w:p>
    <w:p>
      <w:pPr>
        <w:spacing w:before="60" w:after="0"/>
      </w:pPr>
      <w:r>
        <w:t xml:space="preserve"/>
      </w:r>
    </w:p>
    <w:p>
      <w:pPr>
        <w:pStyle w:val="ListParagraph"/>
        <w:numPr>
          <w:ilvl w:val="0"/>
          <w:numId w:val="2"/>
        </w:numPr>
        <w:spacing w:before="40" w:after="60"/>
      </w:pPr>
      <w:r>
        <w:rPr>
          <w:rFonts w:ascii="Arial" w:cs="Arial" w:eastAsia="Arial" w:hAnsi="Arial"/>
          <w:color w:val="2C3E50"/>
          <w:sz w:val="22"/>
          <w:szCs w:val="22"/>
        </w:rPr>
        <w:t xml:space="preserve">Manual fact-checking is too slow and requires expertise the average user does not have</w:t>
      </w:r>
    </w:p>
    <w:p>
      <w:pPr>
        <w:pStyle w:val="ListParagraph"/>
        <w:numPr>
          <w:ilvl w:val="0"/>
          <w:numId w:val="2"/>
        </w:numPr>
        <w:spacing w:before="40" w:after="60"/>
      </w:pPr>
      <w:r>
        <w:rPr>
          <w:rFonts w:ascii="Arial" w:cs="Arial" w:eastAsia="Arial" w:hAnsi="Arial"/>
          <w:color w:val="2C3E50"/>
          <w:sz w:val="22"/>
          <w:szCs w:val="22"/>
        </w:rPr>
        <w:t xml:space="preserve">AI model fine-tuning reduces but does not eliminate hallucinations, and users have no visibility into confidence levels</w:t>
      </w:r>
    </w:p>
    <w:p>
      <w:pPr>
        <w:pStyle w:val="ListParagraph"/>
        <w:numPr>
          <w:ilvl w:val="0"/>
          <w:numId w:val="2"/>
        </w:numPr>
        <w:spacing w:before="40" w:after="60"/>
      </w:pPr>
      <w:r>
        <w:rPr>
          <w:rFonts w:ascii="Arial" w:cs="Arial" w:eastAsia="Arial" w:hAnsi="Arial"/>
          <w:color w:val="2C3E50"/>
          <w:sz w:val="22"/>
          <w:szCs w:val="22"/>
        </w:rPr>
        <w:t xml:space="preserve">Retrieval Augmented Generation (RAG) helps but is only available to developers, not end users</w:t>
      </w:r>
    </w:p>
    <w:p>
      <w:pPr>
        <w:pStyle w:val="ListParagraph"/>
        <w:numPr>
          <w:ilvl w:val="0"/>
          <w:numId w:val="2"/>
        </w:numPr>
        <w:spacing w:before="40" w:after="60"/>
      </w:pPr>
      <w:r>
        <w:rPr>
          <w:rFonts w:ascii="Arial" w:cs="Arial" w:eastAsia="Arial" w:hAnsi="Arial"/>
          <w:color w:val="2C3E50"/>
          <w:sz w:val="22"/>
          <w:szCs w:val="22"/>
        </w:rPr>
        <w:t xml:space="preserve">No consumer-facing AI tool today provides per-sentence trust signals to ordinary users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97B2"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KEY INSIGHT</w:t>
            </w:r>
          </w:p>
        </w:tc>
        <w:tc>
          <w:tcPr>
            <w:tcW w:type="dxa" w:w="9160"/>
            <w:tcBorders>
              <w:top w:val="none" w:color="FFFFFF" w:sz="0"/>
              <w:left w:val="none" w:color="FFFFFF" w:sz="0"/>
              <w:bottom w:val="none" w:color="FFFFFF" w:sz="0"/>
              <w:right w:val="none" w:color="FFFFFF" w:sz="0"/>
            </w:tcBorders>
            <w:shd w:fill="E8F4F8" w:val="clear"/>
            <w:tcMar>
              <w:top w:type="dxa" w:w="100"/>
              <w:left w:type="dxa" w:w="160"/>
              <w:bottom w:type="dxa" w:w="100"/>
              <w:right w:type="dxa" w:w="120"/>
            </w:tcMar>
          </w:tcPr>
          <w:p>
            <w:pPr>
              <w:spacing w:before="0" w:after="0"/>
            </w:pPr>
            <w:r>
              <w:rPr>
                <w:rFonts w:ascii="Arial" w:cs="Arial" w:eastAsia="Arial" w:hAnsi="Arial"/>
                <w:i/>
                <w:iCs/>
                <w:color w:val="2C3E50"/>
                <w:sz w:val="21"/>
                <w:szCs w:val="21"/>
              </w:rPr>
              <w:t xml:space="preserve">The gap is not in making AI smarter. The gap is in making AI trustworthy enough for users to act on its outputs without fear.</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80"/>
              <w:left w:type="dxa" w:w="240"/>
              <w:bottom w:type="dxa" w:w="180"/>
              <w:right w:type="dxa" w:w="240"/>
            </w:tcMar>
          </w:tcPr>
          <w:p>
            <w:pPr>
              <w:spacing w:before="0" w:after="0"/>
            </w:pPr>
            <w:r>
              <w:rPr>
                <w:rFonts w:ascii="Arial" w:cs="Arial" w:eastAsia="Arial" w:hAnsi="Arial"/>
                <w:b/>
                <w:bCs/>
                <w:color w:val="FFFFFF"/>
                <w:spacing w:val="80"/>
                <w:sz w:val="26"/>
                <w:szCs w:val="26"/>
              </w:rPr>
              <w:t xml:space="preserve">03. SOLUTION — AI TRUST SENTINEL</w:t>
            </w:r>
          </w:p>
        </w:tc>
      </w:tr>
    </w:tbl>
    <w:p>
      <w:pPr>
        <w:spacing w:before="80" w:after="0"/>
      </w:pPr>
      <w:r>
        <w:t xml:space="preserve"/>
      </w:r>
    </w:p>
    <w:p>
      <w:pPr>
        <w:pStyle w:val="Heading2"/>
        <w:spacing w:before="300" w:after="120"/>
      </w:pPr>
      <w:r>
        <w:rPr>
          <w:rFonts w:ascii="Arial" w:cs="Arial" w:eastAsia="Arial" w:hAnsi="Arial"/>
          <w:b/>
          <w:bCs/>
          <w:color w:val="1A2940"/>
          <w:sz w:val="28"/>
          <w:szCs w:val="28"/>
        </w:rPr>
        <w:t xml:space="preserve">Product Overview</w:t>
      </w:r>
    </w:p>
    <w:p>
      <w:pPr>
        <w:spacing w:before="60" w:after="80"/>
        <w:jc w:val="both"/>
      </w:pPr>
      <w:r>
        <w:rPr>
          <w:rFonts w:ascii="Arial" w:cs="Arial" w:eastAsia="Arial" w:hAnsi="Arial"/>
          <w:color w:val="2C3E50"/>
          <w:sz w:val="22"/>
          <w:szCs w:val="22"/>
        </w:rPr>
        <w:t xml:space="preserve">AI Trust Sentinel is a chat interface layer that intercepts any user query, processes it through a multi-stage verification pipeline, and returns an enriched response with full trust metadata. The user sees not just an answer, but a trust-annotated answer with evidence.</w:t>
      </w:r>
    </w:p>
    <w:p>
      <w:pPr>
        <w:spacing w:before="120" w:after="0"/>
      </w:pPr>
      <w:r>
        <w:t xml:space="preserve"/>
      </w:r>
    </w:p>
    <w:p>
      <w:pPr>
        <w:pStyle w:val="Heading2"/>
        <w:spacing w:before="300" w:after="120"/>
      </w:pPr>
      <w:r>
        <w:rPr>
          <w:rFonts w:ascii="Arial" w:cs="Arial" w:eastAsia="Arial" w:hAnsi="Arial"/>
          <w:b/>
          <w:bCs/>
          <w:color w:val="1A2940"/>
          <w:sz w:val="28"/>
          <w:szCs w:val="28"/>
        </w:rPr>
        <w:t xml:space="preserve">Core Features</w:t>
      </w:r>
    </w:p>
    <w:p>
      <w:pPr>
        <w:spacing w:before="60" w:after="0"/>
      </w:pPr>
      <w:r>
        <w:t xml:space="preserve"/>
      </w:r>
    </w:p>
    <w:p>
      <w:pPr>
        <w:pStyle w:val="Heading3"/>
        <w:spacing w:before="220" w:after="80"/>
      </w:pPr>
      <w:r>
        <w:rPr>
          <w:rFonts w:ascii="Arial" w:cs="Arial" w:eastAsia="Arial" w:hAnsi="Arial"/>
          <w:b/>
          <w:bCs/>
          <w:color w:val="2E4A6B"/>
          <w:sz w:val="24"/>
          <w:szCs w:val="24"/>
        </w:rPr>
        <w:t xml:space="preserve">1. Dual-LLM Cross-Verification</w:t>
      </w:r>
    </w:p>
    <w:p>
      <w:pPr>
        <w:spacing w:before="60" w:after="80"/>
        <w:jc w:val="both"/>
      </w:pPr>
      <w:r>
        <w:rPr>
          <w:rFonts w:ascii="Arial" w:cs="Arial" w:eastAsia="Arial" w:hAnsi="Arial"/>
          <w:color w:val="2C3E50"/>
          <w:sz w:val="22"/>
          <w:szCs w:val="22"/>
        </w:rPr>
        <w:t xml:space="preserve">The same user query is sent to two independent AI models — GPT-4o-mini as the primary responder and Gemini 1.5 Flash as the independent verifier. Since these models were trained on different data with different architectures, significant divergence between their responses is a strong signal of low-confidence or hallucinated content. Agreement between both models significantly raises the trust baseline.</w:t>
      </w:r>
    </w:p>
    <w:p>
      <w:pPr>
        <w:spacing w:before="100" w:after="0"/>
      </w:pPr>
      <w:r>
        <w:t xml:space="preserve"/>
      </w:r>
    </w:p>
    <w:p>
      <w:pPr>
        <w:pStyle w:val="Heading3"/>
        <w:spacing w:before="220" w:after="80"/>
      </w:pPr>
      <w:r>
        <w:rPr>
          <w:rFonts w:ascii="Arial" w:cs="Arial" w:eastAsia="Arial" w:hAnsi="Arial"/>
          <w:b/>
          <w:bCs/>
          <w:color w:val="2E4A6B"/>
          <w:sz w:val="24"/>
          <w:szCs w:val="24"/>
        </w:rPr>
        <w:t xml:space="preserve">2. Confidence Gate — Smart Escalation</w:t>
      </w:r>
    </w:p>
    <w:p>
      <w:pPr>
        <w:spacing w:before="60" w:after="80"/>
        <w:jc w:val="both"/>
      </w:pPr>
      <w:r>
        <w:rPr>
          <w:rFonts w:ascii="Arial" w:cs="Arial" w:eastAsia="Arial" w:hAnsi="Arial"/>
          <w:color w:val="2C3E50"/>
          <w:sz w:val="22"/>
          <w:szCs w:val="22"/>
        </w:rPr>
        <w:t xml:space="preserve">Rather than calling two LLMs on every query (which would double costs), the system uses a confidence gate. The primary model (GPT-4o-mini) is prompted to return a self-assessed confidence score (0-100) alongside its answer. Only if this score falls below the threshold of 75 does the system escalate to the secondary LLM. This means LLM 2 is called only approximately 30-40% of the time — when it actually matters.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97B2"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DESIGN NOTE</w:t>
            </w:r>
          </w:p>
        </w:tc>
        <w:tc>
          <w:tcPr>
            <w:tcW w:type="dxa" w:w="9160"/>
            <w:tcBorders>
              <w:top w:val="none" w:color="FFFFFF" w:sz="0"/>
              <w:left w:val="none" w:color="FFFFFF" w:sz="0"/>
              <w:bottom w:val="none" w:color="FFFFFF" w:sz="0"/>
              <w:right w:val="none" w:color="FFFFFF" w:sz="0"/>
            </w:tcBorders>
            <w:shd w:fill="E8F4F8" w:val="clear"/>
            <w:tcMar>
              <w:top w:type="dxa" w:w="100"/>
              <w:left w:type="dxa" w:w="160"/>
              <w:bottom w:type="dxa" w:w="100"/>
              <w:right w:type="dxa" w:w="120"/>
            </w:tcMar>
          </w:tcPr>
          <w:p>
            <w:pPr>
              <w:spacing w:before="0" w:after="0"/>
            </w:pPr>
            <w:r>
              <w:rPr>
                <w:rFonts w:ascii="Arial" w:cs="Arial" w:eastAsia="Arial" w:hAnsi="Arial"/>
                <w:i/>
                <w:iCs/>
                <w:color w:val="2C3E50"/>
                <w:sz w:val="21"/>
                <w:szCs w:val="21"/>
              </w:rPr>
              <w:t xml:space="preserve">This intelligent escalation is a better design than blindly calling two models on every query. It is cost-efficient AND tells a better story: we are smart about when to verify, not just brute-forcing verification.</w:t>
            </w:r>
          </w:p>
        </w:tc>
      </w:tr>
    </w:tbl>
    <w:p>
      <w:pPr>
        <w:spacing w:before="100" w:after="0"/>
      </w:pPr>
      <w:r>
        <w:t xml:space="preserve"/>
      </w:r>
    </w:p>
    <w:p>
      <w:pPr>
        <w:pStyle w:val="Heading3"/>
        <w:spacing w:before="220" w:after="80"/>
      </w:pPr>
      <w:r>
        <w:rPr>
          <w:rFonts w:ascii="Arial" w:cs="Arial" w:eastAsia="Arial" w:hAnsi="Arial"/>
          <w:b/>
          <w:bCs/>
          <w:color w:val="2E4A6B"/>
          <w:sz w:val="24"/>
          <w:szCs w:val="24"/>
        </w:rPr>
        <w:t xml:space="preserve">3. Claim Extraction Engine</w:t>
      </w:r>
    </w:p>
    <w:p>
      <w:pPr>
        <w:spacing w:before="60" w:after="80"/>
        <w:jc w:val="both"/>
      </w:pPr>
      <w:r>
        <w:rPr>
          <w:rFonts w:ascii="Arial" w:cs="Arial" w:eastAsia="Arial" w:hAnsi="Arial"/>
          <w:color w:val="2C3E50"/>
          <w:sz w:val="22"/>
          <w:szCs w:val="22"/>
        </w:rPr>
        <w:t xml:space="preserve">Rather than fact-checking an entire AI response (which would be slow and expensive), the system uses a lightweight extraction prompt to identify the 3-5 core factual claims in any response. Only these claims are passed to the fact-checking layer. This reduces Tavily API usage by approximately 70% and focuses verification effort on what actually matters — the specific assertions the AI is making.</w:t>
      </w:r>
    </w:p>
    <w:p>
      <w:pPr>
        <w:spacing w:before="100" w:after="0"/>
      </w:pPr>
      <w:r>
        <w:t xml:space="preserve"/>
      </w:r>
    </w:p>
    <w:p>
      <w:pPr>
        <w:pStyle w:val="Heading3"/>
        <w:spacing w:before="220" w:after="80"/>
      </w:pPr>
      <w:r>
        <w:rPr>
          <w:rFonts w:ascii="Arial" w:cs="Arial" w:eastAsia="Arial" w:hAnsi="Arial"/>
          <w:b/>
          <w:bCs/>
          <w:color w:val="2E4A6B"/>
          <w:sz w:val="24"/>
          <w:szCs w:val="24"/>
        </w:rPr>
        <w:t xml:space="preserve">4. Source Chain — Web-Grounded Fact Verification</w:t>
      </w:r>
    </w:p>
    <w:p>
      <w:pPr>
        <w:spacing w:before="60" w:after="80"/>
        <w:jc w:val="both"/>
      </w:pPr>
      <w:r>
        <w:rPr>
          <w:rFonts w:ascii="Arial" w:cs="Arial" w:eastAsia="Arial" w:hAnsi="Arial"/>
          <w:color w:val="2C3E50"/>
          <w:sz w:val="22"/>
          <w:szCs w:val="22"/>
        </w:rPr>
        <w:t xml:space="preserve">Each extracted claim is cross-referenced against live web results via the Tavily Search API. For every claim, the system retrieves the most relevant web source and classifies the claim as Verified, Uncertain, or Contradicted. The user sees a clickable Source Chain — the exact URLs that confirm or deny each statement. This is the key differentiator from ModelProof, the validated hackathon-winning competitor: they check consistency between models; we show WHY something is true or false with clickable receipts.</w:t>
      </w:r>
    </w:p>
    <w:p>
      <w:pPr>
        <w:spacing w:before="100" w:after="0"/>
      </w:pPr>
      <w:r>
        <w:t xml:space="preserve"/>
      </w:r>
    </w:p>
    <w:p>
      <w:pPr>
        <w:pStyle w:val="Heading3"/>
        <w:spacing w:before="220" w:after="80"/>
      </w:pPr>
      <w:r>
        <w:rPr>
          <w:rFonts w:ascii="Arial" w:cs="Arial" w:eastAsia="Arial" w:hAnsi="Arial"/>
          <w:b/>
          <w:bCs/>
          <w:color w:val="2E4A6B"/>
          <w:sz w:val="24"/>
          <w:szCs w:val="24"/>
        </w:rPr>
        <w:t xml:space="preserve">5. Trust Score Engine</w:t>
      </w:r>
    </w:p>
    <w:p>
      <w:pPr>
        <w:spacing w:before="60" w:after="80"/>
        <w:jc w:val="both"/>
      </w:pPr>
      <w:r>
        <w:rPr>
          <w:rFonts w:ascii="Arial" w:cs="Arial" w:eastAsia="Arial" w:hAnsi="Arial"/>
          <w:color w:val="2C3E50"/>
          <w:sz w:val="22"/>
          <w:szCs w:val="22"/>
        </w:rPr>
        <w:t xml:space="preserve">All signals from the dual-LLM comparison, self-confidence score, and fact-checking results are aggregated into a single Trust Score from 0 to 100. This score is displayed prominently at the top of every response, giving users an instant confidence assessment before they even read the answer.</w:t>
      </w:r>
    </w:p>
    <w:p>
      <w:pPr>
        <w:spacing w:before="100" w:after="0"/>
      </w:pPr>
      <w:r>
        <w:t xml:space="preserve"/>
      </w:r>
    </w:p>
    <w:p>
      <w:pPr>
        <w:pStyle w:val="Heading3"/>
        <w:spacing w:before="220" w:after="80"/>
      </w:pPr>
      <w:r>
        <w:rPr>
          <w:rFonts w:ascii="Arial" w:cs="Arial" w:eastAsia="Arial" w:hAnsi="Arial"/>
          <w:b/>
          <w:bCs/>
          <w:color w:val="2E4A6B"/>
          <w:sz w:val="24"/>
          <w:szCs w:val="24"/>
        </w:rPr>
        <w:t xml:space="preserve">6. Sentence-Level Highlighting</w:t>
      </w:r>
    </w:p>
    <w:p>
      <w:pPr>
        <w:spacing w:before="60" w:after="80"/>
        <w:jc w:val="both"/>
      </w:pPr>
      <w:r>
        <w:rPr>
          <w:rFonts w:ascii="Arial" w:cs="Arial" w:eastAsia="Arial" w:hAnsi="Arial"/>
          <w:color w:val="2C3E50"/>
          <w:sz w:val="22"/>
          <w:szCs w:val="22"/>
        </w:rPr>
        <w:t xml:space="preserve">The response is presented with per-sentence color coding. This gives users an immediate visual understanding of which parts of a response are reliable and which require caution.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8" w:sz="1"/>
              <w:left w:val="single" w:color="B0C4D8" w:sz="1"/>
              <w:bottom w:val="single" w:color="B0C4D8" w:sz="1"/>
              <w:right w:val="single" w:color="B0C4D8" w:sz="1"/>
            </w:tcBorders>
            <w:shd w:fill="1A294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Color</w:t>
            </w:r>
          </w:p>
        </w:tc>
        <w:tc>
          <w:tcPr>
            <w:tcW w:type="dxa" w:w="6560"/>
            <w:tcBorders>
              <w:top w:val="single" w:color="B0C4D8" w:sz="1"/>
              <w:left w:val="single" w:color="B0C4D8" w:sz="1"/>
              <w:bottom w:val="single" w:color="B0C4D8" w:sz="1"/>
              <w:right w:val="single" w:color="B0C4D8" w:sz="1"/>
            </w:tcBorders>
            <w:shd w:fill="2E4A6B" w:val="clear"/>
            <w:tcMar>
              <w:top w:type="dxa" w:w="100"/>
              <w:left w:type="dxa" w:w="140"/>
              <w:bottom w:type="dxa" w:w="100"/>
              <w:right w:type="dxa" w:w="140"/>
            </w:tcMar>
          </w:tcPr>
          <w:p>
            <w:pPr>
              <w:spacing w:before="0" w:after="0"/>
            </w:pPr>
            <w:r>
              <w:rPr>
                <w:rFonts w:ascii="Arial" w:cs="Arial" w:eastAsia="Arial" w:hAnsi="Arial"/>
                <w:color w:val="FFFFFF"/>
                <w:sz w:val="20"/>
                <w:szCs w:val="20"/>
              </w:rPr>
              <w:t xml:space="preserve">Meaning</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Green highlight</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Claim verified against one or more web sources. High confidence.</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Yellow highlight</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Claim unverified — not contradicted but no confirming source found. Proceed with caution.</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Red highlight</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Claim contradicted by web sources or flagged as high-risk hallucination. Do not rely on this.</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Purple underline</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Source chain link available — click to see the web evidence for this claim.</w:t>
            </w:r>
          </w:p>
        </w:tc>
      </w:tr>
    </w:tbl>
    <w:p>
      <w:pPr>
        <w:spacing w:before="100" w:after="0"/>
      </w:pPr>
      <w:r>
        <w:t xml:space="preserve"/>
      </w:r>
    </w:p>
    <w:p>
      <w:pPr>
        <w:pStyle w:val="Heading3"/>
        <w:spacing w:before="220" w:after="80"/>
      </w:pPr>
      <w:r>
        <w:rPr>
          <w:rFonts w:ascii="Arial" w:cs="Arial" w:eastAsia="Arial" w:hAnsi="Arial"/>
          <w:b/>
          <w:bCs/>
          <w:color w:val="2E4A6B"/>
          <w:sz w:val="24"/>
          <w:szCs w:val="24"/>
        </w:rPr>
        <w:t xml:space="preserve">7. Redis Query Cache</w:t>
      </w:r>
    </w:p>
    <w:p>
      <w:pPr>
        <w:spacing w:before="60" w:after="80"/>
        <w:jc w:val="both"/>
      </w:pPr>
      <w:r>
        <w:rPr>
          <w:rFonts w:ascii="Arial" w:cs="Arial" w:eastAsia="Arial" w:hAnsi="Arial"/>
          <w:color w:val="2C3E50"/>
          <w:sz w:val="22"/>
          <w:szCs w:val="22"/>
        </w:rPr>
        <w:t xml:space="preserve">Identical or near-identical queries (above 85% semantic similarity) are served from a Redis cache rather than triggering new API calls. This is especially valuable in hackathon demo scenarios where judges and observers frequently ask similar questions. Cache hits cost nothing and respond instantly.</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80"/>
              <w:left w:type="dxa" w:w="240"/>
              <w:bottom w:type="dxa" w:w="180"/>
              <w:right w:type="dxa" w:w="240"/>
            </w:tcMar>
          </w:tcPr>
          <w:p>
            <w:pPr>
              <w:spacing w:before="0" w:after="0"/>
            </w:pPr>
            <w:r>
              <w:rPr>
                <w:rFonts w:ascii="Arial" w:cs="Arial" w:eastAsia="Arial" w:hAnsi="Arial"/>
                <w:b/>
                <w:bCs/>
                <w:color w:val="FFFFFF"/>
                <w:spacing w:val="80"/>
                <w:sz w:val="26"/>
                <w:szCs w:val="26"/>
              </w:rPr>
              <w:t xml:space="preserve">04. TECHNICAL ARCHITECTURE — 7-STAGE PIPELINE</w:t>
            </w:r>
          </w:p>
        </w:tc>
      </w:tr>
    </w:tbl>
    <w:p>
      <w:pPr>
        <w:spacing w:before="80" w:after="0"/>
      </w:pPr>
      <w:r>
        <w:t xml:space="preserve"/>
      </w:r>
    </w:p>
    <w:p>
      <w:pPr>
        <w:pStyle w:val="Heading2"/>
        <w:spacing w:before="300" w:after="120"/>
      </w:pPr>
      <w:r>
        <w:rPr>
          <w:rFonts w:ascii="Arial" w:cs="Arial" w:eastAsia="Arial" w:hAnsi="Arial"/>
          <w:b/>
          <w:bCs/>
          <w:color w:val="1A2940"/>
          <w:sz w:val="28"/>
          <w:szCs w:val="28"/>
        </w:rPr>
        <w:t xml:space="preserve">Pipeline Overview</w:t>
      </w:r>
    </w:p>
    <w:p>
      <w:pPr>
        <w:spacing w:before="60" w:after="80"/>
        <w:jc w:val="both"/>
      </w:pPr>
      <w:r>
        <w:rPr>
          <w:rFonts w:ascii="Arial" w:cs="Arial" w:eastAsia="Arial" w:hAnsi="Arial"/>
          <w:color w:val="2C3E50"/>
          <w:sz w:val="22"/>
          <w:szCs w:val="22"/>
        </w:rPr>
        <w:t xml:space="preserve">The system processes every query through seven discrete stages. The pipeline is designed to maximize verification quality while minimizing API cost through intelligent gating and caching.</w:t>
      </w:r>
    </w:p>
    <w:p>
      <w:pPr>
        <w:spacing w:before="12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3800"/>
        <w:gridCol w:w="3000"/>
      </w:tblGrid>
      <w:tr>
        <w:tc>
          <w:tcPr>
            <w:tcW w:type="dxa" w:w="720"/>
            <w:tcBorders>
              <w:top w:val="single" w:color="0097B2" w:sz="1"/>
              <w:left w:val="single" w:color="0097B2" w:sz="1"/>
              <w:bottom w:val="single" w:color="0097B2" w:sz="1"/>
              <w:right w:val="single" w:color="0097B2" w:sz="1"/>
            </w:tcBorders>
            <w:shd w:fill="0A162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Step</w:t>
            </w:r>
          </w:p>
        </w:tc>
        <w:tc>
          <w:tcPr>
            <w:tcW w:type="dxa" w:w="2200"/>
            <w:tcBorders>
              <w:top w:val="single" w:color="0097B2" w:sz="1"/>
              <w:left w:val="single" w:color="0097B2" w:sz="1"/>
              <w:bottom w:val="single" w:color="0097B2" w:sz="1"/>
              <w:right w:val="single" w:color="0097B2" w:sz="1"/>
            </w:tcBorders>
            <w:shd w:fill="0A162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Stage</w:t>
            </w:r>
          </w:p>
        </w:tc>
        <w:tc>
          <w:tcPr>
            <w:tcW w:type="dxa" w:w="3800"/>
            <w:tcBorders>
              <w:top w:val="single" w:color="0097B2" w:sz="1"/>
              <w:left w:val="single" w:color="0097B2" w:sz="1"/>
              <w:bottom w:val="single" w:color="0097B2" w:sz="1"/>
              <w:right w:val="single" w:color="0097B2" w:sz="1"/>
            </w:tcBorders>
            <w:shd w:fill="0A162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What Happens</w:t>
            </w:r>
          </w:p>
        </w:tc>
        <w:tc>
          <w:tcPr>
            <w:tcW w:type="dxa" w:w="3000"/>
            <w:tcBorders>
              <w:top w:val="single" w:color="0097B2" w:sz="1"/>
              <w:left w:val="single" w:color="0097B2" w:sz="1"/>
              <w:bottom w:val="single" w:color="0097B2" w:sz="1"/>
              <w:right w:val="single" w:color="0097B2" w:sz="1"/>
            </w:tcBorders>
            <w:shd w:fill="0A1628"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Cost</w:t>
            </w:r>
          </w:p>
        </w:tc>
      </w:tr>
      <w:tr>
        <w:tc>
          <w:tcPr>
            <w:tcW w:type="dxa" w:w="720"/>
            <w:tcBorders>
              <w:top w:val="single" w:color="B0C4D8" w:sz="1"/>
              <w:left w:val="single" w:color="B0C4D8" w:sz="1"/>
              <w:bottom w:val="single" w:color="B0C4D8" w:sz="1"/>
              <w:right w:val="single" w:color="B0C4D8" w:sz="1"/>
            </w:tcBorders>
            <w:shd w:fill="E8F4F8" w:val="clear"/>
            <w:tcMar>
              <w:top w:type="dxa" w:w="100"/>
              <w:left w:type="dxa" w:w="140"/>
              <w:bottom w:type="dxa" w:w="100"/>
              <w:right w:type="dxa" w:w="140"/>
            </w:tcMar>
          </w:tcPr>
          <w:p>
            <w:pPr>
              <w:spacing w:before="0" w:after="0"/>
            </w:pPr>
            <w:r>
              <w:rPr>
                <w:rFonts w:ascii="Arial" w:cs="Arial" w:eastAsia="Arial" w:hAnsi="Arial"/>
                <w:b/>
                <w:bCs/>
                <w:color w:val="0097B2"/>
                <w:sz w:val="20"/>
                <w:szCs w:val="20"/>
              </w:rPr>
              <w:t xml:space="preserve">01</w:t>
            </w:r>
          </w:p>
        </w:tc>
        <w:tc>
          <w:tcPr>
            <w:tcW w:type="dxa" w:w="220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User Input</w:t>
            </w:r>
          </w:p>
        </w:tc>
        <w:tc>
          <w:tcPr>
            <w:tcW w:type="dxa" w:w="380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19"/>
                <w:szCs w:val="19"/>
              </w:rPr>
              <w:t xml:space="preserve">Query received by React frontend, sent to FastAPI backend via REST API.</w:t>
            </w:r>
          </w:p>
        </w:tc>
        <w:tc>
          <w:tcPr>
            <w:tcW w:type="dxa" w:w="3000"/>
            <w:tcBorders>
              <w:top w:val="single" w:color="B0C4D8" w:sz="1"/>
              <w:left w:val="single" w:color="B0C4D8" w:sz="1"/>
              <w:bottom w:val="single" w:color="B0C4D8" w:sz="1"/>
              <w:right w:val="single" w:color="B0C4D8" w:sz="1"/>
            </w:tcBorders>
            <w:shd w:fill="E8F8F2" w:val="clear"/>
            <w:tcMar>
              <w:top w:type="dxa" w:w="100"/>
              <w:left w:type="dxa" w:w="140"/>
              <w:bottom w:type="dxa" w:w="100"/>
              <w:right w:type="dxa" w:w="140"/>
            </w:tcMar>
          </w:tcPr>
          <w:p>
            <w:pPr>
              <w:spacing w:before="0" w:after="0"/>
            </w:pPr>
            <w:r>
              <w:rPr>
                <w:rFonts w:ascii="Arial" w:cs="Arial" w:eastAsia="Arial" w:hAnsi="Arial"/>
                <w:b/>
                <w:bCs/>
                <w:color w:val="0D7F5F"/>
                <w:sz w:val="19"/>
                <w:szCs w:val="19"/>
              </w:rPr>
              <w:t xml:space="preserve">Free</w:t>
            </w:r>
          </w:p>
        </w:tc>
      </w:tr>
      <w:tr>
        <w:tc>
          <w:tcPr>
            <w:tcW w:type="dxa" w:w="720"/>
            <w:tcBorders>
              <w:top w:val="single" w:color="B0C4D8" w:sz="1"/>
              <w:left w:val="single" w:color="B0C4D8" w:sz="1"/>
              <w:bottom w:val="single" w:color="B0C4D8" w:sz="1"/>
              <w:right w:val="single" w:color="B0C4D8" w:sz="1"/>
            </w:tcBorders>
            <w:shd w:fill="E8F4F8" w:val="clear"/>
            <w:tcMar>
              <w:top w:type="dxa" w:w="100"/>
              <w:left w:type="dxa" w:w="140"/>
              <w:bottom w:type="dxa" w:w="100"/>
              <w:right w:type="dxa" w:w="140"/>
            </w:tcMar>
          </w:tcPr>
          <w:p>
            <w:pPr>
              <w:spacing w:before="0" w:after="0"/>
            </w:pPr>
            <w:r>
              <w:rPr>
                <w:rFonts w:ascii="Arial" w:cs="Arial" w:eastAsia="Arial" w:hAnsi="Arial"/>
                <w:b/>
                <w:bCs/>
                <w:color w:val="0097B2"/>
                <w:sz w:val="20"/>
                <w:szCs w:val="20"/>
              </w:rPr>
              <w:t xml:space="preserve">02</w:t>
            </w:r>
          </w:p>
        </w:tc>
        <w:tc>
          <w:tcPr>
            <w:tcW w:type="dxa" w:w="220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Cache Check</w:t>
            </w:r>
          </w:p>
        </w:tc>
        <w:tc>
          <w:tcPr>
            <w:tcW w:type="dxa" w:w="380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19"/>
                <w:szCs w:val="19"/>
              </w:rPr>
              <w:t xml:space="preserve">Redis checks for similar query (≥85% match). HIT = instant response at zero cost. MISS = proceed.</w:t>
            </w:r>
          </w:p>
        </w:tc>
        <w:tc>
          <w:tcPr>
            <w:tcW w:type="dxa" w:w="3000"/>
            <w:tcBorders>
              <w:top w:val="single" w:color="B0C4D8" w:sz="1"/>
              <w:left w:val="single" w:color="B0C4D8" w:sz="1"/>
              <w:bottom w:val="single" w:color="B0C4D8" w:sz="1"/>
              <w:right w:val="single" w:color="B0C4D8" w:sz="1"/>
            </w:tcBorders>
            <w:shd w:fill="E8F8F2" w:val="clear"/>
            <w:tcMar>
              <w:top w:type="dxa" w:w="100"/>
              <w:left w:type="dxa" w:w="140"/>
              <w:bottom w:type="dxa" w:w="100"/>
              <w:right w:type="dxa" w:w="140"/>
            </w:tcMar>
          </w:tcPr>
          <w:p>
            <w:pPr>
              <w:spacing w:before="0" w:after="0"/>
            </w:pPr>
            <w:r>
              <w:rPr>
                <w:rFonts w:ascii="Arial" w:cs="Arial" w:eastAsia="Arial" w:hAnsi="Arial"/>
                <w:b/>
                <w:bCs/>
                <w:color w:val="0D7F5F"/>
                <w:sz w:val="19"/>
                <w:szCs w:val="19"/>
              </w:rPr>
              <w:t xml:space="preserve">Free</w:t>
            </w:r>
          </w:p>
        </w:tc>
      </w:tr>
      <w:tr>
        <w:tc>
          <w:tcPr>
            <w:tcW w:type="dxa" w:w="720"/>
            <w:tcBorders>
              <w:top w:val="single" w:color="B0C4D8" w:sz="1"/>
              <w:left w:val="single" w:color="B0C4D8" w:sz="1"/>
              <w:bottom w:val="single" w:color="B0C4D8" w:sz="1"/>
              <w:right w:val="single" w:color="B0C4D8" w:sz="1"/>
            </w:tcBorders>
            <w:shd w:fill="E8F4F8" w:val="clear"/>
            <w:tcMar>
              <w:top w:type="dxa" w:w="100"/>
              <w:left w:type="dxa" w:w="140"/>
              <w:bottom w:type="dxa" w:w="100"/>
              <w:right w:type="dxa" w:w="140"/>
            </w:tcMar>
          </w:tcPr>
          <w:p>
            <w:pPr>
              <w:spacing w:before="0" w:after="0"/>
            </w:pPr>
            <w:r>
              <w:rPr>
                <w:rFonts w:ascii="Arial" w:cs="Arial" w:eastAsia="Arial" w:hAnsi="Arial"/>
                <w:b/>
                <w:bCs/>
                <w:color w:val="0097B2"/>
                <w:sz w:val="20"/>
                <w:szCs w:val="20"/>
              </w:rPr>
              <w:t xml:space="preserve">03</w:t>
            </w:r>
          </w:p>
        </w:tc>
        <w:tc>
          <w:tcPr>
            <w:tcW w:type="dxa" w:w="220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Primary LLM</w:t>
            </w:r>
          </w:p>
        </w:tc>
        <w:tc>
          <w:tcPr>
            <w:tcW w:type="dxa" w:w="380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19"/>
                <w:szCs w:val="19"/>
              </w:rPr>
              <w:t xml:space="preserve">GPT-4o-mini answers the query AND returns a self-confidence score (0-100) in the same call.</w:t>
            </w:r>
          </w:p>
        </w:tc>
        <w:tc>
          <w:tcPr>
            <w:tcW w:type="dxa" w:w="3000"/>
            <w:tcBorders>
              <w:top w:val="single" w:color="B0C4D8" w:sz="1"/>
              <w:left w:val="single" w:color="B0C4D8" w:sz="1"/>
              <w:bottom w:val="single" w:color="B0C4D8" w:sz="1"/>
              <w:right w:val="single" w:color="B0C4D8" w:sz="1"/>
            </w:tcBorders>
            <w:shd w:fill="FFF8E8" w:val="clear"/>
            <w:tcMar>
              <w:top w:type="dxa" w:w="100"/>
              <w:left w:type="dxa" w:w="140"/>
              <w:bottom w:type="dxa" w:w="100"/>
              <w:right w:type="dxa" w:w="140"/>
            </w:tcMar>
          </w:tcPr>
          <w:p>
            <w:pPr>
              <w:spacing w:before="0" w:after="0"/>
            </w:pPr>
            <w:r>
              <w:rPr>
                <w:rFonts w:ascii="Arial" w:cs="Arial" w:eastAsia="Arial" w:hAnsi="Arial"/>
                <w:b/>
                <w:bCs/>
                <w:color w:val="D68910"/>
                <w:sz w:val="19"/>
                <w:szCs w:val="19"/>
              </w:rPr>
              <w:t xml:space="preserve">~$0.0002</w:t>
            </w:r>
          </w:p>
        </w:tc>
      </w:tr>
      <w:tr>
        <w:tc>
          <w:tcPr>
            <w:tcW w:type="dxa" w:w="720"/>
            <w:tcBorders>
              <w:top w:val="single" w:color="B0C4D8" w:sz="1"/>
              <w:left w:val="single" w:color="B0C4D8" w:sz="1"/>
              <w:bottom w:val="single" w:color="B0C4D8" w:sz="1"/>
              <w:right w:val="single" w:color="B0C4D8" w:sz="1"/>
            </w:tcBorders>
            <w:shd w:fill="E8F4F8" w:val="clear"/>
            <w:tcMar>
              <w:top w:type="dxa" w:w="100"/>
              <w:left w:type="dxa" w:w="140"/>
              <w:bottom w:type="dxa" w:w="100"/>
              <w:right w:type="dxa" w:w="140"/>
            </w:tcMar>
          </w:tcPr>
          <w:p>
            <w:pPr>
              <w:spacing w:before="0" w:after="0"/>
            </w:pPr>
            <w:r>
              <w:rPr>
                <w:rFonts w:ascii="Arial" w:cs="Arial" w:eastAsia="Arial" w:hAnsi="Arial"/>
                <w:b/>
                <w:bCs/>
                <w:color w:val="0097B2"/>
                <w:sz w:val="20"/>
                <w:szCs w:val="20"/>
              </w:rPr>
              <w:t xml:space="preserve">04</w:t>
            </w:r>
          </w:p>
        </w:tc>
        <w:tc>
          <w:tcPr>
            <w:tcW w:type="dxa" w:w="220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Confidence Gate</w:t>
            </w:r>
          </w:p>
        </w:tc>
        <w:tc>
          <w:tcPr>
            <w:tcW w:type="dxa" w:w="380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19"/>
                <w:szCs w:val="19"/>
              </w:rPr>
              <w:t xml:space="preserve">If confidence ≥ 75, skip LLM 2. If confidence &lt; 75, escalate. Saves ~50% of total API cost.</w:t>
            </w:r>
          </w:p>
        </w:tc>
        <w:tc>
          <w:tcPr>
            <w:tcW w:type="dxa" w:w="3000"/>
            <w:tcBorders>
              <w:top w:val="single" w:color="B0C4D8" w:sz="1"/>
              <w:left w:val="single" w:color="B0C4D8" w:sz="1"/>
              <w:bottom w:val="single" w:color="B0C4D8" w:sz="1"/>
              <w:right w:val="single" w:color="B0C4D8" w:sz="1"/>
            </w:tcBorders>
            <w:shd w:fill="E8F8F2" w:val="clear"/>
            <w:tcMar>
              <w:top w:type="dxa" w:w="100"/>
              <w:left w:type="dxa" w:w="140"/>
              <w:bottom w:type="dxa" w:w="100"/>
              <w:right w:type="dxa" w:w="140"/>
            </w:tcMar>
          </w:tcPr>
          <w:p>
            <w:pPr>
              <w:spacing w:before="0" w:after="0"/>
            </w:pPr>
            <w:r>
              <w:rPr>
                <w:rFonts w:ascii="Arial" w:cs="Arial" w:eastAsia="Arial" w:hAnsi="Arial"/>
                <w:b/>
                <w:bCs/>
                <w:color w:val="0D7F5F"/>
                <w:sz w:val="19"/>
                <w:szCs w:val="19"/>
              </w:rPr>
              <w:t xml:space="preserve">Free</w:t>
            </w:r>
          </w:p>
        </w:tc>
      </w:tr>
      <w:tr>
        <w:tc>
          <w:tcPr>
            <w:tcW w:type="dxa" w:w="720"/>
            <w:tcBorders>
              <w:top w:val="single" w:color="B0C4D8" w:sz="1"/>
              <w:left w:val="single" w:color="B0C4D8" w:sz="1"/>
              <w:bottom w:val="single" w:color="B0C4D8" w:sz="1"/>
              <w:right w:val="single" w:color="B0C4D8" w:sz="1"/>
            </w:tcBorders>
            <w:shd w:fill="E8F4F8" w:val="clear"/>
            <w:tcMar>
              <w:top w:type="dxa" w:w="100"/>
              <w:left w:type="dxa" w:w="140"/>
              <w:bottom w:type="dxa" w:w="100"/>
              <w:right w:type="dxa" w:w="140"/>
            </w:tcMar>
          </w:tcPr>
          <w:p>
            <w:pPr>
              <w:spacing w:before="0" w:after="0"/>
            </w:pPr>
            <w:r>
              <w:rPr>
                <w:rFonts w:ascii="Arial" w:cs="Arial" w:eastAsia="Arial" w:hAnsi="Arial"/>
                <w:b/>
                <w:bCs/>
                <w:color w:val="0097B2"/>
                <w:sz w:val="20"/>
                <w:szCs w:val="20"/>
              </w:rPr>
              <w:t xml:space="preserve">05</w:t>
            </w:r>
          </w:p>
        </w:tc>
        <w:tc>
          <w:tcPr>
            <w:tcW w:type="dxa" w:w="220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Verifier LLM</w:t>
            </w:r>
          </w:p>
        </w:tc>
        <w:tc>
          <w:tcPr>
            <w:tcW w:type="dxa" w:w="380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19"/>
                <w:szCs w:val="19"/>
              </w:rPr>
              <w:t xml:space="preserve">Gemini 1.5 Flash answers the same query independently. Divergence from LLM 1 = hallucination risk.</w:t>
            </w:r>
          </w:p>
        </w:tc>
        <w:tc>
          <w:tcPr>
            <w:tcW w:type="dxa" w:w="3000"/>
            <w:tcBorders>
              <w:top w:val="single" w:color="B0C4D8" w:sz="1"/>
              <w:left w:val="single" w:color="B0C4D8" w:sz="1"/>
              <w:bottom w:val="single" w:color="B0C4D8" w:sz="1"/>
              <w:right w:val="single" w:color="B0C4D8" w:sz="1"/>
            </w:tcBorders>
            <w:shd w:fill="E8F8F2" w:val="clear"/>
            <w:tcMar>
              <w:top w:type="dxa" w:w="100"/>
              <w:left w:type="dxa" w:w="140"/>
              <w:bottom w:type="dxa" w:w="100"/>
              <w:right w:type="dxa" w:w="140"/>
            </w:tcMar>
          </w:tcPr>
          <w:p>
            <w:pPr>
              <w:spacing w:before="0" w:after="0"/>
            </w:pPr>
            <w:r>
              <w:rPr>
                <w:rFonts w:ascii="Arial" w:cs="Arial" w:eastAsia="Arial" w:hAnsi="Arial"/>
                <w:b/>
                <w:bCs/>
                <w:color w:val="0D7F5F"/>
                <w:sz w:val="19"/>
                <w:szCs w:val="19"/>
              </w:rPr>
              <w:t xml:space="preserve">Free (tier)</w:t>
            </w:r>
          </w:p>
        </w:tc>
      </w:tr>
      <w:tr>
        <w:tc>
          <w:tcPr>
            <w:tcW w:type="dxa" w:w="720"/>
            <w:tcBorders>
              <w:top w:val="single" w:color="B0C4D8" w:sz="1"/>
              <w:left w:val="single" w:color="B0C4D8" w:sz="1"/>
              <w:bottom w:val="single" w:color="B0C4D8" w:sz="1"/>
              <w:right w:val="single" w:color="B0C4D8" w:sz="1"/>
            </w:tcBorders>
            <w:shd w:fill="E8F4F8" w:val="clear"/>
            <w:tcMar>
              <w:top w:type="dxa" w:w="100"/>
              <w:left w:type="dxa" w:w="140"/>
              <w:bottom w:type="dxa" w:w="100"/>
              <w:right w:type="dxa" w:w="140"/>
            </w:tcMar>
          </w:tcPr>
          <w:p>
            <w:pPr>
              <w:spacing w:before="0" w:after="0"/>
            </w:pPr>
            <w:r>
              <w:rPr>
                <w:rFonts w:ascii="Arial" w:cs="Arial" w:eastAsia="Arial" w:hAnsi="Arial"/>
                <w:b/>
                <w:bCs/>
                <w:color w:val="0097B2"/>
                <w:sz w:val="20"/>
                <w:szCs w:val="20"/>
              </w:rPr>
              <w:t xml:space="preserve">06</w:t>
            </w:r>
          </w:p>
        </w:tc>
        <w:tc>
          <w:tcPr>
            <w:tcW w:type="dxa" w:w="220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Claim + Fact-Check</w:t>
            </w:r>
          </w:p>
        </w:tc>
        <w:tc>
          <w:tcPr>
            <w:tcW w:type="dxa" w:w="380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19"/>
                <w:szCs w:val="19"/>
              </w:rPr>
              <w:t xml:space="preserve">Extract 3-5 key claims. Send each to Tavily Search API. Retrieve confirming or contradicting sources.</w:t>
            </w:r>
          </w:p>
        </w:tc>
        <w:tc>
          <w:tcPr>
            <w:tcW w:type="dxa" w:w="3000"/>
            <w:tcBorders>
              <w:top w:val="single" w:color="B0C4D8" w:sz="1"/>
              <w:left w:val="single" w:color="B0C4D8" w:sz="1"/>
              <w:bottom w:val="single" w:color="B0C4D8" w:sz="1"/>
              <w:right w:val="single" w:color="B0C4D8" w:sz="1"/>
            </w:tcBorders>
            <w:shd w:fill="E8F8F2" w:val="clear"/>
            <w:tcMar>
              <w:top w:type="dxa" w:w="100"/>
              <w:left w:type="dxa" w:w="140"/>
              <w:bottom w:type="dxa" w:w="100"/>
              <w:right w:type="dxa" w:w="140"/>
            </w:tcMar>
          </w:tcPr>
          <w:p>
            <w:pPr>
              <w:spacing w:before="0" w:after="0"/>
            </w:pPr>
            <w:r>
              <w:rPr>
                <w:rFonts w:ascii="Arial" w:cs="Arial" w:eastAsia="Arial" w:hAnsi="Arial"/>
                <w:b/>
                <w:bCs/>
                <w:color w:val="0D7F5F"/>
                <w:sz w:val="19"/>
                <w:szCs w:val="19"/>
              </w:rPr>
              <w:t xml:space="preserve">Free (tier)</w:t>
            </w:r>
          </w:p>
        </w:tc>
      </w:tr>
      <w:tr>
        <w:tc>
          <w:tcPr>
            <w:tcW w:type="dxa" w:w="720"/>
            <w:tcBorders>
              <w:top w:val="single" w:color="B0C4D8" w:sz="1"/>
              <w:left w:val="single" w:color="B0C4D8" w:sz="1"/>
              <w:bottom w:val="single" w:color="B0C4D8" w:sz="1"/>
              <w:right w:val="single" w:color="B0C4D8" w:sz="1"/>
            </w:tcBorders>
            <w:shd w:fill="E8F4F8" w:val="clear"/>
            <w:tcMar>
              <w:top w:type="dxa" w:w="100"/>
              <w:left w:type="dxa" w:w="140"/>
              <w:bottom w:type="dxa" w:w="100"/>
              <w:right w:type="dxa" w:w="140"/>
            </w:tcMar>
          </w:tcPr>
          <w:p>
            <w:pPr>
              <w:spacing w:before="0" w:after="0"/>
            </w:pPr>
            <w:r>
              <w:rPr>
                <w:rFonts w:ascii="Arial" w:cs="Arial" w:eastAsia="Arial" w:hAnsi="Arial"/>
                <w:b/>
                <w:bCs/>
                <w:color w:val="0097B2"/>
                <w:sz w:val="20"/>
                <w:szCs w:val="20"/>
              </w:rPr>
              <w:t xml:space="preserve">07</w:t>
            </w:r>
          </w:p>
        </w:tc>
        <w:tc>
          <w:tcPr>
            <w:tcW w:type="dxa" w:w="220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Trust Report</w:t>
            </w:r>
          </w:p>
        </w:tc>
        <w:tc>
          <w:tcPr>
            <w:tcW w:type="dxa" w:w="380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19"/>
                <w:szCs w:val="19"/>
              </w:rPr>
              <w:t xml:space="preserve">Aggregate all signals. Compute Trust Score. Color-code sentences. Return full report to user.</w:t>
            </w:r>
          </w:p>
        </w:tc>
        <w:tc>
          <w:tcPr>
            <w:tcW w:type="dxa" w:w="3000"/>
            <w:tcBorders>
              <w:top w:val="single" w:color="B0C4D8" w:sz="1"/>
              <w:left w:val="single" w:color="B0C4D8" w:sz="1"/>
              <w:bottom w:val="single" w:color="B0C4D8" w:sz="1"/>
              <w:right w:val="single" w:color="B0C4D8" w:sz="1"/>
            </w:tcBorders>
            <w:shd w:fill="E8F8F2" w:val="clear"/>
            <w:tcMar>
              <w:top w:type="dxa" w:w="100"/>
              <w:left w:type="dxa" w:w="140"/>
              <w:bottom w:type="dxa" w:w="100"/>
              <w:right w:type="dxa" w:w="140"/>
            </w:tcMar>
          </w:tcPr>
          <w:p>
            <w:pPr>
              <w:spacing w:before="0" w:after="0"/>
            </w:pPr>
            <w:r>
              <w:rPr>
                <w:rFonts w:ascii="Arial" w:cs="Arial" w:eastAsia="Arial" w:hAnsi="Arial"/>
                <w:b/>
                <w:bCs/>
                <w:color w:val="0D7F5F"/>
                <w:sz w:val="19"/>
                <w:szCs w:val="19"/>
              </w:rPr>
              <w:t xml:space="preserve">Free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80"/>
              <w:left w:type="dxa" w:w="240"/>
              <w:bottom w:type="dxa" w:w="180"/>
              <w:right w:type="dxa" w:w="240"/>
            </w:tcMar>
          </w:tcPr>
          <w:p>
            <w:pPr>
              <w:spacing w:before="0" w:after="0"/>
            </w:pPr>
            <w:r>
              <w:rPr>
                <w:rFonts w:ascii="Arial" w:cs="Arial" w:eastAsia="Arial" w:hAnsi="Arial"/>
                <w:b/>
                <w:bCs/>
                <w:color w:val="FFFFFF"/>
                <w:spacing w:val="80"/>
                <w:sz w:val="26"/>
                <w:szCs w:val="26"/>
              </w:rPr>
              <w:t xml:space="preserve">05. COST OPTIMIZATION STRATEGY</w:t>
            </w:r>
          </w:p>
        </w:tc>
      </w:tr>
    </w:tbl>
    <w:p>
      <w:pPr>
        <w:spacing w:before="80" w:after="0"/>
      </w:pPr>
      <w:r>
        <w:t xml:space="preserve"/>
      </w:r>
    </w:p>
    <w:p>
      <w:pPr>
        <w:pStyle w:val="Heading2"/>
        <w:spacing w:before="300" w:after="120"/>
      </w:pPr>
      <w:r>
        <w:rPr>
          <w:rFonts w:ascii="Arial" w:cs="Arial" w:eastAsia="Arial" w:hAnsi="Arial"/>
          <w:b/>
          <w:bCs/>
          <w:color w:val="1A2940"/>
          <w:sz w:val="28"/>
          <w:szCs w:val="28"/>
        </w:rPr>
        <w:t xml:space="preserve">The Token Problem and Our Solution</w:t>
      </w:r>
    </w:p>
    <w:p>
      <w:pPr>
        <w:spacing w:before="60" w:after="80"/>
        <w:jc w:val="both"/>
      </w:pPr>
      <w:r>
        <w:rPr>
          <w:rFonts w:ascii="Arial" w:cs="Arial" w:eastAsia="Arial" w:hAnsi="Arial"/>
          <w:color w:val="2C3E50"/>
          <w:sz w:val="22"/>
          <w:szCs w:val="22"/>
        </w:rPr>
        <w:t xml:space="preserve">The primary technical concern with a dual-LLM architecture is API cost. Calling two premium language models for every user query would make the system expensive and unsustainable for a hackathon demo. AI Trust Sentinel solves this with four compounding optimization strategies.</w:t>
      </w:r>
    </w:p>
    <w:p>
      <w:pPr>
        <w:spacing w:before="120" w:after="0"/>
      </w:pPr>
      <w:r>
        <w:t xml:space="preserve"/>
      </w:r>
    </w:p>
    <w:p>
      <w:pPr>
        <w:pStyle w:val="Heading3"/>
        <w:spacing w:before="220" w:after="80"/>
      </w:pPr>
      <w:r>
        <w:rPr>
          <w:rFonts w:ascii="Arial" w:cs="Arial" w:eastAsia="Arial" w:hAnsi="Arial"/>
          <w:b/>
          <w:bCs/>
          <w:color w:val="2E4A6B"/>
          <w:sz w:val="24"/>
          <w:szCs w:val="24"/>
        </w:rPr>
        <w:t xml:space="preserve">Strategy 1 — Redis Query Cache</w:t>
      </w:r>
    </w:p>
    <w:p>
      <w:pPr>
        <w:spacing w:before="60" w:after="80"/>
        <w:jc w:val="both"/>
      </w:pPr>
      <w:r>
        <w:rPr>
          <w:rFonts w:ascii="Arial" w:cs="Arial" w:eastAsia="Arial" w:hAnsi="Arial"/>
          <w:color w:val="2C3E50"/>
          <w:sz w:val="22"/>
          <w:szCs w:val="22"/>
        </w:rPr>
        <w:t xml:space="preserve">Before any LLM is called, the query is checked against a Redis cache using semantic similarity matching. Any query with ≥85% similarity to a cached query returns the stored result instantly at zero API cost. In a hackathon demo environment, this is especially powerful because judges and observers frequently ask the same or similar questions at a demo table.</w:t>
      </w:r>
    </w:p>
    <w:p>
      <w:pPr>
        <w:spacing w:before="60" w:after="80"/>
        <w:jc w:val="both"/>
      </w:pPr>
      <w:r>
        <w:rPr>
          <w:rFonts w:ascii="Arial" w:cs="Arial" w:eastAsia="Arial" w:hAnsi="Arial"/>
          <w:color w:val="2C3E50"/>
          <w:sz w:val="22"/>
          <w:szCs w:val="22"/>
        </w:rPr>
        <w:t xml:space="preserve">Implementation: Upstash Redis free tier provides persistent caching with no infrastructure setup required.</w:t>
      </w:r>
    </w:p>
    <w:p>
      <w:pPr>
        <w:spacing w:before="100" w:after="0"/>
      </w:pPr>
      <w:r>
        <w:t xml:space="preserve"/>
      </w:r>
    </w:p>
    <w:p>
      <w:pPr>
        <w:pStyle w:val="Heading3"/>
        <w:spacing w:before="220" w:after="80"/>
      </w:pPr>
      <w:r>
        <w:rPr>
          <w:rFonts w:ascii="Arial" w:cs="Arial" w:eastAsia="Arial" w:hAnsi="Arial"/>
          <w:b/>
          <w:bCs/>
          <w:color w:val="2E4A6B"/>
          <w:sz w:val="24"/>
          <w:szCs w:val="24"/>
        </w:rPr>
        <w:t xml:space="preserve">Strategy 2 — Selective Dual-LLM Escalation (Confidence Gate)</w:t>
      </w:r>
    </w:p>
    <w:p>
      <w:pPr>
        <w:spacing w:before="60" w:after="80"/>
        <w:jc w:val="both"/>
      </w:pPr>
      <w:r>
        <w:rPr>
          <w:rFonts w:ascii="Arial" w:cs="Arial" w:eastAsia="Arial" w:hAnsi="Arial"/>
          <w:color w:val="2C3E50"/>
          <w:sz w:val="22"/>
          <w:szCs w:val="22"/>
        </w:rPr>
        <w:t xml:space="preserve">Instead of calling two LLMs on every query, the primary model includes a self-assessed confidence score in its response. This score is evaluated against a threshold:</w:t>
      </w:r>
    </w:p>
    <w:p>
      <w:pPr>
        <w:spacing w:before="60" w:after="0"/>
      </w:pPr>
      <w:r>
        <w:t xml:space="preserve"/>
      </w:r>
    </w:p>
    <w:p>
      <w:pPr>
        <w:pStyle w:val="ListParagraph"/>
        <w:numPr>
          <w:ilvl w:val="0"/>
          <w:numId w:val="2"/>
        </w:numPr>
        <w:spacing w:before="40" w:after="60"/>
      </w:pPr>
      <w:r>
        <w:rPr>
          <w:rFonts w:ascii="Arial" w:cs="Arial" w:eastAsia="Arial" w:hAnsi="Arial"/>
          <w:color w:val="2C3E50"/>
          <w:sz w:val="22"/>
          <w:szCs w:val="22"/>
        </w:rPr>
        <w:t xml:space="preserve">If confidence ≥ 75 — proceed directly to fact-checking without calling LLM 2. Cost: one LLM call only.</w:t>
      </w:r>
    </w:p>
    <w:p>
      <w:pPr>
        <w:pStyle w:val="ListParagraph"/>
        <w:numPr>
          <w:ilvl w:val="0"/>
          <w:numId w:val="2"/>
        </w:numPr>
        <w:spacing w:before="40" w:after="60"/>
      </w:pPr>
      <w:r>
        <w:rPr>
          <w:rFonts w:ascii="Arial" w:cs="Arial" w:eastAsia="Arial" w:hAnsi="Arial"/>
          <w:color w:val="2C3E50"/>
          <w:sz w:val="22"/>
          <w:szCs w:val="22"/>
        </w:rPr>
        <w:t xml:space="preserve">If confidence &lt; 75 — escalate to the secondary verifier. Cost: two LLM calls.</w:t>
      </w:r>
    </w:p>
    <w:p>
      <w:pPr>
        <w:spacing w:before="60" w:after="0"/>
      </w:pPr>
      <w:r>
        <w:t xml:space="preserve"/>
      </w:r>
    </w:p>
    <w:p>
      <w:pPr>
        <w:spacing w:before="60" w:after="80"/>
        <w:jc w:val="both"/>
      </w:pPr>
      <w:r>
        <w:rPr>
          <w:rFonts w:ascii="Arial" w:cs="Arial" w:eastAsia="Arial" w:hAnsi="Arial"/>
          <w:color w:val="2C3E50"/>
          <w:sz w:val="22"/>
          <w:szCs w:val="22"/>
        </w:rPr>
        <w:t xml:space="preserve">Based on typical query distributions, approximately 60-70% of queries are expected to be high-confidence, meaning LLM 2 is called only 30-40% of the time. This single strategy reduces total LLM costs by approximately 50%.</w:t>
      </w:r>
    </w:p>
    <w:p>
      <w:pPr>
        <w:spacing w:before="100" w:after="0"/>
      </w:pPr>
      <w:r>
        <w:t xml:space="preserve"/>
      </w:r>
    </w:p>
    <w:p>
      <w:pPr>
        <w:pStyle w:val="Heading3"/>
        <w:spacing w:before="220" w:after="80"/>
      </w:pPr>
      <w:r>
        <w:rPr>
          <w:rFonts w:ascii="Arial" w:cs="Arial" w:eastAsia="Arial" w:hAnsi="Arial"/>
          <w:b/>
          <w:bCs/>
          <w:color w:val="2E4A6B"/>
          <w:sz w:val="24"/>
          <w:szCs w:val="24"/>
        </w:rPr>
        <w:t xml:space="preserve">Strategy 3 — Free Tier Model for Verification</w:t>
      </w:r>
    </w:p>
    <w:p>
      <w:pPr>
        <w:spacing w:before="60" w:after="80"/>
        <w:jc w:val="both"/>
      </w:pPr>
      <w:r>
        <w:rPr>
          <w:rFonts w:ascii="Arial" w:cs="Arial" w:eastAsia="Arial" w:hAnsi="Arial"/>
          <w:color w:val="2C3E50"/>
          <w:sz w:val="22"/>
          <w:szCs w:val="22"/>
        </w:rPr>
        <w:t xml:space="preserve">The secondary verifier is Gemini 1.5 Flash, which offers a generous free tier through Google AI Studio. Unlike GPT-4o-mini which incurs per-token charges, Gemini Flash at free tier handles over 1,000 requests per day at no cost. This means even when the Confidence Gate triggers LLM 2, the additional cost is zero.</w:t>
      </w:r>
    </w:p>
    <w:p>
      <w:pPr>
        <w:spacing w:before="60" w:after="80"/>
        <w:jc w:val="both"/>
      </w:pPr>
      <w:r>
        <w:rPr>
          <w:rFonts w:ascii="Arial" w:cs="Arial" w:eastAsia="Arial" w:hAnsi="Arial"/>
          <w:color w:val="2C3E50"/>
          <w:sz w:val="22"/>
          <w:szCs w:val="22"/>
        </w:rPr>
        <w:t xml:space="preserve">Fallback: If Gemini Flash free tier is exhausted, the system falls back to a locally-running Llama 3 model via Ollama. This runs on the team's own hardware during the hackathon, incurring zero API cost and working even without internet connectivity.</w:t>
      </w:r>
    </w:p>
    <w:p>
      <w:pPr>
        <w:spacing w:before="100" w:after="0"/>
      </w:pPr>
      <w:r>
        <w:t xml:space="preserve"/>
      </w:r>
    </w:p>
    <w:p>
      <w:pPr>
        <w:pStyle w:val="Heading3"/>
        <w:spacing w:before="220" w:after="80"/>
      </w:pPr>
      <w:r>
        <w:rPr>
          <w:rFonts w:ascii="Arial" w:cs="Arial" w:eastAsia="Arial" w:hAnsi="Arial"/>
          <w:b/>
          <w:bCs/>
          <w:color w:val="2E4A6B"/>
          <w:sz w:val="24"/>
          <w:szCs w:val="24"/>
        </w:rPr>
        <w:t xml:space="preserve">Strategy 4 — Claim Extraction Before Fact-Checking</w:t>
      </w:r>
    </w:p>
    <w:p>
      <w:pPr>
        <w:spacing w:before="60" w:after="80"/>
        <w:jc w:val="both"/>
      </w:pPr>
      <w:r>
        <w:rPr>
          <w:rFonts w:ascii="Arial" w:cs="Arial" w:eastAsia="Arial" w:hAnsi="Arial"/>
          <w:color w:val="2C3E50"/>
          <w:sz w:val="22"/>
          <w:szCs w:val="22"/>
        </w:rPr>
        <w:t xml:space="preserve">Rather than sending the entire LLM response to the Tavily Search API for fact-checking (which would be slow and consume many API calls), the system first uses a lightweight prompt to extract only the 3-5 core factual claims from the response. Only these specific claims are then fact-checked. This reduces Tavily API usage by approximately 70% and makes the fact-checking step significantly faster.</w:t>
      </w:r>
    </w:p>
    <w:p>
      <w:pPr>
        <w:spacing w:before="120" w:after="0"/>
      </w:pPr>
      <w:r>
        <w:t xml:space="preserve"/>
      </w:r>
    </w:p>
    <w:p>
      <w:pPr>
        <w:pStyle w:val="Heading2"/>
        <w:spacing w:before="300" w:after="120"/>
      </w:pPr>
      <w:r>
        <w:rPr>
          <w:rFonts w:ascii="Arial" w:cs="Arial" w:eastAsia="Arial" w:hAnsi="Arial"/>
          <w:b/>
          <w:bCs/>
          <w:color w:val="1A2940"/>
          <w:sz w:val="28"/>
          <w:szCs w:val="28"/>
        </w:rPr>
        <w:t xml:space="preserve">Cost Summary — Per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8" w:sz="1"/>
              <w:left w:val="single" w:color="B0C4D8" w:sz="1"/>
              <w:bottom w:val="single" w:color="B0C4D8" w:sz="1"/>
              <w:right w:val="single" w:color="B0C4D8" w:sz="1"/>
            </w:tcBorders>
            <w:shd w:fill="1A294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Component</w:t>
            </w:r>
          </w:p>
        </w:tc>
        <w:tc>
          <w:tcPr>
            <w:tcW w:type="dxa" w:w="6560"/>
            <w:tcBorders>
              <w:top w:val="single" w:color="B0C4D8" w:sz="1"/>
              <w:left w:val="single" w:color="B0C4D8" w:sz="1"/>
              <w:bottom w:val="single" w:color="B0C4D8" w:sz="1"/>
              <w:right w:val="single" w:color="B0C4D8" w:sz="1"/>
            </w:tcBorders>
            <w:shd w:fill="2E4A6B" w:val="clear"/>
            <w:tcMar>
              <w:top w:type="dxa" w:w="100"/>
              <w:left w:type="dxa" w:w="140"/>
              <w:bottom w:type="dxa" w:w="100"/>
              <w:right w:type="dxa" w:w="140"/>
            </w:tcMar>
          </w:tcPr>
          <w:p>
            <w:pPr>
              <w:spacing w:before="0" w:after="0"/>
            </w:pPr>
            <w:r>
              <w:rPr>
                <w:rFonts w:ascii="Arial" w:cs="Arial" w:eastAsia="Arial" w:hAnsi="Arial"/>
                <w:color w:val="FFFFFF"/>
                <w:sz w:val="20"/>
                <w:szCs w:val="20"/>
              </w:rPr>
              <w:t xml:space="preserve">Cost Estimate</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GPT-4o-mini (primary LLM)</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~$0.00015 per 1,000 tokens — approximately $0.0002 per average query</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Gemini 1.5 Flash (verifier)</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Free tier — $0.00 for first 1,000+ daily requests</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Tavily Search API (fact-check)</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Free tier — 1,000 free API calls per month</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Upstash Redis (cache)</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Free tier — covers hackathon usage entirely</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Ollama + Llama 3 (fallback)</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$0.00 — runs locally on team hardware</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Total per query (estimated)</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~$0.0002 per unique, non-cached query</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Total for 500 demo queries</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Approximately $0.10 total — well within any hackathon budget</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80"/>
              <w:left w:type="dxa" w:w="240"/>
              <w:bottom w:type="dxa" w:w="180"/>
              <w:right w:type="dxa" w:w="240"/>
            </w:tcMar>
          </w:tcPr>
          <w:p>
            <w:pPr>
              <w:spacing w:before="0" w:after="0"/>
            </w:pPr>
            <w:r>
              <w:rPr>
                <w:rFonts w:ascii="Arial" w:cs="Arial" w:eastAsia="Arial" w:hAnsi="Arial"/>
                <w:b/>
                <w:bCs/>
                <w:color w:val="FFFFFF"/>
                <w:spacing w:val="80"/>
                <w:sz w:val="26"/>
                <w:szCs w:val="26"/>
              </w:rPr>
              <w:t xml:space="preserve">06. TECHNOLOGY STACK</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4D8" w:sz="1"/>
              <w:left w:val="single" w:color="B0C4D8" w:sz="1"/>
              <w:bottom w:val="single" w:color="B0C4D8" w:sz="1"/>
              <w:right w:val="single" w:color="B0C4D8" w:sz="1"/>
            </w:tcBorders>
            <w:shd w:fill="1A294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Layer</w:t>
            </w:r>
          </w:p>
        </w:tc>
        <w:tc>
          <w:tcPr>
            <w:tcW w:type="dxa" w:w="6960"/>
            <w:tcBorders>
              <w:top w:val="single" w:color="B0C4D8" w:sz="1"/>
              <w:left w:val="single" w:color="B0C4D8" w:sz="1"/>
              <w:bottom w:val="single" w:color="B0C4D8" w:sz="1"/>
              <w:right w:val="single" w:color="B0C4D8" w:sz="1"/>
            </w:tcBorders>
            <w:shd w:fill="2E4A6B" w:val="clear"/>
            <w:tcMar>
              <w:top w:type="dxa" w:w="100"/>
              <w:left w:type="dxa" w:w="140"/>
              <w:bottom w:type="dxa" w:w="100"/>
              <w:right w:type="dxa" w:w="140"/>
            </w:tcMar>
          </w:tcPr>
          <w:p>
            <w:pPr>
              <w:spacing w:before="0" w:after="0"/>
            </w:pPr>
            <w:r>
              <w:rPr>
                <w:rFonts w:ascii="Arial" w:cs="Arial" w:eastAsia="Arial" w:hAnsi="Arial"/>
                <w:color w:val="FFFFFF"/>
                <w:sz w:val="20"/>
                <w:szCs w:val="20"/>
              </w:rPr>
              <w:t xml:space="preserve">Technology</w:t>
            </w:r>
          </w:p>
        </w:tc>
      </w:tr>
      <w:tr>
        <w:tc>
          <w:tcPr>
            <w:tcW w:type="dxa" w:w="24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Frontend</w:t>
            </w:r>
          </w:p>
        </w:tc>
        <w:tc>
          <w:tcPr>
            <w:tcW w:type="dxa" w:w="69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React 18 with Tailwind CSS. Single-page application with real-time response streaming. Sentence highlight overlay rendered as layered DOM elements.</w:t>
            </w:r>
          </w:p>
        </w:tc>
      </w:tr>
      <w:tr>
        <w:tc>
          <w:tcPr>
            <w:tcW w:type="dxa" w:w="24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Backend API</w:t>
            </w:r>
          </w:p>
        </w:tc>
        <w:tc>
          <w:tcPr>
            <w:tcW w:type="dxa" w:w="69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Python FastAPI. Async endpoint handling for parallel LLM calls. REST API with WebSocket support for streaming trust score updates.</w:t>
            </w:r>
          </w:p>
        </w:tc>
      </w:tr>
      <w:tr>
        <w:tc>
          <w:tcPr>
            <w:tcW w:type="dxa" w:w="24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Primary LLM</w:t>
            </w:r>
          </w:p>
        </w:tc>
        <w:tc>
          <w:tcPr>
            <w:tcW w:type="dxa" w:w="69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OpenAI GPT-4o-mini. Selected for its low cost ($0.00015/1K tokens), fast response time, and reliable self-confidence scoring capability.</w:t>
            </w:r>
          </w:p>
        </w:tc>
      </w:tr>
      <w:tr>
        <w:tc>
          <w:tcPr>
            <w:tcW w:type="dxa" w:w="24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Verifier LLM</w:t>
            </w:r>
          </w:p>
        </w:tc>
        <w:tc>
          <w:tcPr>
            <w:tcW w:type="dxa" w:w="69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Google Gemini 1.5 Flash via Google AI Studio API. Free tier. Chosen for architectural independence from GPT (different training data = better cross-check).</w:t>
            </w:r>
          </w:p>
        </w:tc>
      </w:tr>
      <w:tr>
        <w:tc>
          <w:tcPr>
            <w:tcW w:type="dxa" w:w="24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Local LLM Fallback</w:t>
            </w:r>
          </w:p>
        </w:tc>
        <w:tc>
          <w:tcPr>
            <w:tcW w:type="dxa" w:w="69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Meta Llama 3 8B via Ollama. Runs locally on team laptop. Zero cost, zero network dependency. Essential backup for hackathon WiFi reliability.</w:t>
            </w:r>
          </w:p>
        </w:tc>
      </w:tr>
      <w:tr>
        <w:tc>
          <w:tcPr>
            <w:tcW w:type="dxa" w:w="24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Fact-Checking API</w:t>
            </w:r>
          </w:p>
        </w:tc>
        <w:tc>
          <w:tcPr>
            <w:tcW w:type="dxa" w:w="69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Tavily Search API. Purpose-built for AI applications — returns structured search results optimized for LLM consumption. Free tier: 1,000 calls/month.</w:t>
            </w:r>
          </w:p>
        </w:tc>
      </w:tr>
      <w:tr>
        <w:tc>
          <w:tcPr>
            <w:tcW w:type="dxa" w:w="24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Semantic Cache</w:t>
            </w:r>
          </w:p>
        </w:tc>
        <w:tc>
          <w:tcPr>
            <w:tcW w:type="dxa" w:w="69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Upstash Redis (serverless). Used for query caching with cosine similarity matching. Free tier sufficient for hackathon.</w:t>
            </w:r>
          </w:p>
        </w:tc>
      </w:tr>
      <w:tr>
        <w:tc>
          <w:tcPr>
            <w:tcW w:type="dxa" w:w="24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Embedding Model</w:t>
            </w:r>
          </w:p>
        </w:tc>
        <w:tc>
          <w:tcPr>
            <w:tcW w:type="dxa" w:w="69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OpenAI text-embedding-3-small for generating query embeddings used in semantic cache similarity matching.</w:t>
            </w:r>
          </w:p>
        </w:tc>
      </w:tr>
      <w:tr>
        <w:tc>
          <w:tcPr>
            <w:tcW w:type="dxa" w:w="24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Frontend Hosting</w:t>
            </w:r>
          </w:p>
        </w:tc>
        <w:tc>
          <w:tcPr>
            <w:tcW w:type="dxa" w:w="69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Vercel. Zero-config deployment from GitHub. Free tier. Automatic HTTPS and global CDN.</w:t>
            </w:r>
          </w:p>
        </w:tc>
      </w:tr>
      <w:tr>
        <w:tc>
          <w:tcPr>
            <w:tcW w:type="dxa" w:w="24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Backend Hosting</w:t>
            </w:r>
          </w:p>
        </w:tc>
        <w:tc>
          <w:tcPr>
            <w:tcW w:type="dxa" w:w="69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Railway.app. Simple Python service deployment. Free tier with 500 hours/month.</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80"/>
              <w:left w:type="dxa" w:w="240"/>
              <w:bottom w:type="dxa" w:w="180"/>
              <w:right w:type="dxa" w:w="240"/>
            </w:tcMar>
          </w:tcPr>
          <w:p>
            <w:pPr>
              <w:spacing w:before="0" w:after="0"/>
            </w:pPr>
            <w:r>
              <w:rPr>
                <w:rFonts w:ascii="Arial" w:cs="Arial" w:eastAsia="Arial" w:hAnsi="Arial"/>
                <w:b/>
                <w:bCs/>
                <w:color w:val="FFFFFF"/>
                <w:spacing w:val="80"/>
                <w:sz w:val="26"/>
                <w:szCs w:val="26"/>
              </w:rPr>
              <w:t xml:space="preserve">07. TARGET USERS &amp; MARKET OPPORTUNITY</w:t>
            </w:r>
          </w:p>
        </w:tc>
      </w:tr>
    </w:tbl>
    <w:p>
      <w:pPr>
        <w:spacing w:before="80" w:after="0"/>
      </w:pPr>
      <w:r>
        <w:t xml:space="preserve"/>
      </w:r>
    </w:p>
    <w:p>
      <w:pPr>
        <w:pStyle w:val="Heading2"/>
        <w:spacing w:before="300" w:after="120"/>
      </w:pPr>
      <w:r>
        <w:rPr>
          <w:rFonts w:ascii="Arial" w:cs="Arial" w:eastAsia="Arial" w:hAnsi="Arial"/>
          <w:b/>
          <w:bCs/>
          <w:color w:val="1A2940"/>
          <w:sz w:val="28"/>
          <w:szCs w:val="28"/>
        </w:rPr>
        <w:t xml:space="preserve">Who Needs This</w:t>
      </w:r>
    </w:p>
    <w:p>
      <w:pPr>
        <w:spacing w:before="60" w:after="80"/>
        <w:jc w:val="both"/>
      </w:pPr>
      <w:r>
        <w:rPr>
          <w:rFonts w:ascii="Arial" w:cs="Arial" w:eastAsia="Arial" w:hAnsi="Arial"/>
          <w:color w:val="2C3E50"/>
          <w:sz w:val="22"/>
          <w:szCs w:val="22"/>
        </w:rPr>
        <w:t xml:space="preserve">AI Trust Sentinel addresses a universal pain point. Every person who uses an AI tool for any purpose that requires factual accuracy is a potential user. The following segments represent the highest-priority markets, ordered by immediacy of need and willingness to pay.</w:t>
      </w:r>
    </w:p>
    <w:p>
      <w:pPr>
        <w:spacing w:before="120" w:after="0"/>
      </w:pPr>
      <w:r>
        <w:t xml:space="preserve"/>
      </w:r>
    </w:p>
    <w:p>
      <w:pPr>
        <w:pStyle w:val="Heading3"/>
        <w:spacing w:before="220" w:after="80"/>
      </w:pPr>
      <w:r>
        <w:rPr>
          <w:rFonts w:ascii="Arial" w:cs="Arial" w:eastAsia="Arial" w:hAnsi="Arial"/>
          <w:b/>
          <w:bCs/>
          <w:color w:val="2E4A6B"/>
          <w:sz w:val="24"/>
          <w:szCs w:val="24"/>
        </w:rPr>
        <w:t xml:space="preserve">Segment 1 — Students (Primary Immediate Market)</w:t>
      </w:r>
    </w:p>
    <w:p>
      <w:pPr>
        <w:spacing w:before="60" w:after="80"/>
        <w:jc w:val="both"/>
      </w:pPr>
      <w:r>
        <w:rPr>
          <w:rFonts w:ascii="Arial" w:cs="Arial" w:eastAsia="Arial" w:hAnsi="Arial"/>
          <w:color w:val="2C3E50"/>
          <w:sz w:val="22"/>
          <w:szCs w:val="22"/>
        </w:rPr>
        <w:t xml:space="preserve">Students represent the largest and most immediately accessible market. Over 200 million students globally now use AI tools for academic research, essay writing, and problem-solving. The academic consequences of submitting AI-generated content containing factual errors are severe — failing grades, academic misconduct charges, and reputational damage. Students need AI Trust Sentinel to verify their AI-assisted work before submission. The tool fits naturally into their existing workflow: run a query in any AI tool, paste the response into AI Trust Sentinel, get a trust report before submitting.</w:t>
      </w:r>
    </w:p>
    <w:p>
      <w:pPr>
        <w:spacing w:before="80" w:after="0"/>
      </w:pPr>
      <w:r>
        <w:t xml:space="preserve"/>
      </w:r>
    </w:p>
    <w:p>
      <w:pPr>
        <w:pStyle w:val="Heading3"/>
        <w:spacing w:before="220" w:after="80"/>
      </w:pPr>
      <w:r>
        <w:rPr>
          <w:rFonts w:ascii="Arial" w:cs="Arial" w:eastAsia="Arial" w:hAnsi="Arial"/>
          <w:b/>
          <w:bCs/>
          <w:color w:val="2E4A6B"/>
          <w:sz w:val="24"/>
          <w:szCs w:val="24"/>
        </w:rPr>
        <w:t xml:space="preserve">Segment 2 — Journalists &amp; Content Creators</w:t>
      </w:r>
    </w:p>
    <w:p>
      <w:pPr>
        <w:spacing w:before="60" w:after="80"/>
        <w:jc w:val="both"/>
      </w:pPr>
      <w:r>
        <w:rPr>
          <w:rFonts w:ascii="Arial" w:cs="Arial" w:eastAsia="Arial" w:hAnsi="Arial"/>
          <w:color w:val="2C3E50"/>
          <w:sz w:val="22"/>
          <w:szCs w:val="22"/>
        </w:rPr>
        <w:t xml:space="preserve">Professional journalists and independent content creators use AI to accelerate research and drafting. A single hallucinated fact in a published article can destroy credibility built over years. For professional journalists, AI Trust Sentinel acts as a final verification layer before publication. The Source Chain feature is particularly valuable here — it provides citable, attributable web sources for every claim, which can be incorporated directly into published work.</w:t>
      </w:r>
    </w:p>
    <w:p>
      <w:pPr>
        <w:spacing w:before="80" w:after="0"/>
      </w:pPr>
      <w:r>
        <w:t xml:space="preserve"/>
      </w:r>
    </w:p>
    <w:p>
      <w:pPr>
        <w:pStyle w:val="Heading3"/>
        <w:spacing w:before="220" w:after="80"/>
      </w:pPr>
      <w:r>
        <w:rPr>
          <w:rFonts w:ascii="Arial" w:cs="Arial" w:eastAsia="Arial" w:hAnsi="Arial"/>
          <w:b/>
          <w:bCs/>
          <w:color w:val="2E4A6B"/>
          <w:sz w:val="24"/>
          <w:szCs w:val="24"/>
        </w:rPr>
        <w:t xml:space="preserve">Segment 3 — Legal Professionals</w:t>
      </w:r>
    </w:p>
    <w:p>
      <w:pPr>
        <w:spacing w:before="60" w:after="80"/>
        <w:jc w:val="both"/>
      </w:pPr>
      <w:r>
        <w:rPr>
          <w:rFonts w:ascii="Arial" w:cs="Arial" w:eastAsia="Arial" w:hAnsi="Arial"/>
          <w:color w:val="2C3E50"/>
          <w:sz w:val="22"/>
          <w:szCs w:val="22"/>
        </w:rPr>
        <w:t xml:space="preserve">The legal sector represents the highest-stakes application of AI hallucination risk. AI-generated legal research containing fabricated case citations has already resulted in real court sanctions against practicing attorneys. Legal professionals using AI for research, brief drafting, and precedent lookup need an absolute verification layer. The Trust Score and Source Chain provide exactly that — a confidence assessment and evidentiary trail that attorneys can present to demonstrate due diligence.</w:t>
      </w:r>
    </w:p>
    <w:p>
      <w:pPr>
        <w:spacing w:before="80" w:after="0"/>
      </w:pPr>
      <w:r>
        <w:t xml:space="preserve"/>
      </w:r>
    </w:p>
    <w:p>
      <w:pPr>
        <w:pStyle w:val="Heading3"/>
        <w:spacing w:before="220" w:after="80"/>
      </w:pPr>
      <w:r>
        <w:rPr>
          <w:rFonts w:ascii="Arial" w:cs="Arial" w:eastAsia="Arial" w:hAnsi="Arial"/>
          <w:b/>
          <w:bCs/>
          <w:color w:val="2E4A6B"/>
          <w:sz w:val="24"/>
          <w:szCs w:val="24"/>
        </w:rPr>
        <w:t xml:space="preserve">Segment 4 — Healthcare Workers &amp; Medical Students</w:t>
      </w:r>
    </w:p>
    <w:p>
      <w:pPr>
        <w:spacing w:before="60" w:after="80"/>
        <w:jc w:val="both"/>
      </w:pPr>
      <w:r>
        <w:rPr>
          <w:rFonts w:ascii="Arial" w:cs="Arial" w:eastAsia="Arial" w:hAnsi="Arial"/>
          <w:color w:val="2C3E50"/>
          <w:sz w:val="22"/>
          <w:szCs w:val="22"/>
        </w:rPr>
        <w:t xml:space="preserve">Nurses, pharmacists, and medical students using AI to look up drug interactions, dosage guidelines, and treatment protocols face potentially life-threatening consequences from AI hallucinations. The verification layer AI Trust Sentinel provides is especially critical here. Even a Trust Score of 95 should not replace clinical judgment, but it alerts users when AI output in a medical context should be treated with heightened skepticism.</w:t>
      </w:r>
    </w:p>
    <w:p>
      <w:pPr>
        <w:spacing w:before="80" w:after="0"/>
      </w:pPr>
      <w:r>
        <w:t xml:space="preserve"/>
      </w:r>
    </w:p>
    <w:p>
      <w:pPr>
        <w:pStyle w:val="Heading3"/>
        <w:spacing w:before="220" w:after="80"/>
      </w:pPr>
      <w:r>
        <w:rPr>
          <w:rFonts w:ascii="Arial" w:cs="Arial" w:eastAsia="Arial" w:hAnsi="Arial"/>
          <w:b/>
          <w:bCs/>
          <w:color w:val="2E4A6B"/>
          <w:sz w:val="24"/>
          <w:szCs w:val="24"/>
        </w:rPr>
        <w:t xml:space="preserve">Segment 5 — Enterprise AI Deployers (Long-term Revenue)</w:t>
      </w:r>
    </w:p>
    <w:p>
      <w:pPr>
        <w:spacing w:before="60" w:after="80"/>
        <w:jc w:val="both"/>
      </w:pPr>
      <w:r>
        <w:rPr>
          <w:rFonts w:ascii="Arial" w:cs="Arial" w:eastAsia="Arial" w:hAnsi="Arial"/>
          <w:color w:val="2C3E50"/>
          <w:sz w:val="22"/>
          <w:szCs w:val="22"/>
        </w:rPr>
        <w:t xml:space="preserve">Companies building internal AI tools — customer service bots, HR Q&amp;A systems, financial analysis assistants, compliance advisors — face significant liability when those tools confidently give employees or customers incorrect information. AI Trust Sentinel can be positioned as an API layer that enterprise AI builders integrate into their products. This B2B SaaS model represents the highest long-term revenue potential. Every company building on LLM APIs is a potential enterprise customer.</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80"/>
              <w:left w:type="dxa" w:w="240"/>
              <w:bottom w:type="dxa" w:w="180"/>
              <w:right w:type="dxa" w:w="240"/>
            </w:tcMar>
          </w:tcPr>
          <w:p>
            <w:pPr>
              <w:spacing w:before="0" w:after="0"/>
            </w:pPr>
            <w:r>
              <w:rPr>
                <w:rFonts w:ascii="Arial" w:cs="Arial" w:eastAsia="Arial" w:hAnsi="Arial"/>
                <w:b/>
                <w:bCs/>
                <w:color w:val="FFFFFF"/>
                <w:spacing w:val="80"/>
                <w:sz w:val="26"/>
                <w:szCs w:val="26"/>
              </w:rPr>
              <w:t xml:space="preserve">08. COMPETITIVE LANDSCAPE</w:t>
            </w:r>
          </w:p>
        </w:tc>
      </w:tr>
    </w:tbl>
    <w:p>
      <w:pPr>
        <w:spacing w:before="80" w:after="0"/>
      </w:pPr>
      <w:r>
        <w:t xml:space="preserve"/>
      </w:r>
    </w:p>
    <w:p>
      <w:pPr>
        <w:pStyle w:val="Heading2"/>
        <w:spacing w:before="300" w:after="120"/>
      </w:pPr>
      <w:r>
        <w:rPr>
          <w:rFonts w:ascii="Arial" w:cs="Arial" w:eastAsia="Arial" w:hAnsi="Arial"/>
          <w:b/>
          <w:bCs/>
          <w:color w:val="1A2940"/>
          <w:sz w:val="28"/>
          <w:szCs w:val="28"/>
        </w:rPr>
        <w:t xml:space="preserve">Validated Precedent</w:t>
      </w:r>
    </w:p>
    <w:p>
      <w:pPr>
        <w:spacing w:before="60" w:after="80"/>
        <w:jc w:val="both"/>
      </w:pPr>
      <w:r>
        <w:rPr>
          <w:rFonts w:ascii="Arial" w:cs="Arial" w:eastAsia="Arial" w:hAnsi="Arial"/>
          <w:color w:val="2C3E50"/>
          <w:sz w:val="22"/>
          <w:szCs w:val="22"/>
        </w:rPr>
        <w:t xml:space="preserve">The closest validated competitor is ModelProof (Sentinel AI Chat), which won the JS/TS category at Microsoft's AI Agents Hackathon 2025 — one of the largest AI hackathons globally with 18,000+ registered developers and 570 project submissions. ModelProof validates the market need and the hackathon viability of this concept.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6891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STRATEGIC NOTE</w:t>
            </w:r>
          </w:p>
        </w:tc>
        <w:tc>
          <w:tcPr>
            <w:tcW w:type="dxa" w:w="9160"/>
            <w:tcBorders>
              <w:top w:val="none" w:color="FFFFFF" w:sz="0"/>
              <w:left w:val="none" w:color="FFFFFF" w:sz="0"/>
              <w:bottom w:val="none" w:color="FFFFFF" w:sz="0"/>
              <w:right w:val="none" w:color="FFFFFF" w:sz="0"/>
            </w:tcBorders>
            <w:shd w:fill="E8F4F8" w:val="clear"/>
            <w:tcMar>
              <w:top w:type="dxa" w:w="100"/>
              <w:left w:type="dxa" w:w="160"/>
              <w:bottom w:type="dxa" w:w="100"/>
              <w:right w:type="dxa" w:w="120"/>
            </w:tcMar>
          </w:tcPr>
          <w:p>
            <w:pPr>
              <w:spacing w:before="0" w:after="0"/>
            </w:pPr>
            <w:r>
              <w:rPr>
                <w:rFonts w:ascii="Arial" w:cs="Arial" w:eastAsia="Arial" w:hAnsi="Arial"/>
                <w:i/>
                <w:iCs/>
                <w:color w:val="2C3E50"/>
                <w:sz w:val="21"/>
                <w:szCs w:val="21"/>
              </w:rPr>
              <w:t xml:space="preserve">ModelProof winning a major hackathon confirms that judges find this problem compelling. It also means we must clearly differentiate our approach to avoid being seen as a copy.</w:t>
            </w:r>
          </w:p>
        </w:tc>
      </w:tr>
    </w:tbl>
    <w:p>
      <w:pPr>
        <w:spacing w:before="120" w:after="0"/>
      </w:pPr>
      <w:r>
        <w:t xml:space="preserve"/>
      </w:r>
    </w:p>
    <w:p>
      <w:pPr>
        <w:pStyle w:val="Heading2"/>
        <w:spacing w:before="300" w:after="120"/>
      </w:pPr>
      <w:r>
        <w:rPr>
          <w:rFonts w:ascii="Arial" w:cs="Arial" w:eastAsia="Arial" w:hAnsi="Arial"/>
          <w:b/>
          <w:bCs/>
          <w:color w:val="1A2940"/>
          <w:sz w:val="28"/>
          <w:szCs w:val="28"/>
        </w:rPr>
        <w:t xml:space="preserve">Our Differentiation from ModelProof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8" w:sz="1"/>
              <w:left w:val="single" w:color="B0C4D8" w:sz="1"/>
              <w:bottom w:val="single" w:color="B0C4D8" w:sz="1"/>
              <w:right w:val="single" w:color="B0C4D8" w:sz="1"/>
            </w:tcBorders>
            <w:shd w:fill="1A294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Dimension</w:t>
            </w:r>
          </w:p>
        </w:tc>
        <w:tc>
          <w:tcPr>
            <w:tcW w:type="dxa" w:w="6560"/>
            <w:tcBorders>
              <w:top w:val="single" w:color="B0C4D8" w:sz="1"/>
              <w:left w:val="single" w:color="B0C4D8" w:sz="1"/>
              <w:bottom w:val="single" w:color="B0C4D8" w:sz="1"/>
              <w:right w:val="single" w:color="B0C4D8" w:sz="1"/>
            </w:tcBorders>
            <w:shd w:fill="2E4A6B" w:val="clear"/>
            <w:tcMar>
              <w:top w:type="dxa" w:w="100"/>
              <w:left w:type="dxa" w:w="140"/>
              <w:bottom w:type="dxa" w:w="100"/>
              <w:right w:type="dxa" w:w="140"/>
            </w:tcMar>
          </w:tcPr>
          <w:p>
            <w:pPr>
              <w:spacing w:before="0" w:after="0"/>
            </w:pPr>
            <w:r>
              <w:rPr>
                <w:rFonts w:ascii="Arial" w:cs="Arial" w:eastAsia="Arial" w:hAnsi="Arial"/>
                <w:color w:val="FFFFFF"/>
                <w:sz w:val="20"/>
                <w:szCs w:val="20"/>
              </w:rPr>
              <w:t xml:space="preserve">AI Trust Sentinel vs. ModelProof</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Fact-checking</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We add web-grounded fact-checking via Tavily. ModelProof only checks LLM-to-LLM consistency — two models can both be wrong.</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Source Chain</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We show the exact web sources behind each claim. ModelProof provides no external evidence trail.</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Cost optimization</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We use the Confidence Gate to avoid calling two LLMs on every query. ModelProof calls two models always.</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Transparency</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Our sentence-level color highlighting shows exactly what is wrong and why. ModelProof provides a risk report without granular sentence attribution.</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Offline capability</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We support local Llama 3 fallback via Ollama. ModelProof requires API access throughout.</w:t>
            </w:r>
          </w:p>
        </w:tc>
      </w:tr>
    </w:tbl>
    <w:p>
      <w:pPr>
        <w:spacing w:before="120" w:after="0"/>
      </w:pPr>
      <w:r>
        <w:t xml:space="preserve"/>
      </w:r>
    </w:p>
    <w:p>
      <w:pPr>
        <w:pStyle w:val="Heading2"/>
        <w:spacing w:before="300" w:after="120"/>
      </w:pPr>
      <w:r>
        <w:rPr>
          <w:rFonts w:ascii="Arial" w:cs="Arial" w:eastAsia="Arial" w:hAnsi="Arial"/>
          <w:b/>
          <w:bCs/>
          <w:color w:val="1A2940"/>
          <w:sz w:val="28"/>
          <w:szCs w:val="28"/>
        </w:rPr>
        <w:t xml:space="preserve">Broader Competitive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8" w:sz="1"/>
              <w:left w:val="single" w:color="B0C4D8" w:sz="1"/>
              <w:bottom w:val="single" w:color="B0C4D8" w:sz="1"/>
              <w:right w:val="single" w:color="B0C4D8" w:sz="1"/>
            </w:tcBorders>
            <w:shd w:fill="1A294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Competitor</w:t>
            </w:r>
          </w:p>
        </w:tc>
        <w:tc>
          <w:tcPr>
            <w:tcW w:type="dxa" w:w="6560"/>
            <w:tcBorders>
              <w:top w:val="single" w:color="B0C4D8" w:sz="1"/>
              <w:left w:val="single" w:color="B0C4D8" w:sz="1"/>
              <w:bottom w:val="single" w:color="B0C4D8" w:sz="1"/>
              <w:right w:val="single" w:color="B0C4D8" w:sz="1"/>
            </w:tcBorders>
            <w:shd w:fill="2E4A6B" w:val="clear"/>
            <w:tcMar>
              <w:top w:type="dxa" w:w="100"/>
              <w:left w:type="dxa" w:w="140"/>
              <w:bottom w:type="dxa" w:w="100"/>
              <w:right w:type="dxa" w:w="140"/>
            </w:tcMar>
          </w:tcPr>
          <w:p>
            <w:pPr>
              <w:spacing w:before="0" w:after="0"/>
            </w:pPr>
            <w:r>
              <w:rPr>
                <w:rFonts w:ascii="Arial" w:cs="Arial" w:eastAsia="Arial" w:hAnsi="Arial"/>
                <w:color w:val="FFFFFF"/>
                <w:sz w:val="20"/>
                <w:szCs w:val="20"/>
              </w:rPr>
              <w:t xml:space="preserve">Gap AI Trust Sentinel Fills</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ChatGPT / Gemini / Claude</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No native trust signals. No per-sentence confidence. No source verification. AI Trust Sentinel wraps around them.</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Perplexity AI</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Provides source citations but for its own answers only. Not a trust verification layer for other AI tools.</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Traditional fact-checkers</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Too slow (days), not scalable, require human expertise. AI Trust Sentinel is real-time and automated.</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RAG systems</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Developer tool requiring integration. Not consumer-accessible. AI Trust Sentinel works as a standalone consumer layer.</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Manual Google search</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Requires user expertise and time. AI Trust Sentinel automates source cross-referencing in seconds.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80"/>
              <w:left w:type="dxa" w:w="240"/>
              <w:bottom w:type="dxa" w:w="180"/>
              <w:right w:type="dxa" w:w="240"/>
            </w:tcMar>
          </w:tcPr>
          <w:p>
            <w:pPr>
              <w:spacing w:before="0" w:after="0"/>
            </w:pPr>
            <w:r>
              <w:rPr>
                <w:rFonts w:ascii="Arial" w:cs="Arial" w:eastAsia="Arial" w:hAnsi="Arial"/>
                <w:b/>
                <w:bCs/>
                <w:color w:val="FFFFFF"/>
                <w:spacing w:val="80"/>
                <w:sz w:val="26"/>
                <w:szCs w:val="26"/>
              </w:rPr>
              <w:t xml:space="preserve">09. HACKATHON MVP — 48-HOUR BUILD PLAN</w:t>
            </w:r>
          </w:p>
        </w:tc>
      </w:tr>
    </w:tbl>
    <w:p>
      <w:pPr>
        <w:spacing w:before="80" w:after="0"/>
      </w:pPr>
      <w:r>
        <w:t xml:space="preserve"/>
      </w:r>
    </w:p>
    <w:p>
      <w:pPr>
        <w:pStyle w:val="Heading2"/>
        <w:spacing w:before="300" w:after="120"/>
      </w:pPr>
      <w:r>
        <w:rPr>
          <w:rFonts w:ascii="Arial" w:cs="Arial" w:eastAsia="Arial" w:hAnsi="Arial"/>
          <w:b/>
          <w:bCs/>
          <w:color w:val="1A2940"/>
          <w:sz w:val="28"/>
          <w:szCs w:val="28"/>
        </w:rPr>
        <w:t xml:space="preserve">MVP Scope</w:t>
      </w:r>
    </w:p>
    <w:p>
      <w:pPr>
        <w:spacing w:before="60" w:after="80"/>
        <w:jc w:val="both"/>
      </w:pPr>
      <w:r>
        <w:rPr>
          <w:rFonts w:ascii="Arial" w:cs="Arial" w:eastAsia="Arial" w:hAnsi="Arial"/>
          <w:color w:val="2C3E50"/>
          <w:sz w:val="22"/>
          <w:szCs w:val="22"/>
        </w:rPr>
        <w:t xml:space="preserve">The hackathon MVP is scoped to deliver a complete, demo-ready product that tells the full product story in a live demonstration. Scope is deliberately constrained to what is shippable in 48 hours without sacrificing the core user experience.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97B2"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MVP GOAL</w:t>
            </w:r>
          </w:p>
        </w:tc>
        <w:tc>
          <w:tcPr>
            <w:tcW w:type="dxa" w:w="9160"/>
            <w:tcBorders>
              <w:top w:val="none" w:color="FFFFFF" w:sz="0"/>
              <w:left w:val="none" w:color="FFFFFF" w:sz="0"/>
              <w:bottom w:val="none" w:color="FFFFFF" w:sz="0"/>
              <w:right w:val="none" w:color="FFFFFF" w:sz="0"/>
            </w:tcBorders>
            <w:shd w:fill="E8F4F8" w:val="clear"/>
            <w:tcMar>
              <w:top w:type="dxa" w:w="100"/>
              <w:left w:type="dxa" w:w="160"/>
              <w:bottom w:type="dxa" w:w="100"/>
              <w:right w:type="dxa" w:w="120"/>
            </w:tcMar>
          </w:tcPr>
          <w:p>
            <w:pPr>
              <w:spacing w:before="0" w:after="0"/>
            </w:pPr>
            <w:r>
              <w:rPr>
                <w:rFonts w:ascii="Arial" w:cs="Arial" w:eastAsia="Arial" w:hAnsi="Arial"/>
                <w:i/>
                <w:iCs/>
                <w:color w:val="2C3E50"/>
                <w:sz w:val="21"/>
                <w:szCs w:val="21"/>
              </w:rPr>
              <w:t xml:space="preserve">The MVP must demonstrate: user types query → dual-LLM processing → real-time trust score → sentence highlights → source chain. This complete flow is achievable in 48 hours with the right scope.</w:t>
            </w:r>
          </w:p>
        </w:tc>
      </w:tr>
    </w:tbl>
    <w:p>
      <w:pPr>
        <w:spacing w:before="120" w:after="0"/>
      </w:pPr>
      <w:r>
        <w:t xml:space="preserve"/>
      </w:r>
    </w:p>
    <w:p>
      <w:pPr>
        <w:pStyle w:val="Heading2"/>
        <w:spacing w:before="300" w:after="120"/>
      </w:pPr>
      <w:r>
        <w:rPr>
          <w:rFonts w:ascii="Arial" w:cs="Arial" w:eastAsia="Arial" w:hAnsi="Arial"/>
          <w:b/>
          <w:bCs/>
          <w:color w:val="1A2940"/>
          <w:sz w:val="28"/>
          <w:szCs w:val="28"/>
        </w:rPr>
        <w:t xml:space="preserve">Build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8" w:sz="1"/>
              <w:left w:val="single" w:color="B0C4D8" w:sz="1"/>
              <w:bottom w:val="single" w:color="B0C4D8" w:sz="1"/>
              <w:right w:val="single" w:color="B0C4D8" w:sz="1"/>
            </w:tcBorders>
            <w:shd w:fill="1A294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Time Window</w:t>
            </w:r>
          </w:p>
        </w:tc>
        <w:tc>
          <w:tcPr>
            <w:tcW w:type="dxa" w:w="6560"/>
            <w:tcBorders>
              <w:top w:val="single" w:color="B0C4D8" w:sz="1"/>
              <w:left w:val="single" w:color="B0C4D8" w:sz="1"/>
              <w:bottom w:val="single" w:color="B0C4D8" w:sz="1"/>
              <w:right w:val="single" w:color="B0C4D8" w:sz="1"/>
            </w:tcBorders>
            <w:shd w:fill="2E4A6B" w:val="clear"/>
            <w:tcMar>
              <w:top w:type="dxa" w:w="100"/>
              <w:left w:type="dxa" w:w="140"/>
              <w:bottom w:type="dxa" w:w="100"/>
              <w:right w:type="dxa" w:w="140"/>
            </w:tcMar>
          </w:tcPr>
          <w:p>
            <w:pPr>
              <w:spacing w:before="0" w:after="0"/>
            </w:pPr>
            <w:r>
              <w:rPr>
                <w:rFonts w:ascii="Arial" w:cs="Arial" w:eastAsia="Arial" w:hAnsi="Arial"/>
                <w:color w:val="FFFFFF"/>
                <w:sz w:val="20"/>
                <w:szCs w:val="20"/>
              </w:rPr>
              <w:t xml:space="preserve">Tasks</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Hours 0–8 (Foundation)</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FastAPI backend scaffold. OpenAI GPT-4o-mini integration. Gemini Flash integration. Confidence scoring prompt engineering. Basic REST endpoint returning dual LLM responses.</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Hours 8–20 (Core Pipeline)</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Redis cache layer setup (Upstash). Claim extraction prompt. Tavily API integration for fact-checking. Trust Score aggregation algorithm. Confidence gate logic implementation.</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Hours 20–36 (Frontend)</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React chat interface. Sentence-level highlight overlay component. Trust Score display widget (0-100 gauge). Source Chain click-through component. Loading states and streaming UX.</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Hours 36–48 (Polish &amp; Deploy)</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Edge case handling and error states. Vercel frontend deployment. Railway backend deployment. Demo data preparation (seed interesting test queries). Pitch rehearsal against live system.</w:t>
            </w:r>
          </w:p>
        </w:tc>
      </w:tr>
    </w:tbl>
    <w:p>
      <w:pPr>
        <w:spacing w:before="120" w:after="0"/>
      </w:pPr>
      <w:r>
        <w:t xml:space="preserve"/>
      </w:r>
    </w:p>
    <w:p>
      <w:pPr>
        <w:pStyle w:val="Heading2"/>
        <w:spacing w:before="300" w:after="120"/>
      </w:pPr>
      <w:r>
        <w:rPr>
          <w:rFonts w:ascii="Arial" w:cs="Arial" w:eastAsia="Arial" w:hAnsi="Arial"/>
          <w:b/>
          <w:bCs/>
          <w:color w:val="1A2940"/>
          <w:sz w:val="28"/>
          <w:szCs w:val="28"/>
        </w:rPr>
        <w:t xml:space="preserve">Recommended Team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8" w:sz="1"/>
              <w:left w:val="single" w:color="B0C4D8" w:sz="1"/>
              <w:bottom w:val="single" w:color="B0C4D8" w:sz="1"/>
              <w:right w:val="single" w:color="B0C4D8" w:sz="1"/>
            </w:tcBorders>
            <w:shd w:fill="1A294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Role</w:t>
            </w:r>
          </w:p>
        </w:tc>
        <w:tc>
          <w:tcPr>
            <w:tcW w:type="dxa" w:w="6560"/>
            <w:tcBorders>
              <w:top w:val="single" w:color="B0C4D8" w:sz="1"/>
              <w:left w:val="single" w:color="B0C4D8" w:sz="1"/>
              <w:bottom w:val="single" w:color="B0C4D8" w:sz="1"/>
              <w:right w:val="single" w:color="B0C4D8" w:sz="1"/>
            </w:tcBorders>
            <w:shd w:fill="2E4A6B" w:val="clear"/>
            <w:tcMar>
              <w:top w:type="dxa" w:w="100"/>
              <w:left w:type="dxa" w:w="140"/>
              <w:bottom w:type="dxa" w:w="100"/>
              <w:right w:type="dxa" w:w="140"/>
            </w:tcMar>
          </w:tcPr>
          <w:p>
            <w:pPr>
              <w:spacing w:before="0" w:after="0"/>
            </w:pPr>
            <w:r>
              <w:rPr>
                <w:rFonts w:ascii="Arial" w:cs="Arial" w:eastAsia="Arial" w:hAnsi="Arial"/>
                <w:color w:val="FFFFFF"/>
                <w:sz w:val="20"/>
                <w:szCs w:val="20"/>
              </w:rPr>
              <w:t xml:space="preserve">Responsibilities</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Backend / ML Lead</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FastAPI server, LLM integrations (OpenAI + Gemini), confidence gate logic, claim extraction prompts, Trust Score algorithm.</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API Integration Engineer</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Tavily fact-checking integration, Redis cache layer, embedding-based similarity matching, API rate limiting and error handling.</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Frontend Engineer</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React UI, sentence highlight component, Trust Score widget, Source Chain display, WebSocket streaming integration.</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Full-Stack / Deployment</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End-to-end integration, Vercel + Railway deployment, demo data preparation, final QA, pitch support.</w:t>
            </w:r>
          </w:p>
        </w:tc>
      </w:tr>
    </w:tbl>
    <w:p>
      <w:pPr>
        <w:spacing w:before="120" w:after="0"/>
      </w:pPr>
      <w:r>
        <w:t xml:space="preserve"/>
      </w:r>
    </w:p>
    <w:p>
      <w:pPr>
        <w:pStyle w:val="Heading2"/>
        <w:spacing w:before="300" w:after="120"/>
      </w:pPr>
      <w:r>
        <w:rPr>
          <w:rFonts w:ascii="Arial" w:cs="Arial" w:eastAsia="Arial" w:hAnsi="Arial"/>
          <w:b/>
          <w:bCs/>
          <w:color w:val="1A2940"/>
          <w:sz w:val="28"/>
          <w:szCs w:val="28"/>
        </w:rPr>
        <w:t xml:space="preserve">Features Explicitly Out of Scope for MVP</w:t>
      </w:r>
    </w:p>
    <w:p>
      <w:pPr>
        <w:spacing w:before="60" w:after="80"/>
        <w:jc w:val="both"/>
      </w:pPr>
      <w:r>
        <w:rPr>
          <w:rFonts w:ascii="Arial" w:cs="Arial" w:eastAsia="Arial" w:hAnsi="Arial"/>
          <w:color w:val="2C3E50"/>
          <w:sz w:val="22"/>
          <w:szCs w:val="22"/>
        </w:rPr>
        <w:t xml:space="preserve">The following features are acknowledged as valuable but deliberately excluded from the hackathon MVP to ensure a polished, shippable product within 48 hours:</w:t>
      </w:r>
    </w:p>
    <w:p>
      <w:pPr>
        <w:spacing w:before="60" w:after="0"/>
      </w:pPr>
      <w:r>
        <w:t xml:space="preserve"/>
      </w:r>
    </w:p>
    <w:p>
      <w:pPr>
        <w:pStyle w:val="ListParagraph"/>
        <w:numPr>
          <w:ilvl w:val="0"/>
          <w:numId w:val="2"/>
        </w:numPr>
        <w:spacing w:before="40" w:after="60"/>
      </w:pPr>
      <w:r>
        <w:rPr>
          <w:rFonts w:ascii="Arial" w:cs="Arial" w:eastAsia="Arial" w:hAnsi="Arial"/>
          <w:color w:val="2C3E50"/>
          <w:sz w:val="22"/>
          <w:szCs w:val="22"/>
        </w:rPr>
        <w:t xml:space="preserve">User accounts and authentication</w:t>
      </w:r>
    </w:p>
    <w:p>
      <w:pPr>
        <w:pStyle w:val="ListParagraph"/>
        <w:numPr>
          <w:ilvl w:val="0"/>
          <w:numId w:val="2"/>
        </w:numPr>
        <w:spacing w:before="40" w:after="60"/>
      </w:pPr>
      <w:r>
        <w:rPr>
          <w:rFonts w:ascii="Arial" w:cs="Arial" w:eastAsia="Arial" w:hAnsi="Arial"/>
          <w:color w:val="2C3E50"/>
          <w:sz w:val="22"/>
          <w:szCs w:val="22"/>
        </w:rPr>
        <w:t xml:space="preserve">Query history and session persistence</w:t>
      </w:r>
    </w:p>
    <w:p>
      <w:pPr>
        <w:pStyle w:val="ListParagraph"/>
        <w:numPr>
          <w:ilvl w:val="0"/>
          <w:numId w:val="2"/>
        </w:numPr>
        <w:spacing w:before="40" w:after="60"/>
      </w:pPr>
      <w:r>
        <w:rPr>
          <w:rFonts w:ascii="Arial" w:cs="Arial" w:eastAsia="Arial" w:hAnsi="Arial"/>
          <w:color w:val="2C3E50"/>
          <w:sz w:val="22"/>
          <w:szCs w:val="22"/>
        </w:rPr>
        <w:t xml:space="preserve">Support for multiple languages</w:t>
      </w:r>
    </w:p>
    <w:p>
      <w:pPr>
        <w:pStyle w:val="ListParagraph"/>
        <w:numPr>
          <w:ilvl w:val="0"/>
          <w:numId w:val="2"/>
        </w:numPr>
        <w:spacing w:before="40" w:after="60"/>
      </w:pPr>
      <w:r>
        <w:rPr>
          <w:rFonts w:ascii="Arial" w:cs="Arial" w:eastAsia="Arial" w:hAnsi="Arial"/>
          <w:color w:val="2C3E50"/>
          <w:sz w:val="22"/>
          <w:szCs w:val="22"/>
        </w:rPr>
        <w:t xml:space="preserve">Browser extension wrapper (post-hackathon phase 2)</w:t>
      </w:r>
    </w:p>
    <w:p>
      <w:pPr>
        <w:pStyle w:val="ListParagraph"/>
        <w:numPr>
          <w:ilvl w:val="0"/>
          <w:numId w:val="2"/>
        </w:numPr>
        <w:spacing w:before="40" w:after="60"/>
      </w:pPr>
      <w:r>
        <w:rPr>
          <w:rFonts w:ascii="Arial" w:cs="Arial" w:eastAsia="Arial" w:hAnsi="Arial"/>
          <w:color w:val="2C3E50"/>
          <w:sz w:val="22"/>
          <w:szCs w:val="22"/>
        </w:rPr>
        <w:t xml:space="preserve">Batch document verification</w:t>
      </w:r>
    </w:p>
    <w:p>
      <w:pPr>
        <w:pStyle w:val="ListParagraph"/>
        <w:numPr>
          <w:ilvl w:val="0"/>
          <w:numId w:val="2"/>
        </w:numPr>
        <w:spacing w:before="40" w:after="60"/>
      </w:pPr>
      <w:r>
        <w:rPr>
          <w:rFonts w:ascii="Arial" w:cs="Arial" w:eastAsia="Arial" w:hAnsi="Arial"/>
          <w:color w:val="2C3E50"/>
          <w:sz w:val="22"/>
          <w:szCs w:val="22"/>
        </w:rPr>
        <w:t xml:space="preserve">Enterprise API offering</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80"/>
              <w:left w:type="dxa" w:w="240"/>
              <w:bottom w:type="dxa" w:w="180"/>
              <w:right w:type="dxa" w:w="240"/>
            </w:tcMar>
          </w:tcPr>
          <w:p>
            <w:pPr>
              <w:spacing w:before="0" w:after="0"/>
            </w:pPr>
            <w:r>
              <w:rPr>
                <w:rFonts w:ascii="Arial" w:cs="Arial" w:eastAsia="Arial" w:hAnsi="Arial"/>
                <w:b/>
                <w:bCs/>
                <w:color w:val="FFFFFF"/>
                <w:spacing w:val="80"/>
                <w:sz w:val="26"/>
                <w:szCs w:val="26"/>
              </w:rPr>
              <w:t xml:space="preserve">10. RISKS, LIMITATIONS &amp; MITIGATIONS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8" w:sz="1"/>
              <w:left w:val="single" w:color="B0C4D8" w:sz="1"/>
              <w:bottom w:val="single" w:color="B0C4D8" w:sz="1"/>
              <w:right w:val="single" w:color="B0C4D8" w:sz="1"/>
            </w:tcBorders>
            <w:shd w:fill="1A294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Risk</w:t>
            </w:r>
          </w:p>
        </w:tc>
        <w:tc>
          <w:tcPr>
            <w:tcW w:type="dxa" w:w="6560"/>
            <w:tcBorders>
              <w:top w:val="single" w:color="B0C4D8" w:sz="1"/>
              <w:left w:val="single" w:color="B0C4D8" w:sz="1"/>
              <w:bottom w:val="single" w:color="B0C4D8" w:sz="1"/>
              <w:right w:val="single" w:color="B0C4D8" w:sz="1"/>
            </w:tcBorders>
            <w:shd w:fill="2E4A6B" w:val="clear"/>
            <w:tcMar>
              <w:top w:type="dxa" w:w="100"/>
              <w:left w:type="dxa" w:w="140"/>
              <w:bottom w:type="dxa" w:w="100"/>
              <w:right w:type="dxa" w:w="140"/>
            </w:tcMar>
          </w:tcPr>
          <w:p>
            <w:pPr>
              <w:spacing w:before="0" w:after="0"/>
            </w:pPr>
            <w:r>
              <w:rPr>
                <w:rFonts w:ascii="Arial" w:cs="Arial" w:eastAsia="Arial" w:hAnsi="Arial"/>
                <w:color w:val="FFFFFF"/>
                <w:sz w:val="20"/>
                <w:szCs w:val="20"/>
              </w:rPr>
              <w:t xml:space="preserve">Mitigation Strategy</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Fact-check false negatives</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Web grounding is imperfect. A real claim may lack web sources and be incorrectly marked Uncertain. We acknowledge this in the UI: Uncertain does not mean Wrong — it means unverified.</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LLM agreement does not guarantee truth</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Two models can both confidently assert the same falsehood. We address this by adding web-grounded fact-checking as an independent verification layer beyond model agreement.</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Latency from parallel API calls</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Parallel async calls reduce latency significantly. Loading states and streaming UX ensure users see progress rather than a blank screen. Cached queries respond instantly.</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Hackathon WiFi unreliability</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Ollama + Llama 3 runs entirely locally on team hardware. If internet connectivity fails during demo, the system falls back to local inference with zero degradation.</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API key exposure</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All API keys stored as environment variables. Never committed to source control. Separate keys for development and demo environments.</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Judges recognizing ModelProof</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Our Source Chain and Confidence Gate differentiation is articulated clearly in the pitch. We acknowledge ModelProof as validation that judges find this compelling, then demonstrate why we go further.</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80"/>
              <w:left w:type="dxa" w:w="240"/>
              <w:bottom w:type="dxa" w:w="180"/>
              <w:right w:type="dxa" w:w="240"/>
            </w:tcMar>
          </w:tcPr>
          <w:p>
            <w:pPr>
              <w:spacing w:before="0" w:after="0"/>
            </w:pPr>
            <w:r>
              <w:rPr>
                <w:rFonts w:ascii="Arial" w:cs="Arial" w:eastAsia="Arial" w:hAnsi="Arial"/>
                <w:b/>
                <w:bCs/>
                <w:color w:val="FFFFFF"/>
                <w:spacing w:val="80"/>
                <w:sz w:val="26"/>
                <w:szCs w:val="26"/>
              </w:rPr>
              <w:t xml:space="preserve">11. FUTURE ROADMAP — BEYOND THE HACKATHON</w:t>
            </w:r>
          </w:p>
        </w:tc>
      </w:tr>
    </w:tbl>
    <w:p>
      <w:pPr>
        <w:spacing w:before="80" w:after="0"/>
      </w:pPr>
      <w:r>
        <w:t xml:space="preserve"/>
      </w:r>
    </w:p>
    <w:p>
      <w:pPr>
        <w:pStyle w:val="Heading2"/>
        <w:spacing w:before="300" w:after="120"/>
      </w:pPr>
      <w:r>
        <w:rPr>
          <w:rFonts w:ascii="Arial" w:cs="Arial" w:eastAsia="Arial" w:hAnsi="Arial"/>
          <w:b/>
          <w:bCs/>
          <w:color w:val="1A2940"/>
          <w:sz w:val="28"/>
          <w:szCs w:val="28"/>
        </w:rPr>
        <w:t xml:space="preserve">Phase 2 — Browser Extension (Month 1-2)</w:t>
      </w:r>
    </w:p>
    <w:p>
      <w:pPr>
        <w:spacing w:before="60" w:after="80"/>
        <w:jc w:val="both"/>
      </w:pPr>
      <w:r>
        <w:rPr>
          <w:rFonts w:ascii="Arial" w:cs="Arial" w:eastAsia="Arial" w:hAnsi="Arial"/>
          <w:color w:val="2C3E50"/>
          <w:sz w:val="22"/>
          <w:szCs w:val="22"/>
        </w:rPr>
        <w:t xml:space="preserve">Wrap the verification pipeline as a browser extension that intercepts responses from ChatGPT, Gemini, and Claude directly in the browser. Users would see Trust Scores and sentence highlights overlaid on any AI response without leaving their existing AI tool. This dramatically expands the addressable user base to every AI tool user globally.</w:t>
      </w:r>
    </w:p>
    <w:p>
      <w:pPr>
        <w:spacing w:before="100" w:after="0"/>
      </w:pPr>
      <w:r>
        <w:t xml:space="preserve"/>
      </w:r>
    </w:p>
    <w:p>
      <w:pPr>
        <w:pStyle w:val="Heading2"/>
        <w:spacing w:before="300" w:after="120"/>
      </w:pPr>
      <w:r>
        <w:rPr>
          <w:rFonts w:ascii="Arial" w:cs="Arial" w:eastAsia="Arial" w:hAnsi="Arial"/>
          <w:b/>
          <w:bCs/>
          <w:color w:val="1A2940"/>
          <w:sz w:val="28"/>
          <w:szCs w:val="28"/>
        </w:rPr>
        <w:t xml:space="preserve">Phase 3 — Document Verification (Month 3-4)</w:t>
      </w:r>
    </w:p>
    <w:p>
      <w:pPr>
        <w:spacing w:before="60" w:after="80"/>
        <w:jc w:val="both"/>
      </w:pPr>
      <w:r>
        <w:rPr>
          <w:rFonts w:ascii="Arial" w:cs="Arial" w:eastAsia="Arial" w:hAnsi="Arial"/>
          <w:color w:val="2C3E50"/>
          <w:sz w:val="22"/>
          <w:szCs w:val="22"/>
        </w:rPr>
        <w:t xml:space="preserve">Allow users to upload documents, reports, or articles and run full-document trust verification. This targets the journalist and legal professional segments who need to verify AI-generated long-form content before publication or filing.</w:t>
      </w:r>
    </w:p>
    <w:p>
      <w:pPr>
        <w:spacing w:before="100" w:after="0"/>
      </w:pPr>
      <w:r>
        <w:t xml:space="preserve"/>
      </w:r>
    </w:p>
    <w:p>
      <w:pPr>
        <w:pStyle w:val="Heading2"/>
        <w:spacing w:before="300" w:after="120"/>
      </w:pPr>
      <w:r>
        <w:rPr>
          <w:rFonts w:ascii="Arial" w:cs="Arial" w:eastAsia="Arial" w:hAnsi="Arial"/>
          <w:b/>
          <w:bCs/>
          <w:color w:val="1A2940"/>
          <w:sz w:val="28"/>
          <w:szCs w:val="28"/>
        </w:rPr>
        <w:t xml:space="preserve">Phase 4 — Enterprise API (Month 4-6)</w:t>
      </w:r>
    </w:p>
    <w:p>
      <w:pPr>
        <w:spacing w:before="60" w:after="80"/>
        <w:jc w:val="both"/>
      </w:pPr>
      <w:r>
        <w:rPr>
          <w:rFonts w:ascii="Arial" w:cs="Arial" w:eastAsia="Arial" w:hAnsi="Arial"/>
          <w:color w:val="2C3E50"/>
          <w:sz w:val="22"/>
          <w:szCs w:val="22"/>
        </w:rPr>
        <w:t xml:space="preserve">Productize the trust verification pipeline as a B2B API service. Enterprise customers building internal AI tools integrate the API as a middleware trust layer. Pricing: per-API-call with volume discounts. Target customers: companies with existing LLM deployments who need to add trust signaling without rebuilding their systems.</w:t>
      </w:r>
    </w:p>
    <w:p>
      <w:pPr>
        <w:spacing w:before="100" w:after="0"/>
      </w:pPr>
      <w:r>
        <w:t xml:space="preserve"/>
      </w:r>
    </w:p>
    <w:p>
      <w:pPr>
        <w:pStyle w:val="Heading2"/>
        <w:spacing w:before="300" w:after="120"/>
      </w:pPr>
      <w:r>
        <w:rPr>
          <w:rFonts w:ascii="Arial" w:cs="Arial" w:eastAsia="Arial" w:hAnsi="Arial"/>
          <w:b/>
          <w:bCs/>
          <w:color w:val="1A2940"/>
          <w:sz w:val="28"/>
          <w:szCs w:val="28"/>
        </w:rPr>
        <w:t xml:space="preserve">Phase 5 — Domain-Specific Verification Models (Month 6-12)</w:t>
      </w:r>
    </w:p>
    <w:p>
      <w:pPr>
        <w:spacing w:before="60" w:after="80"/>
        <w:jc w:val="both"/>
      </w:pPr>
      <w:r>
        <w:rPr>
          <w:rFonts w:ascii="Arial" w:cs="Arial" w:eastAsia="Arial" w:hAnsi="Arial"/>
          <w:color w:val="2C3E50"/>
          <w:sz w:val="22"/>
          <w:szCs w:val="22"/>
        </w:rPr>
        <w:t xml:space="preserve">Train specialized claim extraction and verification models for high-stakes verticals: medical information verification against clinical databases, legal citation verification against case law repositories, financial data verification against market data APIs. These domain-specific models command premium pricing and serve the highest-value customer segments.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180"/>
              <w:left w:type="dxa" w:w="240"/>
              <w:bottom w:type="dxa" w:w="180"/>
              <w:right w:type="dxa" w:w="240"/>
            </w:tcMar>
          </w:tcPr>
          <w:p>
            <w:pPr>
              <w:spacing w:before="0" w:after="0"/>
            </w:pPr>
            <w:r>
              <w:rPr>
                <w:rFonts w:ascii="Arial" w:cs="Arial" w:eastAsia="Arial" w:hAnsi="Arial"/>
                <w:b/>
                <w:bCs/>
                <w:color w:val="FFFFFF"/>
                <w:spacing w:val="80"/>
                <w:sz w:val="26"/>
                <w:szCs w:val="26"/>
              </w:rPr>
              <w:t xml:space="preserve">12. PITCH GUIDE — HOW TO PRESENT THIS</w:t>
            </w:r>
          </w:p>
        </w:tc>
      </w:tr>
    </w:tbl>
    <w:p>
      <w:pPr>
        <w:spacing w:before="80" w:after="0"/>
      </w:pPr>
      <w:r>
        <w:t xml:space="preserve"/>
      </w:r>
    </w:p>
    <w:p>
      <w:pPr>
        <w:pStyle w:val="Heading2"/>
        <w:spacing w:before="300" w:after="120"/>
      </w:pPr>
      <w:r>
        <w:rPr>
          <w:rFonts w:ascii="Arial" w:cs="Arial" w:eastAsia="Arial" w:hAnsi="Arial"/>
          <w:b/>
          <w:bCs/>
          <w:color w:val="1A2940"/>
          <w:sz w:val="28"/>
          <w:szCs w:val="28"/>
        </w:rPr>
        <w:t xml:space="preserve">Opening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97B2"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OPEN WITH</w:t>
            </w:r>
          </w:p>
        </w:tc>
        <w:tc>
          <w:tcPr>
            <w:tcW w:type="dxa" w:w="9160"/>
            <w:tcBorders>
              <w:top w:val="none" w:color="FFFFFF" w:sz="0"/>
              <w:left w:val="none" w:color="FFFFFF" w:sz="0"/>
              <w:bottom w:val="none" w:color="FFFFFF" w:sz="0"/>
              <w:right w:val="none" w:color="FFFFFF" w:sz="0"/>
            </w:tcBorders>
            <w:shd w:fill="E8F4F8" w:val="clear"/>
            <w:tcMar>
              <w:top w:type="dxa" w:w="100"/>
              <w:left w:type="dxa" w:w="160"/>
              <w:bottom w:type="dxa" w:w="100"/>
              <w:right w:type="dxa" w:w="120"/>
            </w:tcMar>
          </w:tcPr>
          <w:p>
            <w:pPr>
              <w:spacing w:before="0" w:after="0"/>
            </w:pPr>
            <w:r>
              <w:rPr>
                <w:rFonts w:ascii="Arial" w:cs="Arial" w:eastAsia="Arial" w:hAnsi="Arial"/>
                <w:i/>
                <w:iCs/>
                <w:color w:val="2C3E50"/>
                <w:sz w:val="21"/>
                <w:szCs w:val="21"/>
              </w:rPr>
              <w:t xml:space="preserve">Every AI company is racing to make their models smarter. Nobody is building the trust layer that tells you when not to trust them. That is what we built.</w:t>
            </w:r>
          </w:p>
        </w:tc>
      </w:tr>
    </w:tbl>
    <w:p>
      <w:pPr>
        <w:spacing w:before="120" w:after="0"/>
      </w:pPr>
      <w:r>
        <w:t xml:space="preserve"/>
      </w:r>
    </w:p>
    <w:p>
      <w:pPr>
        <w:pStyle w:val="Heading2"/>
        <w:spacing w:before="300" w:after="120"/>
      </w:pPr>
      <w:r>
        <w:rPr>
          <w:rFonts w:ascii="Arial" w:cs="Arial" w:eastAsia="Arial" w:hAnsi="Arial"/>
          <w:b/>
          <w:bCs/>
          <w:color w:val="1A2940"/>
          <w:sz w:val="28"/>
          <w:szCs w:val="28"/>
        </w:rPr>
        <w:t xml:space="preserve">The Demo Script</w:t>
      </w:r>
    </w:p>
    <w:p>
      <w:pPr>
        <w:spacing w:before="60" w:after="80"/>
        <w:jc w:val="both"/>
      </w:pPr>
      <w:r>
        <w:rPr>
          <w:rFonts w:ascii="Arial" w:cs="Arial" w:eastAsia="Arial" w:hAnsi="Arial"/>
          <w:color w:val="2C3E50"/>
          <w:sz w:val="22"/>
          <w:szCs w:val="22"/>
        </w:rPr>
        <w:t xml:space="preserve">A strong live demo is the most important part of any hackathon presentation. Follow this sequence:</w:t>
      </w:r>
    </w:p>
    <w:p>
      <w:pPr>
        <w:spacing w:before="60" w:after="0"/>
      </w:pPr>
      <w:r>
        <w:t xml:space="preserve"/>
      </w:r>
    </w:p>
    <w:p>
      <w:pPr>
        <w:pStyle w:val="ListParagraph"/>
        <w:numPr>
          <w:ilvl w:val="0"/>
          <w:numId w:val="3"/>
        </w:numPr>
        <w:spacing w:before="60" w:after="40"/>
      </w:pPr>
      <w:r>
        <w:rPr>
          <w:rFonts w:ascii="Arial" w:cs="Arial" w:eastAsia="Arial" w:hAnsi="Arial"/>
          <w:b/>
          <w:bCs/>
          <w:color w:val="1A2940"/>
          <w:sz w:val="22"/>
          <w:szCs w:val="22"/>
        </w:rPr>
        <w:t xml:space="preserve">Open the live application in the browser</w:t>
      </w:r>
    </w:p>
    <w:p>
      <w:pPr>
        <w:pStyle w:val="ListParagraph"/>
        <w:numPr>
          <w:ilvl w:val="0"/>
          <w:numId w:val="3"/>
        </w:numPr>
        <w:spacing w:before="60" w:after="40"/>
      </w:pPr>
      <w:r>
        <w:rPr>
          <w:rFonts w:ascii="Arial" w:cs="Arial" w:eastAsia="Arial" w:hAnsi="Arial"/>
          <w:b/>
          <w:bCs/>
          <w:color w:val="1A2940"/>
          <w:sz w:val="22"/>
          <w:szCs w:val="22"/>
        </w:rPr>
        <w:t xml:space="preserve">Ask a question with a known hallucination risk (e.g., a specific obscure historical claim)</w:t>
      </w:r>
    </w:p>
    <w:p>
      <w:pPr>
        <w:pStyle w:val="ListParagraph"/>
        <w:numPr>
          <w:ilvl w:val="0"/>
          <w:numId w:val="3"/>
        </w:numPr>
        <w:spacing w:before="60" w:after="40"/>
      </w:pPr>
      <w:r>
        <w:rPr>
          <w:rFonts w:ascii="Arial" w:cs="Arial" w:eastAsia="Arial" w:hAnsi="Arial"/>
          <w:b/>
          <w:bCs/>
          <w:color w:val="1A2940"/>
          <w:sz w:val="22"/>
          <w:szCs w:val="22"/>
        </w:rPr>
        <w:t xml:space="preserve">Show the Trust Score appearing in real-time as the pipeline processes</w:t>
      </w:r>
    </w:p>
    <w:p>
      <w:pPr>
        <w:pStyle w:val="ListParagraph"/>
        <w:numPr>
          <w:ilvl w:val="0"/>
          <w:numId w:val="3"/>
        </w:numPr>
        <w:spacing w:before="60" w:after="40"/>
      </w:pPr>
      <w:r>
        <w:rPr>
          <w:rFonts w:ascii="Arial" w:cs="Arial" w:eastAsia="Arial" w:hAnsi="Arial"/>
          <w:b/>
          <w:bCs/>
          <w:color w:val="1A2940"/>
          <w:sz w:val="22"/>
          <w:szCs w:val="22"/>
        </w:rPr>
        <w:t xml:space="preserve">Highlight a red-flagged sentence and click the Source Chain link to show the contradicting evidence</w:t>
      </w:r>
    </w:p>
    <w:p>
      <w:pPr>
        <w:pStyle w:val="ListParagraph"/>
        <w:numPr>
          <w:ilvl w:val="0"/>
          <w:numId w:val="3"/>
        </w:numPr>
        <w:spacing w:before="60" w:after="80"/>
      </w:pPr>
      <w:r>
        <w:rPr>
          <w:rFonts w:ascii="Arial" w:cs="Arial" w:eastAsia="Arial" w:hAnsi="Arial"/>
          <w:b/>
          <w:bCs/>
          <w:color w:val="1A2940"/>
          <w:sz w:val="22"/>
          <w:szCs w:val="22"/>
        </w:rPr>
        <w:t xml:space="preserve">Ask the same question again — show the instant cache response with zero API cost</w:t>
      </w:r>
    </w:p>
    <w:p>
      <w:pPr>
        <w:spacing w:before="100" w:after="0"/>
      </w:pPr>
      <w:r>
        <w:t xml:space="preserve"/>
      </w:r>
    </w:p>
    <w:p>
      <w:pPr>
        <w:pStyle w:val="Heading2"/>
        <w:spacing w:before="300" w:after="120"/>
      </w:pPr>
      <w:r>
        <w:rPr>
          <w:rFonts w:ascii="Arial" w:cs="Arial" w:eastAsia="Arial" w:hAnsi="Arial"/>
          <w:b/>
          <w:bCs/>
          <w:color w:val="1A2940"/>
          <w:sz w:val="28"/>
          <w:szCs w:val="28"/>
        </w:rPr>
        <w:t xml:space="preserve">Anticipated Judge Questions &amp;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8" w:sz="1"/>
              <w:left w:val="single" w:color="B0C4D8" w:sz="1"/>
              <w:bottom w:val="single" w:color="B0C4D8" w:sz="1"/>
              <w:right w:val="single" w:color="B0C4D8" w:sz="1"/>
            </w:tcBorders>
            <w:shd w:fill="1A2940"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Judge Question</w:t>
            </w:r>
          </w:p>
        </w:tc>
        <w:tc>
          <w:tcPr>
            <w:tcW w:type="dxa" w:w="6560"/>
            <w:tcBorders>
              <w:top w:val="single" w:color="B0C4D8" w:sz="1"/>
              <w:left w:val="single" w:color="B0C4D8" w:sz="1"/>
              <w:bottom w:val="single" w:color="B0C4D8" w:sz="1"/>
              <w:right w:val="single" w:color="B0C4D8" w:sz="1"/>
            </w:tcBorders>
            <w:shd w:fill="2E4A6B" w:val="clear"/>
            <w:tcMar>
              <w:top w:type="dxa" w:w="100"/>
              <w:left w:type="dxa" w:w="140"/>
              <w:bottom w:type="dxa" w:w="100"/>
              <w:right w:type="dxa" w:w="140"/>
            </w:tcMar>
          </w:tcPr>
          <w:p>
            <w:pPr>
              <w:spacing w:before="0" w:after="0"/>
            </w:pPr>
            <w:r>
              <w:rPr>
                <w:rFonts w:ascii="Arial" w:cs="Arial" w:eastAsia="Arial" w:hAnsi="Arial"/>
                <w:color w:val="FFFFFF"/>
                <w:sz w:val="20"/>
                <w:szCs w:val="20"/>
              </w:rPr>
              <w:t xml:space="preserve">Strong Answer</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How is this different from Perplexity AI?</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Perplexity is an AI search engine that gives its own answers with citations. We are a trust verification layer for any AI output — not a search engine. We wrap around ChatGPT, Gemini, and others.</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What stops two models from both being wrong?</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Great question — that is exactly why we added web-grounded fact-checking as a third independent layer. LLM agreement is a signal, not a guarantee. The Source Chain provides external evidence that neither model generated.</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Is this scalable beyond a hackathon?</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The Confidence Gate and caching strategies are not just hackathon optimizations — they are sound production architecture. At scale, the free-tier tools are replaced with paid tiers. The pipeline logic scales horizontally.</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What is your business model?</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B2C freemium for students and professionals, B2B API for enterprises embedding the trust layer in their existing AI products. The enterprise API is the long-term revenue engine.</w:t>
            </w:r>
          </w:p>
        </w:tc>
      </w:tr>
      <w:tr>
        <w:tc>
          <w:tcPr>
            <w:tcW w:type="dxa" w:w="2800"/>
            <w:tcBorders>
              <w:top w:val="single" w:color="B0C4D8" w:sz="1"/>
              <w:left w:val="single" w:color="B0C4D8" w:sz="1"/>
              <w:bottom w:val="single" w:color="B0C4D8" w:sz="1"/>
              <w:right w:val="single" w:color="B0C4D8" w:sz="1"/>
            </w:tcBorders>
            <w:shd w:fill="F1F5F9" w:val="clear"/>
            <w:tcMar>
              <w:top w:type="dxa" w:w="100"/>
              <w:left w:type="dxa" w:w="140"/>
              <w:bottom w:type="dxa" w:w="100"/>
              <w:right w:type="dxa" w:w="140"/>
            </w:tcMar>
          </w:tcPr>
          <w:p>
            <w:pPr>
              <w:spacing w:before="0" w:after="0"/>
            </w:pPr>
            <w:r>
              <w:rPr>
                <w:rFonts w:ascii="Arial" w:cs="Arial" w:eastAsia="Arial" w:hAnsi="Arial"/>
                <w:b/>
                <w:bCs/>
                <w:color w:val="1A2940"/>
                <w:sz w:val="20"/>
                <w:szCs w:val="20"/>
              </w:rPr>
              <w:t xml:space="preserve">Why can you build this but big AI companies cannot?</w:t>
            </w:r>
          </w:p>
        </w:tc>
        <w:tc>
          <w:tcPr>
            <w:tcW w:type="dxa" w:w="6560"/>
            <w:tcBorders>
              <w:top w:val="single" w:color="B0C4D8" w:sz="1"/>
              <w:left w:val="single" w:color="B0C4D8" w:sz="1"/>
              <w:bottom w:val="single" w:color="B0C4D8" w:sz="1"/>
              <w:right w:val="single" w:color="B0C4D8" w:sz="1"/>
            </w:tcBorders>
            <w:shd w:fill="FFFFFF" w:val="clear"/>
            <w:tcMar>
              <w:top w:type="dxa" w:w="100"/>
              <w:left w:type="dxa" w:w="140"/>
              <w:bottom w:type="dxa" w:w="100"/>
              <w:right w:type="dxa" w:w="140"/>
            </w:tcMar>
          </w:tcPr>
          <w:p>
            <w:pPr>
              <w:spacing w:before="0" w:after="0"/>
            </w:pPr>
            <w:r>
              <w:rPr>
                <w:rFonts w:ascii="Arial" w:cs="Arial" w:eastAsia="Arial" w:hAnsi="Arial"/>
                <w:color w:val="2C3E50"/>
                <w:sz w:val="20"/>
                <w:szCs w:val="20"/>
              </w:rPr>
              <w:t xml:space="preserve">They can — but they have no incentive to. A trust layer that highlights their own model's hallucinations is a marketing liability for them. We are an independent layer with no conflict of interest.</w:t>
            </w:r>
          </w:p>
        </w:tc>
      </w:tr>
    </w:tbl>
    <w:p>
      <w:pPr>
        <w:spacing w:before="20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0A1628" w:val="clear"/>
            <w:tcMar>
              <w:top w:type="dxa" w:w="400"/>
              <w:left w:type="dxa" w:w="480"/>
              <w:bottom w:type="dxa" w:w="400"/>
              <w:right w:type="dxa" w:w="480"/>
            </w:tcMar>
          </w:tcPr>
          <w:p>
            <w:pPr>
              <w:spacing w:before="0" w:after="120"/>
            </w:pPr>
            <w:r>
              <w:rPr>
                <w:rFonts w:ascii="Arial" w:cs="Arial" w:eastAsia="Arial" w:hAnsi="Arial"/>
                <w:b/>
                <w:bCs/>
                <w:color w:val="FFFFFF"/>
                <w:sz w:val="52"/>
                <w:szCs w:val="52"/>
              </w:rPr>
              <w:t xml:space="preserve">AI Trust Sentinel</w:t>
            </w:r>
          </w:p>
          <w:p>
            <w:pPr>
              <w:spacing w:before="0" w:after="240"/>
            </w:pPr>
            <w:r>
              <w:rPr>
                <w:rFonts w:ascii="Arial" w:cs="Arial" w:eastAsia="Arial" w:hAnsi="Arial"/>
                <w:i/>
                <w:iCs/>
                <w:color w:val="00C4E0"/>
                <w:sz w:val="24"/>
                <w:szCs w:val="24"/>
              </w:rPr>
              <w:t xml:space="preserve">Built for people who need to trust AI — but cannot afford to trust it blindly.</w:t>
            </w:r>
          </w:p>
          <w:p>
            <w:pPr>
              <w:spacing w:before="0" w:after="0"/>
            </w:pPr>
            <w:r>
              <w:rPr>
                <w:rFonts w:ascii="Arial" w:cs="Arial" w:eastAsia="Arial" w:hAnsi="Arial"/>
                <w:color w:val="7FA8C0"/>
                <w:sz w:val="19"/>
                <w:szCs w:val="19"/>
              </w:rPr>
              <w:t xml:space="preserve">Track: AI/ML   |   Stack: React · FastAPI · GPT-4o-mini · Gemini Flash · Tavily · Redis</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8" w:sz="4" w:space="4"/>
      </w:pBdr>
      <w:spacing w:before="60" w:after="0"/>
    </w:pPr>
  </w:p>
  <w:p>
    <w:pPr>
      <w:tabs>
        <w:tab w:val="right" w:pos="9026"/>
      </w:tabs>
      <w:spacing w:before="0" w:after="0"/>
    </w:pPr>
    <w:r>
      <w:rPr>
        <w:rFonts w:ascii="Arial" w:cs="Arial" w:eastAsia="Arial" w:hAnsi="Arial"/>
        <w:color w:val="64748B"/>
        <w:sz w:val="17"/>
        <w:szCs w:val="17"/>
      </w:rPr>
      <w:t xml:space="preserve">AI Trust Sentinel  |  Hackathon Project  |  AI/ML Track</w:t>
    </w:r>
    <w:r>
      <w:rPr>
        <w:rFonts w:ascii="Arial" w:cs="Arial" w:eastAsia="Arial" w:hAnsi="Arial"/>
        <w:color w:val="64748B"/>
        <w:sz w:val="17"/>
        <w:szCs w:val="17"/>
      </w:rPr>
      <w:t xml:space="preserve">	Page </w:t>
    </w:r>
    <w:r>
      <w:rPr>
        <w:rFonts w:ascii="Arial" w:cs="Arial" w:eastAsia="Arial" w:hAnsi="Arial"/>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pPr>
          <w:r>
            <w:rPr>
              <w:rFonts w:ascii="Arial" w:cs="Arial" w:eastAsia="Arial" w:hAnsi="Arial"/>
              <w:color w:val="64748B"/>
              <w:sz w:val="18"/>
              <w:szCs w:val="18"/>
            </w:rPr>
            <w:t xml:space="preserve">AI Trust Sentinel — Project Documentation</w:t>
          </w:r>
        </w:p>
      </w:tc>
      <w:tc>
        <w:tcPr>
          <w:tcW w:type="dxa" w:w="372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0" w:after="0"/>
            <w:jc w:val="right"/>
          </w:pPr>
          <w:r>
            <w:rPr>
              <w:rFonts w:ascii="Arial" w:cs="Arial" w:eastAsia="Arial" w:hAnsi="Arial"/>
              <w:b/>
              <w:bCs/>
              <w:color w:val="0097B2"/>
              <w:sz w:val="18"/>
              <w:szCs w:val="18"/>
            </w:rPr>
            <w:t xml:space="preserve">CONFIDENTIAL — HACKATHON DRAFT</w:t>
          </w:r>
        </w:p>
      </w:tc>
    </w:tr>
  </w:tbl>
  <w:p>
    <w:pPr>
      <w:pBdr>
        <w:bottom w:val="single" w:color="0097B2" w:sz="6" w:space="4"/>
      </w:pBdr>
      <w:spacing w:before="0" w:after="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A1628"/>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A2940"/>
      <w:sz w:val="28"/>
      <w:szCs w:val="28"/>
    </w:rPr>
  </w:style>
  <w:style w:type="paragraph" w:styleId="Heading3">
    <w:name w:val="Heading 3"/>
    <w:basedOn w:val="Normal"/>
    <w:next w:val="Normal"/>
    <w:qFormat/>
    <w:pPr>
      <w:spacing w:before="220" w:after="80"/>
      <w:outlineLvl w:val="2"/>
    </w:pPr>
    <w:rPr>
      <w:rFonts w:ascii="Arial" w:cs="Arial" w:eastAsia="Arial" w:hAnsi="Arial"/>
      <w:b/>
      <w:bCs/>
      <w:color w:val="2E4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2026-03-12T09:35:28.938Z</dcterms:created>
  <dcterms:modified xsi:type="dcterms:W3CDTF">2026-03-12T09:35:28.939Z</dcterms:modified>
</cp:coreProperties>
</file>

<file path=docProps/custom.xml><?xml version="1.0" encoding="utf-8"?>
<Properties xmlns="http://schemas.openxmlformats.org/officeDocument/2006/custom-properties" xmlns:vt="http://schemas.openxmlformats.org/officeDocument/2006/docPropsVTypes"/>
</file>