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F65BD" w14:textId="77777777" w:rsid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6638518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6D8B7DB3" w14:textId="42E59432" w:rsidR="00032B61" w:rsidRPr="00032B61" w:rsidRDefault="00032B61" w:rsidP="00032B61">
      <w:pPr>
        <w:shd w:val="clear" w:color="auto" w:fill="FFFFFF"/>
        <w:spacing w:after="180" w:line="240" w:lineRule="auto"/>
        <w:jc w:val="center"/>
        <w:rPr>
          <w:rFonts w:ascii="Book Antiqua" w:eastAsia="Times New Roman" w:hAnsi="Book Antiqua" w:cs="Times New Roman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36"/>
          <w:szCs w:val="36"/>
          <w:lang w:eastAsia="en-GB"/>
          <w14:ligatures w14:val="none"/>
        </w:rPr>
        <w:t>2-Week Advanced Certificate Curriculum in Herbal Medicine for Professionals</w:t>
      </w:r>
    </w:p>
    <w:p w14:paraId="1B623C3B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750DEAA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1EF8825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For Medical and Allied Health Professionals</w:t>
      </w:r>
    </w:p>
    <w:p w14:paraId="4D46C2F1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2EB166A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Program Overview</w:t>
      </w:r>
    </w:p>
    <w:p w14:paraId="66BCCD7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7424420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Duration: 2 Weeks (Blended: 6 Days Online + 4 Days In-Person or Virtual Practicals + 2 Days Project Work &amp; Presentations)</w:t>
      </w:r>
    </w:p>
    <w:p w14:paraId="2E05C58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Target Audience: Medical doctors, pharmacists, nurses, public health experts, researchers, naturopaths, and allied health professionals</w:t>
      </w:r>
    </w:p>
    <w:p w14:paraId="2E78CFA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Delivery Format:</w:t>
      </w:r>
    </w:p>
    <w:p w14:paraId="6BC2DED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Week 1: Online Learning (Live + Self-paced)</w:t>
      </w:r>
    </w:p>
    <w:p w14:paraId="2DEB6ED1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Week 2: Practical Workshops, Case Studies, and Group Presentations</w:t>
      </w:r>
    </w:p>
    <w:p w14:paraId="3347875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A1F1168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Program Outcomes</w:t>
      </w:r>
    </w:p>
    <w:p w14:paraId="74EB9A98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0D96B4E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Participants will be able to:</w:t>
      </w:r>
    </w:p>
    <w:p w14:paraId="69A7BDB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Understand traditional and biomedical herbal frameworks</w:t>
      </w:r>
    </w:p>
    <w:p w14:paraId="6326ED1A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Identify and prepare safe, effective herbal formulas</w:t>
      </w:r>
    </w:p>
    <w:p w14:paraId="6762D86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Critically evaluate scientific evidence behind herbs</w:t>
      </w:r>
    </w:p>
    <w:p w14:paraId="5615F9E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Recognize and manage herb-drug interactions</w:t>
      </w:r>
    </w:p>
    <w:p w14:paraId="242216F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Apply herbal knowledge in clinical or community settings</w:t>
      </w:r>
    </w:p>
    <w:p w14:paraId="4AD81D6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FEDF008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461E5266" w14:textId="77777777" w:rsid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646B4209" w14:textId="77777777" w:rsid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5FDA051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144BF7B0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WEEK 1: FOUNDATIONS AND THEORY (ONLINE)</w:t>
      </w:r>
    </w:p>
    <w:p w14:paraId="4169CC3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12CD2DE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Day 1: Introduction to Herbal Medicine Systems</w:t>
      </w:r>
    </w:p>
    <w:p w14:paraId="6467E145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Evolution of herbal medicine across civilizations</w:t>
      </w:r>
    </w:p>
    <w:p w14:paraId="0039FDC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African Traditional Medicine, Ayurveda, Traditional Chinese Medicine</w:t>
      </w:r>
    </w:p>
    <w:p w14:paraId="4BCA138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Ethics, cultural knowledge, and intellectual property</w:t>
      </w:r>
    </w:p>
    <w:p w14:paraId="225C50D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Assessment: Short quiz + discussion forum</w:t>
      </w:r>
    </w:p>
    <w:p w14:paraId="62E267F5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22BB0B9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2: Herbal Pharmacognosy and Botany</w:t>
      </w:r>
    </w:p>
    <w:p w14:paraId="7CB803F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Basics of plant morphology and identification</w:t>
      </w:r>
    </w:p>
    <w:p w14:paraId="3A7D9E8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Harvesting, drying, and preservation techniques</w:t>
      </w:r>
    </w:p>
    <w:p w14:paraId="0036B17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Introduction to plant chemistry (alkaloids, glycosides, flavonoids)</w:t>
      </w:r>
    </w:p>
    <w:p w14:paraId="6E3F1F5D" w14:textId="7DFC38B0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Assessment: Submit 5-photo virtual herbarium</w:t>
      </w:r>
    </w:p>
    <w:p w14:paraId="06A31685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9A396C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3: Materia Medica I – Local and Global Herbs</w:t>
      </w:r>
    </w:p>
    <w:p w14:paraId="53DD0FF0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In-depth study of 10–15 commonly used herbs</w:t>
      </w:r>
    </w:p>
    <w:p w14:paraId="62B93F61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Active constituents, traditional uses, dosage, contraindications</w:t>
      </w:r>
    </w:p>
    <w:p w14:paraId="77C15A3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Live Session: Q&amp;A with expert herbalist</w:t>
      </w:r>
    </w:p>
    <w:p w14:paraId="55626068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A19492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4: Herbal Pharmacology and Safety</w:t>
      </w:r>
    </w:p>
    <w:p w14:paraId="7719238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Pharmacodynamics and pharmacokinetics of herbal compounds</w:t>
      </w:r>
    </w:p>
    <w:p w14:paraId="1A75E11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Herb-drug and herb-food interactions</w:t>
      </w:r>
    </w:p>
    <w:p w14:paraId="374A1058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lastRenderedPageBreak/>
        <w:t>• Managing toxicity and side effects</w:t>
      </w:r>
    </w:p>
    <w:p w14:paraId="2F61CEA5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Assessment: Case-based herb interaction analysis</w:t>
      </w:r>
    </w:p>
    <w:p w14:paraId="56415F2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24EBC1B2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0372866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B9C0FB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5: Evidence-Based Herbal Medicine</w:t>
      </w:r>
    </w:p>
    <w:p w14:paraId="0D13AC9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Clinical trials and systematic reviews in herbal medicine</w:t>
      </w:r>
    </w:p>
    <w:p w14:paraId="46D0A67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Critical appraisal of scientific studies</w:t>
      </w:r>
    </w:p>
    <w:p w14:paraId="4D8E46D8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Assessment: Submit brief literature review on 1 herb</w:t>
      </w:r>
    </w:p>
    <w:p w14:paraId="288A4FD3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D2526F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6: Regulations and Quality Standards</w:t>
      </w:r>
    </w:p>
    <w:p w14:paraId="7555DA3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WHO and national policies on herbal medicine</w:t>
      </w:r>
    </w:p>
    <w:p w14:paraId="79A0E75C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Good Manufacturing Practices (GMP)</w:t>
      </w:r>
    </w:p>
    <w:p w14:paraId="2CD8B8F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Product labeling, storage, and traceability</w:t>
      </w:r>
    </w:p>
    <w:p w14:paraId="113CE860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Live Panel: Talk with herbal product regulators</w:t>
      </w:r>
    </w:p>
    <w:p w14:paraId="68AB5C07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10F65861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55A940E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92CAD1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WEEK 2: PRACTICAL SKILLS &amp; APPLICATION (HYBRID)</w:t>
      </w:r>
    </w:p>
    <w:p w14:paraId="21F877BD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54164C3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7: Herbal Formulation Techniques I</w:t>
      </w:r>
    </w:p>
    <w:p w14:paraId="76771A3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Basic preparations: teas, decoctions, tinctures, infused oils</w:t>
      </w:r>
    </w:p>
    <w:p w14:paraId="5236C02C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Proper extraction and measuring techniques</w:t>
      </w:r>
    </w:p>
    <w:p w14:paraId="1977375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Hands-On Lab (Virtual/In-person): Herbal tea and tincture blending</w:t>
      </w:r>
    </w:p>
    <w:p w14:paraId="5D663BB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60E226A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8: Herbal Formulation Techniques II</w:t>
      </w:r>
    </w:p>
    <w:p w14:paraId="574B202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Advanced preparations: creams, salves, capsules, syrups</w:t>
      </w:r>
    </w:p>
    <w:p w14:paraId="781DB50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lastRenderedPageBreak/>
        <w:t>• Shelf-life considerations, bottling, and packaging</w:t>
      </w:r>
    </w:p>
    <w:p w14:paraId="26B7FD6E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Hands-On Activity: Create a personalized herbal first aid kit</w:t>
      </w:r>
    </w:p>
    <w:p w14:paraId="7B823DE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4E8D91B2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281B3E4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8319AEA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9: Clinical Integration and Case Simulation</w:t>
      </w:r>
    </w:p>
    <w:p w14:paraId="6210CA6A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Clinical case walkthroughs using herbal protocols</w:t>
      </w:r>
    </w:p>
    <w:p w14:paraId="3932225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Integrating herbs with conventional care</w:t>
      </w:r>
    </w:p>
    <w:p w14:paraId="535B672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Managing chronic illness support (arthritis, diabetes, digestive health)</w:t>
      </w:r>
    </w:p>
    <w:p w14:paraId="749101F4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Group Task: Case simulation + treatment plan draft</w:t>
      </w:r>
    </w:p>
    <w:p w14:paraId="55B82363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143260E3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b/>
          <w:bCs/>
          <w:color w:val="222222"/>
          <w:kern w:val="0"/>
          <w:sz w:val="28"/>
          <w:szCs w:val="28"/>
          <w:lang w:eastAsia="en-GB"/>
          <w14:ligatures w14:val="none"/>
        </w:rPr>
        <w:t>Day 10: Group Presentations and Course Wrap-Up</w:t>
      </w:r>
    </w:p>
    <w:p w14:paraId="6BBBA8B9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Peer presentations of group formulations or integrative care plans</w:t>
      </w:r>
    </w:p>
    <w:p w14:paraId="1944AD42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Expert and peer feedback</w:t>
      </w:r>
    </w:p>
    <w:p w14:paraId="7AB76DC0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Final reflections, course evaluation, and certificate award</w:t>
      </w:r>
    </w:p>
    <w:p w14:paraId="3483864F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34C453E6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Bonus Inclusions</w:t>
      </w:r>
    </w:p>
    <w:p w14:paraId="6AD3782B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Access to a Digital Materia Medica Library</w:t>
      </w:r>
    </w:p>
    <w:p w14:paraId="4DB5ECC0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  <w:r w:rsidRPr="00032B61"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  <w:t>• Certificate of Completion (verifiable online)</w:t>
      </w:r>
    </w:p>
    <w:p w14:paraId="0FBA6CD7" w14:textId="77777777" w:rsidR="00032B61" w:rsidRPr="00032B61" w:rsidRDefault="00032B61" w:rsidP="00032B61">
      <w:pPr>
        <w:shd w:val="clear" w:color="auto" w:fill="FFFFFF"/>
        <w:spacing w:after="180" w:line="240" w:lineRule="auto"/>
        <w:rPr>
          <w:rFonts w:ascii="Book Antiqua" w:eastAsia="Times New Roman" w:hAnsi="Book Antiqua" w:cs="Times New Roman"/>
          <w:color w:val="222222"/>
          <w:kern w:val="0"/>
          <w:sz w:val="28"/>
          <w:szCs w:val="28"/>
          <w:lang w:eastAsia="en-GB"/>
          <w14:ligatures w14:val="none"/>
        </w:rPr>
      </w:pPr>
    </w:p>
    <w:p w14:paraId="7DEE1FEF" w14:textId="77777777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9F9F9F"/>
          <w:kern w:val="0"/>
          <w:sz w:val="28"/>
          <w:szCs w:val="28"/>
          <w:lang w:eastAsia="en-GB"/>
          <w14:ligatures w14:val="none"/>
        </w:rPr>
      </w:pPr>
    </w:p>
    <w:p w14:paraId="334C1DFE" w14:textId="35587C2A" w:rsidR="00032B61" w:rsidRPr="00032B61" w:rsidRDefault="00032B61" w:rsidP="00032B61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color w:val="222222"/>
          <w:kern w:val="0"/>
          <w:sz w:val="28"/>
          <w:szCs w:val="28"/>
          <w:lang w:eastAsia="en-GB"/>
          <w14:ligatures w14:val="none"/>
        </w:rPr>
      </w:pPr>
    </w:p>
    <w:p w14:paraId="110A9DA0" w14:textId="77777777" w:rsidR="004E0782" w:rsidRPr="00032B61" w:rsidRDefault="004E0782">
      <w:pPr>
        <w:rPr>
          <w:rFonts w:ascii="Book Antiqua" w:hAnsi="Book Antiqua"/>
          <w:sz w:val="28"/>
          <w:szCs w:val="28"/>
        </w:rPr>
      </w:pPr>
    </w:p>
    <w:sectPr w:rsidR="004E0782" w:rsidRPr="00032B61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F3D44" w14:textId="77777777" w:rsidR="00204846" w:rsidRDefault="00204846" w:rsidP="00AB46CD">
      <w:pPr>
        <w:spacing w:after="0" w:line="240" w:lineRule="auto"/>
      </w:pPr>
      <w:r>
        <w:separator/>
      </w:r>
    </w:p>
  </w:endnote>
  <w:endnote w:type="continuationSeparator" w:id="0">
    <w:p w14:paraId="794C73A2" w14:textId="77777777" w:rsidR="00204846" w:rsidRDefault="00204846" w:rsidP="00AB4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2686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BCE9FE" w14:textId="65D55207" w:rsidR="00AB46CD" w:rsidRDefault="00AB46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CDED56" w14:textId="77777777" w:rsidR="00AB46CD" w:rsidRDefault="00AB46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AEAA9" w14:textId="77777777" w:rsidR="00204846" w:rsidRDefault="00204846" w:rsidP="00AB46CD">
      <w:pPr>
        <w:spacing w:after="0" w:line="240" w:lineRule="auto"/>
      </w:pPr>
      <w:r>
        <w:separator/>
      </w:r>
    </w:p>
  </w:footnote>
  <w:footnote w:type="continuationSeparator" w:id="0">
    <w:p w14:paraId="4E3694C2" w14:textId="77777777" w:rsidR="00204846" w:rsidRDefault="00204846" w:rsidP="00AB46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28"/>
    <w:rsid w:val="00032B61"/>
    <w:rsid w:val="0006445A"/>
    <w:rsid w:val="00204846"/>
    <w:rsid w:val="002409E4"/>
    <w:rsid w:val="004D4528"/>
    <w:rsid w:val="004E0782"/>
    <w:rsid w:val="005560D6"/>
    <w:rsid w:val="00820757"/>
    <w:rsid w:val="0091722C"/>
    <w:rsid w:val="00AB46CD"/>
    <w:rsid w:val="00AD4A21"/>
    <w:rsid w:val="00F0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0D1C1"/>
  <w15:chartTrackingRefBased/>
  <w15:docId w15:val="{E8C2F290-7594-448B-9E80-1292F8B6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2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4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6CD"/>
  </w:style>
  <w:style w:type="paragraph" w:styleId="Footer">
    <w:name w:val="footer"/>
    <w:basedOn w:val="Normal"/>
    <w:link w:val="FooterChar"/>
    <w:uiPriority w:val="99"/>
    <w:unhideWhenUsed/>
    <w:rsid w:val="00AB46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8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MacDonald Idu</dc:creator>
  <cp:keywords/>
  <dc:description/>
  <cp:lastModifiedBy>Prof. MacDonald Idu</cp:lastModifiedBy>
  <cp:revision>2</cp:revision>
  <dcterms:created xsi:type="dcterms:W3CDTF">2026-09-08T21:48:00Z</dcterms:created>
  <dcterms:modified xsi:type="dcterms:W3CDTF">2026-09-08T21:48:00Z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6a7a4124fd0173625f5384b2b17979251ff3e5cda33c6a7d73f1ebce6b45a376</vt:lpwstr>
  </property>
</Properties>
</file>