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65.png" ContentType="image/png"/>
  <Override PartName="/word/media/rId142.png" ContentType="image/png"/>
  <Override PartName="/word/media/rId218.png" ContentType="image/png"/>
  <Override PartName="/word/media/rId95.png" ContentType="image/png"/>
  <Override PartName="/word/media/rId110.png" ContentType="image/png"/>
  <Override PartName="/word/media/rId126.png" ContentType="image/png"/>
  <Override PartName="/word/media/rId35.png" ContentType="image/png"/>
  <Override PartName="/word/media/rId267.png" ContentType="image/png"/>
  <Override PartName="/word/media/rId52.png" ContentType="image/png"/>
  <Override PartName="/word/media/rId187.png" ContentType="image/png"/>
  <Override PartName="/word/media/rId40.png" ContentType="image/png"/>
  <Override PartName="/word/media/rId8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2018-04-09</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drawing>
          <wp:inline>
            <wp:extent cx="2540000" cy="2374900"/>
            <wp:effectExtent b="0" l="0" r="0" t="0"/>
            <wp:docPr descr="smell1" title="" id="1" name="Picture"/>
            <a:graphic>
              <a:graphicData uri="http://schemas.openxmlformats.org/drawingml/2006/picture">
                <pic:pic>
                  <pic:nvPicPr>
                    <pic:cNvPr descr="images/smell1.png" id="0" name="Picture"/>
                    <pic:cNvPicPr>
                      <a:picLocks noChangeArrowheads="1" noChangeAspect="1"/>
                    </pic:cNvPicPr>
                  </pic:nvPicPr>
                  <pic:blipFill>
                    <a:blip r:embed="rId30"/>
                    <a:stretch>
                      <a:fillRect/>
                    </a:stretch>
                  </pic:blipFill>
                  <pic:spPr bwMode="auto">
                    <a:xfrm>
                      <a:off x="0" y="0"/>
                      <a:ext cx="2540000" cy="2374900"/>
                    </a:xfrm>
                    <a:prstGeom prst="rect">
                      <a:avLst/>
                    </a:prstGeom>
                    <a:noFill/>
                    <a:ln w="9525">
                      <a:noFill/>
                      <a:headEnd/>
                      <a:tailEnd/>
                    </a:ln>
                  </pic:spPr>
                </pic:pic>
              </a:graphicData>
            </a:graphic>
          </wp:inline>
        </w:drawing>
      </w:r>
    </w:p>
    <w:p>
      <w:pPr>
        <w:pStyle w:val="BodyText"/>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Heading2"/>
      </w:pPr>
      <w:bookmarkStart w:id="31" w:name="using-inappropriate-data-types"/>
      <w:r>
        <w:t xml:space="preserve">Using inappropriate data types</w:t>
      </w:r>
      <w:bookmarkEnd w:id="31"/>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2" w:name="storing-the-hierarchy-structure-in-the-same-table-as-the-entities-that-make-up-the-hierarchy"/>
      <w:r>
        <w:t xml:space="preserve">Storing the hierarchy structure in the same table as the entities that make up the hierarchy</w:t>
      </w:r>
      <w:bookmarkEnd w:id="32"/>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3" w:name="using-an-entity-attribute-value-eav-model"/>
      <w:r>
        <w:t xml:space="preserve">Using an Entity Attribute Value (EAV) model</w:t>
      </w:r>
      <w:bookmarkEnd w:id="33"/>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4" w:name="using-a-polymorphic-association"/>
      <w:r>
        <w:t xml:space="preserve">Using a polymorphic association</w:t>
      </w:r>
      <w:bookmarkEnd w:id="34"/>
    </w:p>
    <w:p>
      <w:pPr>
        <w:pStyle w:val="FirstParagraph"/>
      </w:pPr>
      <w:r>
        <w:drawing>
          <wp:inline>
            <wp:extent cx="2540000" cy="2349500"/>
            <wp:effectExtent b="0" l="0" r="0" t="0"/>
            <wp:docPr descr="Polymorphic" title="" id="1" name="Picture"/>
            <a:graphic>
              <a:graphicData uri="http://schemas.openxmlformats.org/drawingml/2006/picture">
                <pic:pic>
                  <pic:nvPicPr>
                    <pic:cNvPr descr="images/Polymorphic.png" id="0" name="Picture"/>
                    <pic:cNvPicPr>
                      <a:picLocks noChangeArrowheads="1" noChangeAspect="1"/>
                    </pic:cNvPicPr>
                  </pic:nvPicPr>
                  <pic:blipFill>
                    <a:blip r:embed="rId35"/>
                    <a:stretch>
                      <a:fillRect/>
                    </a:stretch>
                  </pic:blipFill>
                  <pic:spPr bwMode="auto">
                    <a:xfrm>
                      <a:off x="0" y="0"/>
                      <a:ext cx="2540000" cy="2349500"/>
                    </a:xfrm>
                    <a:prstGeom prst="rect">
                      <a:avLst/>
                    </a:prstGeom>
                    <a:noFill/>
                    <a:ln w="9525">
                      <a:noFill/>
                      <a:headEnd/>
                      <a:tailEnd/>
                    </a:ln>
                  </pic:spPr>
                </pic:pic>
              </a:graphicData>
            </a:graphic>
          </wp:inline>
        </w:drawing>
      </w:r>
    </w:p>
    <w:p>
      <w:pPr>
        <w:pStyle w:val="BodyText"/>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Heading2"/>
      </w:pPr>
      <w:bookmarkStart w:id="36" w:name="creating-tables-as-god-objects"/>
      <w:r>
        <w:t xml:space="preserve">Creating tables as 'God Objects'</w:t>
      </w:r>
      <w:bookmarkEnd w:id="36"/>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7" w:name="contrived-interfaces"/>
      <w:r>
        <w:t xml:space="preserve">Contrived interfaces</w:t>
      </w:r>
      <w:bookmarkEnd w:id="37"/>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8">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9" w:name="using-command-line-and-ole-automation-to-access-server-based-resources"/>
      <w:r>
        <w:t xml:space="preserve">Using command-line and OLE automation to access server-based resources</w:t>
      </w:r>
      <w:bookmarkEnd w:id="39"/>
    </w:p>
    <w:p>
      <w:pPr>
        <w:pStyle w:val="FirstParagraph"/>
      </w:pPr>
      <w:r>
        <w:drawing>
          <wp:inline>
            <wp:extent cx="2540000" cy="2641600"/>
            <wp:effectExtent b="0" l="0" r="0" t="0"/>
            <wp:docPr descr="ole" title="" id="1" name="Picture"/>
            <a:graphic>
              <a:graphicData uri="http://schemas.openxmlformats.org/drawingml/2006/picture">
                <pic:pic>
                  <pic:nvPicPr>
                    <pic:cNvPr descr="images/ole.png" id="0" name="Picture"/>
                    <pic:cNvPicPr>
                      <a:picLocks noChangeArrowheads="1" noChangeAspect="1"/>
                    </pic:cNvPicPr>
                  </pic:nvPicPr>
                  <pic:blipFill>
                    <a:blip r:embed="rId40"/>
                    <a:stretch>
                      <a:fillRect/>
                    </a:stretch>
                  </pic:blipFill>
                  <pic:spPr bwMode="auto">
                    <a:xfrm>
                      <a:off x="0" y="0"/>
                      <a:ext cx="2540000" cy="2641600"/>
                    </a:xfrm>
                    <a:prstGeom prst="rect">
                      <a:avLst/>
                    </a:prstGeom>
                    <a:noFill/>
                    <a:ln w="9525">
                      <a:noFill/>
                      <a:headEnd/>
                      <a:tailEnd/>
                    </a:ln>
                  </pic:spPr>
                </pic:pic>
              </a:graphicData>
            </a:graphic>
          </wp:inline>
        </w:drawing>
      </w:r>
    </w:p>
    <w:p>
      <w:pPr>
        <w:pStyle w:val="BodyText"/>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Heading1"/>
      </w:pPr>
      <w:bookmarkStart w:id="41" w:name="problems-with-table-design"/>
      <w:r>
        <w:t xml:space="preserve">Problems with Table Design</w:t>
      </w:r>
      <w:bookmarkEnd w:id="41"/>
    </w:p>
    <w:p>
      <w:pPr>
        <w:pStyle w:val="Heading2"/>
      </w:pPr>
      <w:bookmarkStart w:id="42" w:name="using-constraints-to-restrict-values-in-a-column"/>
      <w:r>
        <w:t xml:space="preserve">Using constraints to restrict values in a column</w:t>
      </w:r>
      <w:bookmarkEnd w:id="42"/>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3" w:name="not-using-referential-integrity-constraints"/>
      <w:r>
        <w:t xml:space="preserve">Not using referential integrity constraints</w:t>
      </w:r>
      <w:bookmarkEnd w:id="43"/>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4" w:name="enabling-nocheck-on-referential-integrity-constraints"/>
      <w:r>
        <w:t xml:space="preserve">Enabling NOCHECK on referential integrity constraints</w:t>
      </w:r>
      <w:bookmarkEnd w:id="44"/>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5">
        <w:r>
          <w:rPr>
            <w:rStyle w:val="Hyperlink"/>
          </w:rPr>
          <w:t xml:space="preserve">BP019- Foreign key is disabled</w:t>
        </w:r>
      </w:hyperlink>
    </w:p>
    <w:p>
      <w:pPr>
        <w:pStyle w:val="Heading2"/>
      </w:pPr>
      <w:bookmarkStart w:id="46" w:name="using-too-many-or-too-few-indexes"/>
      <w:r>
        <w:t xml:space="preserve">Using too many or too few indexes</w:t>
      </w:r>
      <w:bookmarkEnd w:id="46"/>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7" w:name="not-choosing-the-most-suitable-clustered-index-for-a-table"/>
      <w:r>
        <w:t xml:space="preserve">Not choosing the most suitable clustered index for a table</w:t>
      </w:r>
      <w:bookmarkEnd w:id="47"/>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8">
        <w:r>
          <w:rPr>
            <w:rStyle w:val="Hyperlink"/>
          </w:rPr>
          <w:t xml:space="preserve">BP001 Index type is not specified</w:t>
        </w:r>
      </w:hyperlink>
    </w:p>
    <w:p>
      <w:pPr>
        <w:pStyle w:val="Heading2"/>
      </w:pPr>
      <w:bookmarkStart w:id="49" w:name="not-explicitly-declaring-which-index-is-the-clustered-one."/>
      <w:r>
        <w:t xml:space="preserve">Not explicitly declaring which index is the clustered one.</w:t>
      </w:r>
      <w:bookmarkEnd w:id="49"/>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50" w:name="misusing-null-values"/>
      <w:r>
        <w:t xml:space="preserve">Misusing NULL values</w:t>
      </w:r>
      <w:bookmarkEnd w:id="50"/>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51" w:name="using-temporary-tables-for-very-small-result-sets"/>
      <w:r>
        <w:t xml:space="preserve">Using temporary tables for very small result sets</w:t>
      </w:r>
      <w:bookmarkEnd w:id="51"/>
    </w:p>
    <w:p>
      <w:pPr>
        <w:pStyle w:val="FirstParagraph"/>
      </w:pPr>
      <w:r>
        <w:drawing>
          <wp:inline>
            <wp:extent cx="2133600" cy="2540000"/>
            <wp:effectExtent b="0" l="0" r="0" t="0"/>
            <wp:docPr descr="Temporal" title="" id="1" name="Picture"/>
            <a:graphic>
              <a:graphicData uri="http://schemas.openxmlformats.org/drawingml/2006/picture">
                <pic:pic>
                  <pic:nvPicPr>
                    <pic:cNvPr descr="images/Temporal.png" id="0" name="Picture"/>
                    <pic:cNvPicPr>
                      <a:picLocks noChangeArrowheads="1" noChangeAspect="1"/>
                    </pic:cNvPicPr>
                  </pic:nvPicPr>
                  <pic:blipFill>
                    <a:blip r:embed="rId52"/>
                    <a:stretch>
                      <a:fillRect/>
                    </a:stretch>
                  </pic:blipFill>
                  <pic:spPr bwMode="auto">
                    <a:xfrm>
                      <a:off x="0" y="0"/>
                      <a:ext cx="2133600" cy="2540000"/>
                    </a:xfrm>
                    <a:prstGeom prst="rect">
                      <a:avLst/>
                    </a:prstGeom>
                    <a:noFill/>
                    <a:ln w="9525">
                      <a:noFill/>
                      <a:headEnd/>
                      <a:tailEnd/>
                    </a:ln>
                  </pic:spPr>
                </pic:pic>
              </a:graphicData>
            </a:graphic>
          </wp:inline>
        </w:drawing>
      </w:r>
    </w:p>
    <w:p>
      <w:pPr>
        <w:pStyle w:val="BodyText"/>
      </w:pPr>
      <w:r>
        <w:t xml:space="preserve">Temporary tables can lead to recompiles, which can be costly. Table variables, while not so useful for larger data sets (approximately 15000 rows or more), avoid recompiles and are therefore preferred in smaller data sets. Even with huge tables, they can perform well, but only when a clustered index column is used, and when the nature of the processing makes an index seek very effective.</w:t>
      </w:r>
    </w:p>
    <w:p>
      <w:pPr>
        <w:pStyle w:val="BodyText"/>
      </w:pPr>
      <w:r>
        <w:t xml:space="preserve">Table variables behave like other variables in their scoping rules. Once out of scope, they are disposed of without the developer needing to do any explicit cleanup. These are much easier to work with, and pretty secure, and they trigger fewer recompiles in the routines where they’re used than if you were to use temporary tables. Table variables require less locking resources as they are ‘private’ to the batch or process that created them. Transaction rollbacks do not affect them because table variables have limited scope and are not part of the persistent database.</w:t>
      </w:r>
    </w:p>
    <w:p>
      <w:pPr>
        <w:pStyle w:val="BodyText"/>
      </w:pPr>
      <w:r>
        <w:t xml:space="preserve">Where the number of rows in the table is moderate, you can even use them in joins as ‘Heaps’, unindexed. Beware, however, since, as the number of rows increase, joins on Table Variable heaps can easily become saddled by very poor execution plans, and this must be cured either by adding constraints (UNIQUE or PRIMARY KEY) or by adding the OPTION (RECOMPILE) hint if this is impossible. Occasionally, the way that the data is distributed prevents the efficient use of Table Variables, and this will require using a temporary table instead.</w:t>
      </w:r>
    </w:p>
    <w:p>
      <w:pPr>
        <w:pStyle w:val="BodyText"/>
      </w:pPr>
      <w:r>
        <w:t xml:space="preserve">See:</w:t>
      </w:r>
    </w:p>
    <w:p>
      <w:pPr>
        <w:numPr>
          <w:numId w:val="1001"/>
          <w:ilvl w:val="0"/>
        </w:numPr>
      </w:pPr>
      <w:hyperlink r:id="rId53">
        <w:r>
          <w:rPr>
            <w:rStyle w:val="Hyperlink"/>
          </w:rPr>
          <w:t xml:space="preserve">Table Variables: an empirical approach.</w:t>
        </w:r>
      </w:hyperlink>
    </w:p>
    <w:p>
      <w:pPr>
        <w:numPr>
          <w:numId w:val="1001"/>
          <w:ilvl w:val="0"/>
        </w:numPr>
      </w:pPr>
      <w:hyperlink r:id="rId54">
        <w:r>
          <w:rPr>
            <w:rStyle w:val="Hyperlink"/>
          </w:rPr>
          <w:t xml:space="preserve">Temporary Tables in SQL Server</w:t>
        </w:r>
      </w:hyperlink>
    </w:p>
    <w:p>
      <w:pPr>
        <w:pStyle w:val="FirstParagraph"/>
      </w:pPr>
      <w:hyperlink r:id="rId55">
        <w:r>
          <w:rPr>
            <w:rStyle w:val="Hyperlink"/>
          </w:rPr>
          <w:t xml:space="preserve">ST011 – Consider using table variable instead of temporary table</w:t>
        </w:r>
      </w:hyperlink>
    </w:p>
    <w:p>
      <w:pPr>
        <w:pStyle w:val="BodyText"/>
      </w:pPr>
      <w:hyperlink r:id="rId56">
        <w:r>
          <w:rPr>
            <w:rStyle w:val="Hyperlink"/>
          </w:rPr>
          <w:t xml:space="preserve">ST012 – Consider using temporary table instead of table variable</w:t>
        </w:r>
      </w:hyperlink>
      <w:r>
        <w:t xml:space="preserve">I</w:t>
      </w:r>
    </w:p>
    <w:p>
      <w:pPr>
        <w:pStyle w:val="Heading2"/>
      </w:pPr>
      <w:bookmarkStart w:id="57" w:name="creating-a-table-without-specifying-a-schema"/>
      <w:r>
        <w:t xml:space="preserve">Creating a table without specifying a schema</w:t>
      </w:r>
      <w:bookmarkEnd w:id="57"/>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8" w:name="most-tables-should-have-a-clustered-index"/>
      <w:r>
        <w:t xml:space="preserve">Most tables should have a clustered index</w:t>
      </w:r>
      <w:bookmarkEnd w:id="58"/>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9" w:name="using-the-same-column-name-in-different-tables-but-with-different-data-types"/>
      <w:r>
        <w:t xml:space="preserve">Using the same column name in different tables but with different data types</w:t>
      </w:r>
      <w:bookmarkEnd w:id="59"/>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60" w:name="defining-a-table-column-without-explicitly-specifying-whether-it-is-nullable"/>
      <w:r>
        <w:t xml:space="preserve">Defining a table column without explicitly specifying whether it is nullable</w:t>
      </w:r>
      <w:bookmarkEnd w:id="60"/>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61">
        <w:r>
          <w:rPr>
            <w:rStyle w:val="Hyperlink"/>
          </w:rPr>
          <w:t xml:space="preserve">BP014 NOT NULL option is not specified in CREATE/DECLARE TABLE statement (registered once per table)</w:t>
        </w:r>
      </w:hyperlink>
    </w:p>
    <w:p>
      <w:pPr>
        <w:pStyle w:val="Heading2"/>
      </w:pPr>
      <w:bookmarkStart w:id="62" w:name="adding-not-null-column-without-default-value-to-a-table-with-data-will-fail"/>
      <w:r>
        <w:t xml:space="preserve">Trying to add a NOT NULL column without default value to a table with data</w:t>
      </w:r>
      <w:bookmarkEnd w:id="62"/>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63">
        <w:r>
          <w:rPr>
            <w:rStyle w:val="Hyperlink"/>
          </w:rPr>
          <w:t xml:space="preserve">EI028 Adding NOT NULL column without default value</w:t>
        </w:r>
      </w:hyperlink>
    </w:p>
    <w:p>
      <w:pPr>
        <w:pStyle w:val="Heading2"/>
      </w:pPr>
      <w:bookmarkStart w:id="64" w:name="creating-dated-copies-of-the-same-table-to-manage-table-sizes"/>
      <w:r>
        <w:t xml:space="preserve">Creating dated copies of the same table to manage table sizes</w:t>
      </w:r>
      <w:bookmarkEnd w:id="64"/>
    </w:p>
    <w:p>
      <w:pPr>
        <w:pStyle w:val="FirstParagraph"/>
      </w:pPr>
      <w:r>
        <w:drawing>
          <wp:inline>
            <wp:extent cx="2540000" cy="5308600"/>
            <wp:effectExtent b="0" l="0" r="0" t="0"/>
            <wp:docPr descr="Dated" title="" id="1" name="Picture"/>
            <a:graphic>
              <a:graphicData uri="http://schemas.openxmlformats.org/drawingml/2006/picture">
                <pic:pic>
                  <pic:nvPicPr>
                    <pic:cNvPr descr="images/Dated.png" id="0" name="Picture"/>
                    <pic:cNvPicPr>
                      <a:picLocks noChangeArrowheads="1" noChangeAspect="1"/>
                    </pic:cNvPicPr>
                  </pic:nvPicPr>
                  <pic:blipFill>
                    <a:blip r:embed="rId65"/>
                    <a:stretch>
                      <a:fillRect/>
                    </a:stretch>
                  </pic:blipFill>
                  <pic:spPr bwMode="auto">
                    <a:xfrm>
                      <a:off x="0" y="0"/>
                      <a:ext cx="2540000" cy="5308600"/>
                    </a:xfrm>
                    <a:prstGeom prst="rect">
                      <a:avLst/>
                    </a:prstGeom>
                    <a:noFill/>
                    <a:ln w="9525">
                      <a:noFill/>
                      <a:headEnd/>
                      <a:tailEnd/>
                    </a:ln>
                  </pic:spPr>
                </pic:pic>
              </a:graphicData>
            </a:graphic>
          </wp:inline>
        </w:drawing>
      </w:r>
    </w:p>
    <w:p>
      <w:pPr>
        <w:pStyle w:val="BodyText"/>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Heading1"/>
      </w:pPr>
      <w:bookmarkStart w:id="66" w:name="problems-with-data-types"/>
      <w:r>
        <w:t xml:space="preserve">Problems with Data Types</w:t>
      </w:r>
      <w:bookmarkEnd w:id="66"/>
    </w:p>
    <w:p>
      <w:pPr>
        <w:pStyle w:val="Heading2"/>
      </w:pPr>
      <w:bookmarkStart w:id="67" w:name="using-varchar1-varchar2-etc."/>
      <w:r>
        <w:t xml:space="preserve">Using VARCHAR(1), VARCHAR(2), etc.</w:t>
      </w:r>
      <w:bookmarkEnd w:id="67"/>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68">
        <w:r>
          <w:rPr>
            <w:rStyle w:val="Hyperlink"/>
          </w:rPr>
          <w:t xml:space="preserve">SR0009: Avoid using types of variable length that are size 1 or 2</w:t>
        </w:r>
      </w:hyperlink>
    </w:p>
    <w:p>
      <w:pPr>
        <w:pStyle w:val="Heading2"/>
      </w:pPr>
      <w:bookmarkStart w:id="69" w:name="declaring-var-type-variables-without-length"/>
      <w:r>
        <w:t xml:space="preserve">Declaring var type variables without length</w:t>
      </w:r>
      <w:bookmarkEnd w:id="69"/>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70" w:name="using-deprecated-language-elements-such-as-the-textntext-data-types"/>
      <w:r>
        <w:t xml:space="preserve">Using deprecated language elements such as the TEXT/NTEXT data types</w:t>
      </w:r>
      <w:bookmarkEnd w:id="70"/>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71">
        <w:r>
          <w:rPr>
            <w:rStyle w:val="Hyperlink"/>
          </w:rPr>
          <w:t xml:space="preserve">DEP002 WRITETEXT,UPDATETEXT and READTEXT statements are deprecated.</w:t>
        </w:r>
      </w:hyperlink>
      <w:r>
        <w:t xml:space="preserve"> </w:t>
      </w:r>
      <w:hyperlink r:id="rId72">
        <w:r>
          <w:rPr>
            <w:rStyle w:val="Hyperlink"/>
          </w:rPr>
          <w:t xml:space="preserve">https://documentation.red-gate.com/codeanalysis/deprecated-syntax-rules/dep001</w:t>
        </w:r>
      </w:hyperlink>
    </w:p>
    <w:p>
      <w:pPr>
        <w:pStyle w:val="Heading2"/>
      </w:pPr>
      <w:bookmarkStart w:id="73" w:name="using-money-data-type"/>
      <w:r>
        <w:t xml:space="preserve">Using MONEY data type</w:t>
      </w:r>
      <w:bookmarkEnd w:id="73"/>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74" w:name="using-float-or-real-data-types"/>
      <w:r>
        <w:t xml:space="preserve">Using FLOAT or REAL data types</w:t>
      </w:r>
      <w:bookmarkEnd w:id="74"/>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75" w:name="mixing-parameter-data-types-in-a-coalesce-expression"/>
      <w:r>
        <w:t xml:space="preserve">Mixing parameter data types in a COALESCE expression</w:t>
      </w:r>
      <w:bookmarkEnd w:id="75"/>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76" w:name="using-datetime-or-datetime2-when-youre-concerned-only-with-the-date"/>
      <w:r>
        <w:t xml:space="preserve">Using DATETIME or DATETIME2 when you’re concerned only with the date</w:t>
      </w:r>
      <w:bookmarkEnd w:id="76"/>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77" w:name="using-datetime-or-datetime2-when-youre-merely-recording-the-time-of-day"/>
      <w:r>
        <w:t xml:space="preserve">Using DATETIME or DATETIME2 when you’re merely recording the time of day</w:t>
      </w:r>
      <w:bookmarkEnd w:id="77"/>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78" w:name="using-sql_variant-inappropriately"/>
      <w:r>
        <w:t xml:space="preserve">Using sql_variant inappropriately</w:t>
      </w:r>
      <w:bookmarkEnd w:id="78"/>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79" w:name="the-length-of-the-varchar-varbinary-and-nvarchar-datatype-in-a-cast-or-convert-clause-wasnt-explicitly-specified"/>
      <w:r>
        <w:t xml:space="preserve">The length of the VARCHAR, VARBINARY and NVARCHAR datatype in a CAST or CONVERT clause wasn’t explicitly specified</w:t>
      </w:r>
      <w:bookmarkEnd w:id="79"/>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80">
        <w:r>
          <w:rPr>
            <w:rStyle w:val="Hyperlink"/>
          </w:rPr>
          <w:t xml:space="preserve">BP008 CAST/CONVERT to var types without length</w:t>
        </w:r>
      </w:hyperlink>
    </w:p>
    <w:p>
      <w:pPr>
        <w:pStyle w:val="Heading2"/>
      </w:pPr>
      <w:bookmarkStart w:id="81" w:name="storing-a-duration-rather-than-a-point-in-time"/>
      <w:r>
        <w:t xml:space="preserve">Storing a duration rather than a point in time</w:t>
      </w:r>
      <w:bookmarkEnd w:id="81"/>
    </w:p>
    <w:p>
      <w:pPr>
        <w:pStyle w:val="FirstParagraph"/>
      </w:pPr>
      <w:r>
        <w:drawing>
          <wp:inline>
            <wp:extent cx="2540000" cy="3759200"/>
            <wp:effectExtent b="0" l="0" r="0" t="0"/>
            <wp:docPr descr="pointInTime" title="" id="1" name="Picture"/>
            <a:graphic>
              <a:graphicData uri="http://schemas.openxmlformats.org/drawingml/2006/picture">
                <pic:pic>
                  <pic:nvPicPr>
                    <pic:cNvPr descr="images/pointInTime.png" id="0" name="Picture"/>
                    <pic:cNvPicPr>
                      <a:picLocks noChangeArrowheads="1" noChangeAspect="1"/>
                    </pic:cNvPicPr>
                  </pic:nvPicPr>
                  <pic:blipFill>
                    <a:blip r:embed="rId82"/>
                    <a:stretch>
                      <a:fillRect/>
                    </a:stretch>
                  </pic:blipFill>
                  <pic:spPr bwMode="auto">
                    <a:xfrm>
                      <a:off x="0" y="0"/>
                      <a:ext cx="2540000" cy="3759200"/>
                    </a:xfrm>
                    <a:prstGeom prst="rect">
                      <a:avLst/>
                    </a:prstGeom>
                    <a:noFill/>
                    <a:ln w="9525">
                      <a:noFill/>
                      <a:headEnd/>
                      <a:tailEnd/>
                    </a:ln>
                  </pic:spPr>
                </pic:pic>
              </a:graphicData>
            </a:graphic>
          </wp:inline>
        </w:drawing>
      </w:r>
    </w:p>
    <w:p>
      <w:pPr>
        <w:pStyle w:val="BodyText"/>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Heading2"/>
      </w:pPr>
      <w:bookmarkStart w:id="83" w:name="using-varcharmax-or-nvarcharmax-when-it-isnt-necessary"/>
      <w:r>
        <w:t xml:space="preserve">Using VARCHAR(MAX) or NVARCHAR(MAX) when it isn’t necessary</w:t>
      </w:r>
      <w:bookmarkEnd w:id="83"/>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84" w:name="using-varchar-rather-than-nvarchar-for-anything-that-requires-internationalisation-such-as-names-or-addresses"/>
      <w:r>
        <w:t xml:space="preserve">Using VARCHAR rather than NVARCHAR for anything that requires internationalisation, such as names or addresses</w:t>
      </w:r>
      <w:bookmarkEnd w:id="84"/>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85" w:name="declaring-varchar-varbinary-and-nvarchar-datatypes-without-explicit-length"/>
      <w:r>
        <w:t xml:space="preserve">Declaring VARCHAR, VARBINARY and NVARCHAR datatypes without explicit length</w:t>
      </w:r>
      <w:bookmarkEnd w:id="85"/>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86">
        <w:r>
          <w:rPr>
            <w:rStyle w:val="Hyperlink"/>
          </w:rPr>
          <w:t xml:space="preserve">BP007 Declaring var type variables without length</w:t>
        </w:r>
      </w:hyperlink>
    </w:p>
    <w:p>
      <w:pPr>
        <w:pStyle w:val="Heading1"/>
      </w:pPr>
      <w:bookmarkStart w:id="87" w:name="problems-with-expressions"/>
      <w:r>
        <w:t xml:space="preserve">Problems with expressions</w:t>
      </w:r>
      <w:bookmarkEnd w:id="87"/>
    </w:p>
    <w:p>
      <w:pPr>
        <w:pStyle w:val="Heading2"/>
      </w:pPr>
      <w:bookmarkStart w:id="88" w:name="excessive-use-of-parentheses"/>
      <w:r>
        <w:t xml:space="preserve">Excessive use of parentheses</w:t>
      </w:r>
      <w:bookmarkEnd w:id="88"/>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89" w:name="using-functions-such-as-isnumeric-without-additional-checks"/>
      <w:r>
        <w:t xml:space="preserve">Using functions such as 'ISNUMERIC' without additional checks</w:t>
      </w:r>
      <w:bookmarkEnd w:id="89"/>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90">
        <w:r>
          <w:rPr>
            <w:rStyle w:val="Hyperlink"/>
          </w:rPr>
          <w:t xml:space="preserve">EI029 Avoid using ISNUMERIC() function</w:t>
        </w:r>
      </w:hyperlink>
    </w:p>
    <w:p>
      <w:pPr>
        <w:pStyle w:val="Heading2"/>
      </w:pPr>
      <w:bookmarkStart w:id="91" w:name="injudicious-use-of-the-ltrim-and-rtrim-functions"/>
      <w:r>
        <w:t xml:space="preserve">Injudicious use of the LTRIM and RTRIM functions</w:t>
      </w:r>
      <w:bookmarkEnd w:id="91"/>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92" w:name="using-datalength-rather-than-len-to-find-the-length-of-a-string."/>
      <w:r>
        <w:t xml:space="preserve">Using DATALENGTH rather than LEN to find the length of a string.</w:t>
      </w:r>
      <w:bookmarkEnd w:id="92"/>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93" w:name="not-using-a-semicolon-to-terminate-sql-statements"/>
      <w:r>
        <w:t xml:space="preserve">Not using a semicolon to terminate SQL statements</w:t>
      </w:r>
      <w:bookmarkEnd w:id="93"/>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to add clauses on the end of statements, and in these circumstances, semicolons can be a considerable irritation because they trigger errors when they become embedded.</w:t>
      </w:r>
    </w:p>
    <w:p>
      <w:pPr>
        <w:pStyle w:val="Heading2"/>
      </w:pPr>
      <w:bookmarkStart w:id="94" w:name="relying-on-data-being-implicitly-converted-between-types"/>
      <w:r>
        <w:t xml:space="preserve">Relying on data being implicitly converted between types</w:t>
      </w:r>
      <w:bookmarkEnd w:id="94"/>
    </w:p>
    <w:p>
      <w:pPr>
        <w:pStyle w:val="FirstParagraph"/>
      </w:pPr>
      <w:r>
        <w:drawing>
          <wp:inline>
            <wp:extent cx="2371725" cy="1905000"/>
            <wp:effectExtent b="0" l="0" r="0" t="0"/>
            <wp:docPr descr="ImplicitlyCoverted" title="" id="1" name="Picture"/>
            <a:graphic>
              <a:graphicData uri="http://schemas.openxmlformats.org/drawingml/2006/picture">
                <pic:pic>
                  <pic:nvPicPr>
                    <pic:cNvPr descr="images/ImplicitlyCoverted.png" id="0" name="Picture"/>
                    <pic:cNvPicPr>
                      <a:picLocks noChangeArrowheads="1" noChangeAspect="1"/>
                    </pic:cNvPicPr>
                  </pic:nvPicPr>
                  <pic:blipFill>
                    <a:blip r:embed="rId95"/>
                    <a:stretch>
                      <a:fillRect/>
                    </a:stretch>
                  </pic:blipFill>
                  <pic:spPr bwMode="auto">
                    <a:xfrm>
                      <a:off x="0" y="0"/>
                      <a:ext cx="2371725" cy="1905000"/>
                    </a:xfrm>
                    <a:prstGeom prst="rect">
                      <a:avLst/>
                    </a:prstGeom>
                    <a:noFill/>
                    <a:ln w="9525">
                      <a:noFill/>
                      <a:headEnd/>
                      <a:tailEnd/>
                    </a:ln>
                  </pic:spPr>
                </pic:pic>
              </a:graphicData>
            </a:graphic>
          </wp:inline>
        </w:drawing>
      </w:r>
    </w:p>
    <w:p>
      <w:pPr>
        <w:pStyle w:val="BodyText"/>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96">
        <w:r>
          <w:rPr>
            <w:rStyle w:val="Hyperlink"/>
          </w:rPr>
          <w:t xml:space="preserve">SR0014: Data loss might occur when casting from {Type1} to {Type2}</w:t>
        </w:r>
      </w:hyperlink>
    </w:p>
    <w:p>
      <w:pPr>
        <w:pStyle w:val="Heading2"/>
      </w:pPr>
      <w:bookmarkStart w:id="97" w:name="using-the-identity-system-function"/>
      <w:r>
        <w:t xml:space="preserve">Using the @@IDENTITY system function</w:t>
      </w:r>
      <w:bookmarkEnd w:id="97"/>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98">
        <w:r>
          <w:rPr>
            <w:rStyle w:val="Hyperlink"/>
          </w:rPr>
          <w:t xml:space="preserve">Usage of @@identity</w:t>
        </w:r>
      </w:hyperlink>
    </w:p>
    <w:p>
      <w:pPr>
        <w:pStyle w:val="Heading2"/>
      </w:pPr>
      <w:bookmarkStart w:id="99" w:name="using-between-for-datetime-ranges"/>
      <w:r>
        <w:t xml:space="preserve">Using BETWEEN for DATETIME ranges</w:t>
      </w:r>
      <w:bookmarkEnd w:id="99"/>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100" w:name="using-select-in-a-batch"/>
      <w:r>
        <w:t xml:space="preserve">Using SELECT * in a batch</w:t>
      </w:r>
      <w:bookmarkEnd w:id="100"/>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101">
        <w:r>
          <w:rPr>
            <w:rStyle w:val="Hyperlink"/>
          </w:rPr>
          <w:t xml:space="preserve">Asterisk in select list</w:t>
        </w:r>
      </w:hyperlink>
    </w:p>
    <w:p>
      <w:pPr>
        <w:pStyle w:val="Heading2"/>
      </w:pPr>
      <w:bookmarkStart w:id="102" w:name="insert-without-column-list"/>
      <w:r>
        <w:t xml:space="preserve">INSERT without column list</w:t>
      </w:r>
      <w:bookmarkEnd w:id="102"/>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103">
        <w:r>
          <w:rPr>
            <w:rStyle w:val="Hyperlink"/>
          </w:rPr>
          <w:t xml:space="preserve">SR0001: Avoid SELECT * in a batch, stored procedures, views, and table-valued functions</w:t>
        </w:r>
      </w:hyperlink>
    </w:p>
    <w:p>
      <w:pPr>
        <w:pStyle w:val="Heading2"/>
      </w:pPr>
      <w:bookmarkStart w:id="104" w:name="order-by-clause-with-constants"/>
      <w:r>
        <w:t xml:space="preserve">ORDER BY clause with constants</w:t>
      </w:r>
      <w:bookmarkEnd w:id="104"/>
    </w:p>
    <w:p>
      <w:pPr>
        <w:pStyle w:val="FirstParagraph"/>
      </w:pPr>
      <w:r>
        <w:t xml:space="preserve">The use of constants in the ORDER BY is deprecated for removal in the future. They make ORDER BY statements more difficult to understand.</w:t>
      </w:r>
    </w:p>
    <w:p>
      <w:pPr>
        <w:pStyle w:val="BodyText"/>
      </w:pPr>
      <w:hyperlink r:id="rId105">
        <w:r>
          <w:rPr>
            <w:rStyle w:val="Hyperlink"/>
          </w:rPr>
          <w:t xml:space="preserve">BP002 ORDER BY clause with constants</w:t>
        </w:r>
      </w:hyperlink>
    </w:p>
    <w:p>
      <w:pPr>
        <w:pStyle w:val="Heading1"/>
      </w:pPr>
      <w:bookmarkStart w:id="106" w:name="difficulties-with-query-syntax"/>
      <w:r>
        <w:t xml:space="preserve">Difficulties with Query Syntax</w:t>
      </w:r>
      <w:bookmarkEnd w:id="106"/>
    </w:p>
    <w:p>
      <w:pPr>
        <w:pStyle w:val="Heading2"/>
      </w:pPr>
      <w:bookmarkStart w:id="107" w:name="creating-uberqueries-god-like-queries"/>
      <w:r>
        <w:t xml:space="preserve">Creating UberQueries (God-like Queries)</w:t>
      </w:r>
      <w:bookmarkEnd w:id="107"/>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108" w:name="nesting-views-as-if-they-were-russian-dolls"/>
      <w:r>
        <w:t xml:space="preserve">Nesting views as if they were Russian dolls</w:t>
      </w:r>
      <w:bookmarkEnd w:id="108"/>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109" w:name="joins-between-large-views"/>
      <w:r>
        <w:t xml:space="preserve">Joins between large views</w:t>
      </w:r>
      <w:bookmarkEnd w:id="109"/>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BodyText"/>
      </w:pPr>
      <w:r>
        <w:drawing>
          <wp:inline>
            <wp:extent cx="5334000" cy="2408126"/>
            <wp:effectExtent b="0" l="0" r="0" t="0"/>
            <wp:docPr descr="LargeViews" title="" id="1" name="Picture"/>
            <a:graphic>
              <a:graphicData uri="http://schemas.openxmlformats.org/drawingml/2006/picture">
                <pic:pic>
                  <pic:nvPicPr>
                    <pic:cNvPr descr="images/LargeViews.png" id="0" name="Picture"/>
                    <pic:cNvPicPr>
                      <a:picLocks noChangeArrowheads="1" noChangeAspect="1"/>
                    </pic:cNvPicPr>
                  </pic:nvPicPr>
                  <pic:blipFill>
                    <a:blip r:embed="rId110"/>
                    <a:stretch>
                      <a:fillRect/>
                    </a:stretch>
                  </pic:blipFill>
                  <pic:spPr bwMode="auto">
                    <a:xfrm>
                      <a:off x="0" y="0"/>
                      <a:ext cx="5334000" cy="2408126"/>
                    </a:xfrm>
                    <a:prstGeom prst="rect">
                      <a:avLst/>
                    </a:prstGeom>
                    <a:noFill/>
                    <a:ln w="9525">
                      <a:noFill/>
                      <a:headEnd/>
                      <a:tailEnd/>
                    </a:ln>
                  </pic:spPr>
                </pic:pic>
              </a:graphicData>
            </a:graphic>
          </wp:inline>
        </w:drawing>
      </w:r>
    </w:p>
    <w:p>
      <w:pPr>
        <w:pStyle w:val="Heading2"/>
      </w:pPr>
      <w:bookmarkStart w:id="111" w:name="using-the-old-sybase-join-syntax"/>
      <w:r>
        <w:t xml:space="preserve">Using the old Sybase JOIN syntax</w:t>
      </w:r>
      <w:bookmarkEnd w:id="111"/>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p>
    <w:p>
      <w:pPr>
        <w:numPr>
          <w:numId w:val="1002"/>
          <w:ilvl w:val="0"/>
        </w:numPr>
      </w:pPr>
      <w:hyperlink r:id="rId112">
        <w:r>
          <w:rPr>
            <w:rStyle w:val="Hyperlink"/>
          </w:rPr>
          <w:t xml:space="preserve">old-style join syntax</w:t>
        </w:r>
      </w:hyperlink>
    </w:p>
    <w:p>
      <w:pPr>
        <w:numPr>
          <w:numId w:val="1002"/>
          <w:ilvl w:val="0"/>
        </w:numPr>
      </w:pPr>
      <w:hyperlink r:id="rId113">
        <w:r>
          <w:rPr>
            <w:rStyle w:val="Hyperlink"/>
          </w:rPr>
          <w:t xml:space="preserve">DEP017 NON-ANSI join (</w:t>
        </w:r>
        <w:r>
          <w:rPr>
            <w:b/>
            <w:rStyle w:val="Hyperlink"/>
          </w:rPr>
          <w:t xml:space="preserve">== or =</w:t>
        </w:r>
        <w:r>
          <w:rPr>
            <w:rStyle w:val="Hyperlink"/>
          </w:rPr>
          <w:t xml:space="preserve">) is used</w:t>
        </w:r>
      </w:hyperlink>
    </w:p>
    <w:p>
      <w:pPr>
        <w:numPr>
          <w:numId w:val="1002"/>
          <w:ilvl w:val="0"/>
        </w:numPr>
      </w:pPr>
      <w:hyperlink r:id="rId114">
        <w:r>
          <w:rPr>
            <w:rStyle w:val="Hyperlink"/>
          </w:rPr>
          <w:t xml:space="preserve">ST001 Old-style join is used (…​from table1,table2…​)</w:t>
        </w:r>
      </w:hyperlink>
    </w:p>
    <w:p>
      <w:pPr>
        <w:pStyle w:val="Heading2"/>
      </w:pPr>
      <w:bookmarkStart w:id="115" w:name="using-correlated-subqueries-instead-of-a-join"/>
      <w:r>
        <w:t xml:space="preserve">Using correlated subqueries instead of a join</w:t>
      </w:r>
      <w:bookmarkEnd w:id="115"/>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16" w:name="using-select-rather-than-set-to-assign-values-to-variables"/>
      <w:r>
        <w:t xml:space="preserve">Using SELECT rather than SET to assign values to variables</w:t>
      </w:r>
      <w:bookmarkEnd w:id="116"/>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17" w:name="using-scalar-user-defined-functions-udfs-for-data-lookups-as-a-poor-mans-join."/>
      <w:r>
        <w:t xml:space="preserve">Using scalar user-defined functions (UDFs) for data lookups as a poor man’s join.</w:t>
      </w:r>
      <w:bookmarkEnd w:id="117"/>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18" w:name="not-using-two-part-object-names-for-object-references"/>
      <w:r>
        <w:t xml:space="preserve">Not using two-part object names for object references</w:t>
      </w:r>
      <w:bookmarkEnd w:id="118"/>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19">
        <w:r>
          <w:rPr>
            <w:rStyle w:val="Hyperlink"/>
          </w:rPr>
          <w:t xml:space="preserve">procedures that lack schema-qualification</w:t>
        </w:r>
      </w:hyperlink>
    </w:p>
    <w:p>
      <w:pPr>
        <w:pStyle w:val="BodyText"/>
      </w:pPr>
      <w:hyperlink r:id="rId120">
        <w:r>
          <w:rPr>
            <w:rStyle w:val="Hyperlink"/>
          </w:rPr>
          <w:t xml:space="preserve">PE001/PE002 Schema name for procedure is not specified/Schema name for table or view is not specified</w:t>
        </w:r>
      </w:hyperlink>
    </w:p>
    <w:p>
      <w:pPr>
        <w:pStyle w:val="Heading2"/>
      </w:pPr>
      <w:bookmarkStart w:id="121" w:name="using-insert-into-without-specifying-the-columns-and-their-order"/>
      <w:r>
        <w:t xml:space="preserve">Using INSERT INTO without specifying the columns and their order</w:t>
      </w:r>
      <w:bookmarkEnd w:id="121"/>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22">
        <w:r>
          <w:rPr>
            <w:rStyle w:val="Hyperlink"/>
          </w:rPr>
          <w:t xml:space="preserve">BP004 INSERT without column list</w:t>
        </w:r>
      </w:hyperlink>
    </w:p>
    <w:p>
      <w:pPr>
        <w:pStyle w:val="Heading2"/>
      </w:pPr>
      <w:bookmarkStart w:id="123" w:name="using-full-outer-joins-unnecessarily."/>
      <w:r>
        <w:t xml:space="preserve">Using full outer joins unnecessarily.</w:t>
      </w:r>
      <w:bookmarkEnd w:id="123"/>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24" w:name="including-complex-conditionals-in-the-where-clause"/>
      <w:r>
        <w:t xml:space="preserve">Including complex conditionals in the WHERE clause</w:t>
      </w:r>
      <w:bookmarkEnd w:id="124"/>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25" w:name="mixing-data-types-in-joins-or-where-clauses"/>
      <w:r>
        <w:t xml:space="preserve">Mixing data types in joins or WHERE clauses</w:t>
      </w:r>
      <w:bookmarkEnd w:id="125"/>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BodyText"/>
      </w:pPr>
      <w:r>
        <w:drawing>
          <wp:inline>
            <wp:extent cx="2540000" cy="2857500"/>
            <wp:effectExtent b="0" l="0" r="0" t="0"/>
            <wp:docPr descr="MixingDataTypes" title="" id="1" name="Picture"/>
            <a:graphic>
              <a:graphicData uri="http://schemas.openxmlformats.org/drawingml/2006/picture">
                <pic:pic>
                  <pic:nvPicPr>
                    <pic:cNvPr descr="images/MixingDataTypes.png" id="0" name="Picture"/>
                    <pic:cNvPicPr>
                      <a:picLocks noChangeArrowheads="1" noChangeAspect="1"/>
                    </pic:cNvPicPr>
                  </pic:nvPicPr>
                  <pic:blipFill>
                    <a:blip r:embed="rId126"/>
                    <a:stretch>
                      <a:fillRect/>
                    </a:stretch>
                  </pic:blipFill>
                  <pic:spPr bwMode="auto">
                    <a:xfrm>
                      <a:off x="0" y="0"/>
                      <a:ext cx="2540000" cy="2857500"/>
                    </a:xfrm>
                    <a:prstGeom prst="rect">
                      <a:avLst/>
                    </a:prstGeom>
                    <a:noFill/>
                    <a:ln w="9525">
                      <a:noFill/>
                      <a:headEnd/>
                      <a:tailEnd/>
                    </a:ln>
                  </pic:spPr>
                </pic:pic>
              </a:graphicData>
            </a:graphic>
          </wp:inline>
        </w:drawing>
      </w:r>
    </w:p>
    <w:p>
      <w:pPr>
        <w:pStyle w:val="Heading2"/>
      </w:pPr>
      <w:bookmarkStart w:id="127" w:name="assuming-that-select-statements-all-have-roughly-the-same-execution-time"/>
      <w:r>
        <w:t xml:space="preserve">Assuming that SELECT statements all have roughly the same execution time</w:t>
      </w:r>
      <w:bookmarkEnd w:id="127"/>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28" w:name="not-handling-null-values-in-nullable-columns"/>
      <w:r>
        <w:t xml:space="preserve">Not handling NULL values in nullable columns</w:t>
      </w:r>
      <w:bookmarkEnd w:id="128"/>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29">
        <w:r>
          <w:rPr>
            <w:rStyle w:val="Hyperlink"/>
          </w:rPr>
          <w:t xml:space="preserve">SR0007: Use ISNULL(column, default_value) on nullable columns in expressions</w:t>
        </w:r>
      </w:hyperlink>
    </w:p>
    <w:p>
      <w:pPr>
        <w:pStyle w:val="Heading2"/>
      </w:pPr>
      <w:bookmarkStart w:id="130" w:name="referencing-an-unindexed-column-within-the-in-predicate-of-a-where-clause"/>
      <w:r>
        <w:t xml:space="preserve">Referencing an unindexed column within the IN predicate of a WHERE clause</w:t>
      </w:r>
      <w:bookmarkEnd w:id="130"/>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31">
        <w:r>
          <w:rPr>
            <w:rStyle w:val="Hyperlink"/>
          </w:rPr>
          <w:t xml:space="preserve">SR0004: Avoid using columns that do not have indexes as test expressions in IN predicates</w:t>
        </w:r>
      </w:hyperlink>
    </w:p>
    <w:p>
      <w:pPr>
        <w:pStyle w:val="Heading2"/>
      </w:pPr>
      <w:bookmarkStart w:id="132" w:name="using-like-in-a-where-clause-with-an-initial-wildcard-character"/>
      <w:r>
        <w:t xml:space="preserve">Using LIKE in a WHERE clause with an initial wildcard character</w:t>
      </w:r>
      <w:bookmarkEnd w:id="132"/>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33">
        <w:r>
          <w:rPr>
            <w:rStyle w:val="Hyperlink"/>
          </w:rPr>
          <w:t xml:space="preserve">SR0005: Avoid using patterns that start with a '%' in LIKE predicates</w:t>
        </w:r>
      </w:hyperlink>
    </w:p>
    <w:p>
      <w:pPr>
        <w:pStyle w:val="Heading2"/>
      </w:pPr>
      <w:bookmarkStart w:id="134" w:name="using-a-predicate-or-join-column-as-a-parameter-for-a-user-defined-function"/>
      <w:r>
        <w:t xml:space="preserve">Using a predicate or join column as a parameter for a user-defined function</w:t>
      </w:r>
      <w:bookmarkEnd w:id="134"/>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35" w:name="supplying-object-names-without-specifying-the-schema"/>
      <w:r>
        <w:t xml:space="preserve">Supplying object names without specifying the schema</w:t>
      </w:r>
      <w:bookmarkEnd w:id="135"/>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36" w:name="using-null-or-null-to-filter-a-nullable-column-for-nulls"/>
      <w:r>
        <w:t xml:space="preserve">Using '== NULL' or '&lt;&gt; NULL' to filter a nullable column for NULLs</w:t>
      </w:r>
      <w:bookmarkEnd w:id="136"/>
    </w:p>
    <w:p>
      <w:pPr>
        <w:pStyle w:val="FirstParagraph"/>
      </w:pPr>
      <w:r>
        <w:t xml:space="preserve">An expression that returns a NULL as either the left value (Lvalue) or right value (Rvalue) will always evaluate to NULL. Use IS NULL or IS NOT NULL.</w:t>
      </w:r>
    </w:p>
    <w:p>
      <w:pPr>
        <w:pStyle w:val="BodyText"/>
      </w:pPr>
      <w:hyperlink r:id="rId137">
        <w:r>
          <w:rPr>
            <w:rStyle w:val="Hyperlink"/>
          </w:rPr>
          <w:t xml:space="preserve">BP011 NULL comparison or addition/substring</w:t>
        </w:r>
      </w:hyperlink>
    </w:p>
    <w:p>
      <w:pPr>
        <w:pStyle w:val="Heading2"/>
      </w:pPr>
      <w:bookmarkStart w:id="138" w:name="not-using-nocount-on-in-stored-procedures-and-triggers"/>
      <w:r>
        <w:t xml:space="preserve">Not using NOCOUNT ON in stored procedures and triggers</w:t>
      </w:r>
      <w:bookmarkEnd w:id="138"/>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39">
        <w:r>
          <w:rPr>
            <w:rStyle w:val="Hyperlink"/>
          </w:rPr>
          <w:t xml:space="preserve">the SET NOCOUNT problem</w:t>
        </w:r>
      </w:hyperlink>
    </w:p>
    <w:p>
      <w:pPr>
        <w:pStyle w:val="BodyText"/>
      </w:pPr>
      <w:r>
        <w:rPr>
          <w:b/>
        </w:rPr>
        <w:t xml:space="preserve">PE009 No SET NOCOUNT ON before DML</w:t>
      </w:r>
    </w:p>
    <w:p>
      <w:pPr>
        <w:pStyle w:val="Heading2"/>
      </w:pPr>
      <w:bookmarkStart w:id="140" w:name="using-the-not-in-predicate-in-the-where-clause"/>
      <w:r>
        <w:t xml:space="preserve">Using the NOT IN predicate in the WHERE clause</w:t>
      </w:r>
      <w:bookmarkEnd w:id="140"/>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41" w:name="defining-foreign-keys-without-a-supporting-index"/>
      <w:r>
        <w:t xml:space="preserve">Defining foreign keys without a supporting index</w:t>
      </w:r>
      <w:bookmarkEnd w:id="141"/>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BodyText"/>
      </w:pPr>
      <w:r>
        <w:drawing>
          <wp:inline>
            <wp:extent cx="4686300" cy="2540000"/>
            <wp:effectExtent b="0" l="0" r="0" t="0"/>
            <wp:docPr descr="DefiningForeignKeys" title="" id="1" name="Picture"/>
            <a:graphic>
              <a:graphicData uri="http://schemas.openxmlformats.org/drawingml/2006/picture">
                <pic:pic>
                  <pic:nvPicPr>
                    <pic:cNvPr descr="images/DefiningForeignKeys.png" id="0" name="Picture"/>
                    <pic:cNvPicPr>
                      <a:picLocks noChangeArrowheads="1" noChangeAspect="1"/>
                    </pic:cNvPicPr>
                  </pic:nvPicPr>
                  <pic:blipFill>
                    <a:blip r:embed="rId142"/>
                    <a:stretch>
                      <a:fillRect/>
                    </a:stretch>
                  </pic:blipFill>
                  <pic:spPr bwMode="auto">
                    <a:xfrm>
                      <a:off x="0" y="0"/>
                      <a:ext cx="4686300" cy="2540000"/>
                    </a:xfrm>
                    <a:prstGeom prst="rect">
                      <a:avLst/>
                    </a:prstGeom>
                    <a:noFill/>
                    <a:ln w="9525">
                      <a:noFill/>
                      <a:headEnd/>
                      <a:tailEnd/>
                    </a:ln>
                  </pic:spPr>
                </pic:pic>
              </a:graphicData>
            </a:graphic>
          </wp:inline>
        </w:drawing>
      </w:r>
    </w:p>
    <w:p>
      <w:pPr>
        <w:pStyle w:val="Heading2"/>
      </w:pPr>
      <w:bookmarkStart w:id="143" w:name="using-a-non-sargable-search-argument..able-expression-in-a-where-clause"/>
      <w:r>
        <w:t xml:space="preserve">Using a non-SARGable (Search ARGument..able) expression in a WHERE clause</w:t>
      </w:r>
      <w:bookmarkEnd w:id="143"/>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44">
        <w:r>
          <w:rPr>
            <w:rStyle w:val="Hyperlink"/>
          </w:rPr>
          <w:t xml:space="preserve">SR0006: Move a column reference to one side of a comparison operator to use a column index</w:t>
        </w:r>
      </w:hyperlink>
    </w:p>
    <w:p>
      <w:pPr>
        <w:pStyle w:val="Heading2"/>
      </w:pPr>
      <w:bookmarkStart w:id="145" w:name="including-a-deterministic-function-in-a-where-clause"/>
      <w:r>
        <w:t xml:space="preserve">Including a deterministic function in a WHERE clause</w:t>
      </w:r>
      <w:bookmarkEnd w:id="145"/>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46">
        <w:r>
          <w:rPr>
            <w:rStyle w:val="Hyperlink"/>
          </w:rPr>
          <w:t xml:space="preserve">SR0015: Extract deterministic function calls from WHERE predicates</w:t>
        </w:r>
      </w:hyperlink>
      <w:r>
        <w:t xml:space="preserve"> </w:t>
      </w:r>
      <w:hyperlink r:id="rId147">
        <w:r>
          <w:rPr>
            <w:rStyle w:val="Hyperlink"/>
          </w:rPr>
          <w:t xml:space="preserve">PE017 Incorrect usage of const UDF</w:t>
        </w:r>
      </w:hyperlink>
    </w:p>
    <w:p>
      <w:pPr>
        <w:pStyle w:val="Heading2"/>
      </w:pPr>
      <w:bookmarkStart w:id="148" w:name="_using_an_unverified_scalar_user_defined_function_as_a_constant"/>
      <w:r>
        <w:t xml:space="preserve">Using an unverified scalar user-defined function as a constant.</w:t>
      </w:r>
      <w:bookmarkEnd w:id="148"/>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49">
        <w:r>
          <w:rPr>
            <w:rStyle w:val="Hyperlink"/>
          </w:rPr>
          <w:t xml:space="preserve">Misuse of the scalar user-defined function as a constant (PE017)</w:t>
        </w:r>
      </w:hyperlink>
    </w:p>
    <w:p>
      <w:pPr>
        <w:pStyle w:val="BodyText"/>
      </w:pPr>
      <w:hyperlink r:id="rId147">
        <w:r>
          <w:rPr>
            <w:rStyle w:val="Hyperlink"/>
          </w:rPr>
          <w:t xml:space="preserve">PE017 Incorrect usage of const UDF</w:t>
        </w:r>
      </w:hyperlink>
    </w:p>
    <w:p>
      <w:pPr>
        <w:pStyle w:val="Heading2"/>
      </w:pPr>
      <w:bookmarkStart w:id="150" w:name="using-select-distinct-to-mask-a-join-problem"/>
      <w:r>
        <w:t xml:space="preserve">Using SELECT DISTINCT to mask a join problem</w:t>
      </w:r>
      <w:bookmarkEnd w:id="150"/>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51" w:name="using-not-in-with-an-expression-that-allows-null-values"/>
      <w:r>
        <w:t xml:space="preserve">Using NOT IN with an expression that allows null values</w:t>
      </w:r>
      <w:bookmarkEnd w:id="151"/>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52">
        <w:r>
          <w:rPr>
            <w:rStyle w:val="Hyperlink"/>
          </w:rPr>
          <w:t xml:space="preserve">PE019 Consider using NOT EXISTS instead of NOT IN (subquery)</w:t>
        </w:r>
      </w:hyperlink>
    </w:p>
    <w:p>
      <w:pPr>
        <w:pStyle w:val="BodyText"/>
      </w:pPr>
      <w:r>
        <w:t xml:space="preserve">See</w:t>
      </w:r>
      <w:r>
        <w:t xml:space="preserve"> </w:t>
      </w:r>
      <w:hyperlink r:id="rId153">
        <w:r>
          <w:rPr>
            <w:rStyle w:val="Hyperlink"/>
          </w:rPr>
          <w:t xml:space="preserve">Consider using NOT EXISTS instead of NOT IN (subquery)</w:t>
        </w:r>
      </w:hyperlink>
    </w:p>
    <w:p>
      <w:pPr>
        <w:pStyle w:val="Heading2"/>
      </w:pPr>
      <w:bookmarkStart w:id="154" w:name="a-delete-statement-has-omitted-that-where-clause-which-would-delete-the-whole-table"/>
      <w:r>
        <w:t xml:space="preserve">A DELETE statement has omitted that WHERE clause, which would delete the whole table</w:t>
      </w:r>
      <w:bookmarkEnd w:id="154"/>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55">
        <w:r>
          <w:rPr>
            <w:rStyle w:val="Hyperlink"/>
          </w:rPr>
          <w:t xml:space="preserve">BP017 DELETE statement without WHERE clause</w:t>
        </w:r>
      </w:hyperlink>
    </w:p>
    <w:p>
      <w:pPr>
        <w:pStyle w:val="Heading2"/>
      </w:pPr>
      <w:bookmarkStart w:id="156" w:name="an-update-statement-has-omitted-the-where-clause-which-would-update-every-row-in-the-table"/>
      <w:r>
        <w:t xml:space="preserve">An UPDATE statement has omitted the WHERE clause, which would update every row in the table</w:t>
      </w:r>
      <w:bookmarkEnd w:id="156"/>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57">
        <w:r>
          <w:rPr>
            <w:rStyle w:val="Hyperlink"/>
          </w:rPr>
          <w:t xml:space="preserve">BP018 UPDATE statement without WHERE clause</w:t>
        </w:r>
      </w:hyperlink>
    </w:p>
    <w:p>
      <w:pPr>
        <w:pStyle w:val="Heading2"/>
      </w:pPr>
      <w:bookmarkStart w:id="158" w:name="_using_a_common_table_expression_cte_unnecessarily"/>
      <w:r>
        <w:t xml:space="preserve">Using a Common Table Expression (CTE) unnecessarily</w:t>
      </w:r>
      <w:bookmarkEnd w:id="158"/>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59" w:name="problems-with-naming"/>
      <w:r>
        <w:t xml:space="preserve">Problems with naming</w:t>
      </w:r>
      <w:bookmarkEnd w:id="159"/>
    </w:p>
    <w:p>
      <w:pPr>
        <w:pStyle w:val="Heading2"/>
      </w:pPr>
      <w:bookmarkStart w:id="160" w:name="excessively-long-or-short-identifiers"/>
      <w:r>
        <w:t xml:space="preserve">Excessively long or short identifiers</w:t>
      </w:r>
      <w:bookmarkEnd w:id="160"/>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61" w:name="using-sp_-prefixes-for-stored-procedures"/>
      <w:r>
        <w:t xml:space="preserve">Using sp_ prefixes for stored procedures</w:t>
      </w:r>
      <w:bookmarkEnd w:id="161"/>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62">
        <w:r>
          <w:rPr>
            <w:rStyle w:val="Hyperlink"/>
          </w:rPr>
          <w:t xml:space="preserve">EI024 Stored procedure name starts with sp_</w:t>
        </w:r>
      </w:hyperlink>
    </w:p>
    <w:p>
      <w:pPr>
        <w:pStyle w:val="Heading2"/>
      </w:pPr>
      <w:bookmarkStart w:id="163" w:name="tibbling-sql-server-objects-with-reverse-hungarian-prefixes-such-as-tbl_-vw_-pk_-fn_-and-usp_"/>
      <w:r>
        <w:t xml:space="preserve">'Tibbling' SQL Server objects with Reverse-Hungarian prefixes such as tbl_, vw_, pk_, fn_, and usp_</w:t>
      </w:r>
      <w:bookmarkEnd w:id="163"/>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64" w:name="using-reserved-words-in-names"/>
      <w:r>
        <w:t xml:space="preserve">Using reserved words in names</w:t>
      </w:r>
      <w:bookmarkEnd w:id="164"/>
    </w:p>
    <w:p>
      <w:pPr>
        <w:pStyle w:val="FirstParagraph"/>
      </w:pPr>
      <w:r>
        <w:t xml:space="preserve">Using reserved words makes code more difficult to read, can cause problems to code formatters, and can cause errors when writing code.</w:t>
      </w:r>
    </w:p>
    <w:p>
      <w:pPr>
        <w:pStyle w:val="BodyText"/>
      </w:pPr>
      <w:hyperlink r:id="rId165">
        <w:r>
          <w:rPr>
            <w:rStyle w:val="Hyperlink"/>
          </w:rPr>
          <w:t xml:space="preserve">SR0012: Avoid using reserved words for type names</w:t>
        </w:r>
      </w:hyperlink>
    </w:p>
    <w:p>
      <w:pPr>
        <w:pStyle w:val="Heading2"/>
      </w:pPr>
      <w:bookmarkStart w:id="166" w:name="including-special-characters-in-object-names"/>
      <w:r>
        <w:t xml:space="preserve">Including special characters in object names</w:t>
      </w:r>
      <w:bookmarkEnd w:id="166"/>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67">
        <w:r>
          <w:rPr>
            <w:rStyle w:val="Hyperlink"/>
          </w:rPr>
          <w:t xml:space="preserve">R0011: Avoid using special characters in object names</w:t>
        </w:r>
      </w:hyperlink>
    </w:p>
    <w:p>
      <w:pPr>
        <w:pStyle w:val="Heading2"/>
      </w:pPr>
      <w:bookmarkStart w:id="168" w:name="using-numbers-in-table-names"/>
      <w:r>
        <w:t xml:space="preserve">Using numbers in table names</w:t>
      </w:r>
      <w:bookmarkEnd w:id="168"/>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67">
        <w:r>
          <w:rPr>
            <w:rStyle w:val="Hyperlink"/>
          </w:rPr>
          <w:t xml:space="preserve">SR0011: Avoid using special characters in object names</w:t>
        </w:r>
      </w:hyperlink>
    </w:p>
    <w:p>
      <w:pPr>
        <w:pStyle w:val="Heading2"/>
      </w:pPr>
      <w:bookmarkStart w:id="169" w:name="using-square-brackets-unnecessarily-for-object-names"/>
      <w:r>
        <w:t xml:space="preserve">Using square brackets unnecessarily for object names</w:t>
      </w:r>
      <w:bookmarkEnd w:id="169"/>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67">
        <w:r>
          <w:rPr>
            <w:rStyle w:val="Hyperlink"/>
          </w:rPr>
          <w:t xml:space="preserve">SR0011: Avoid using special characters in object names</w:t>
        </w:r>
      </w:hyperlink>
    </w:p>
    <w:p>
      <w:pPr>
        <w:pStyle w:val="Heading2"/>
      </w:pPr>
      <w:bookmarkStart w:id="170" w:name="using-system-generated-object-names-particularly-for-constraints"/>
      <w:r>
        <w:t xml:space="preserve">Using system-generated object names, particularly for constraints</w:t>
      </w:r>
      <w:bookmarkEnd w:id="170"/>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71" w:name="problems-with-routines"/>
      <w:r>
        <w:t xml:space="preserve">Problems with routines</w:t>
      </w:r>
      <w:bookmarkEnd w:id="171"/>
    </w:p>
    <w:p>
      <w:pPr>
        <w:pStyle w:val="Heading2"/>
      </w:pPr>
      <w:bookmarkStart w:id="172" w:name="including-few-or-no-comments"/>
      <w:r>
        <w:t xml:space="preserve">Including few or no comments</w:t>
      </w:r>
      <w:bookmarkEnd w:id="172"/>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73" w:name="you-have-a-stored-procedure-that-does-not-return-a-result-code"/>
      <w:r>
        <w:t xml:space="preserve">You have a stored procedure that does not return a result code</w:t>
      </w:r>
      <w:bookmarkEnd w:id="173"/>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74">
        <w:r>
          <w:rPr>
            <w:rStyle w:val="Hyperlink"/>
          </w:rPr>
          <w:t xml:space="preserve">BP016 Return without result code</w:t>
        </w:r>
      </w:hyperlink>
    </w:p>
    <w:p>
      <w:pPr>
        <w:pStyle w:val="Heading2"/>
      </w:pPr>
      <w:bookmarkStart w:id="175" w:name="excessively-overloading-routines"/>
      <w:r>
        <w:t xml:space="preserve">Excessively 'overloading' routines</w:t>
      </w:r>
      <w:bookmarkEnd w:id="175"/>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76" w:name="creating-routines-especially-stored-procedures-as-god-routines-or-uberprocs"/>
      <w:r>
        <w:t xml:space="preserve">Creating routines (especially stored procedures) as 'God Routines' or 'UberProcs'</w:t>
      </w:r>
      <w:bookmarkEnd w:id="176"/>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77" w:name="creating-stored-procedures-that-return-more-than-one-result-set"/>
      <w:r>
        <w:t xml:space="preserve">Creating stored procedures that return more than one result set</w:t>
      </w:r>
      <w:bookmarkEnd w:id="177"/>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BodyText"/>
      </w:pPr>
      <w:r>
        <w:drawing>
          <wp:inline>
            <wp:extent cx="3340100" cy="2540000"/>
            <wp:effectExtent b="0" l="0" r="0" t="0"/>
            <wp:docPr descr="CreatingStoredProcedures" title="" id="1" name="Picture"/>
            <a:graphic>
              <a:graphicData uri="http://schemas.openxmlformats.org/drawingml/2006/picture">
                <pic:pic>
                  <pic:nvPicPr>
                    <pic:cNvPr descr="images/CreatingStoredProcedures.png" id="0" name="Picture"/>
                    <pic:cNvPicPr>
                      <a:picLocks noChangeArrowheads="1" noChangeAspect="1"/>
                    </pic:cNvPicPr>
                  </pic:nvPicPr>
                  <pic:blipFill>
                    <a:blip r:embed="rId178"/>
                    <a:stretch>
                      <a:fillRect/>
                    </a:stretch>
                  </pic:blipFill>
                  <pic:spPr bwMode="auto">
                    <a:xfrm>
                      <a:off x="0" y="0"/>
                      <a:ext cx="3340100" cy="2540000"/>
                    </a:xfrm>
                    <a:prstGeom prst="rect">
                      <a:avLst/>
                    </a:prstGeom>
                    <a:noFill/>
                    <a:ln w="9525">
                      <a:noFill/>
                      <a:headEnd/>
                      <a:tailEnd/>
                    </a:ln>
                  </pic:spPr>
                </pic:pic>
              </a:graphicData>
            </a:graphic>
          </wp:inline>
        </w:drawing>
      </w:r>
    </w:p>
    <w:p>
      <w:pPr>
        <w:pStyle w:val="Heading2"/>
      </w:pPr>
      <w:bookmarkStart w:id="179" w:name="creating-a-multi-statement-table-valued-function-or-a-scalar-function-when-an-inline-function-is-possible"/>
      <w:r>
        <w:t xml:space="preserve">Creating a Multi-statement table-valued function, or a scalar function when an inline function is possible</w:t>
      </w:r>
      <w:bookmarkEnd w:id="179"/>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80" w:name="too-many-parameters-in-stored-procedures-or-functions"/>
      <w:r>
        <w:t xml:space="preserve">Too many parameters in stored procedures or functions</w:t>
      </w:r>
      <w:bookmarkEnd w:id="180"/>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81" w:name="duplicated-code"/>
      <w:r>
        <w:t xml:space="preserve">Duplicated code</w:t>
      </w:r>
      <w:bookmarkEnd w:id="181"/>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82" w:name="high-cyclomatic-complexity"/>
      <w:r>
        <w:t xml:space="preserve">High cyclomatic complexity</w:t>
      </w:r>
      <w:bookmarkEnd w:id="182"/>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83" w:name="using-an-order-by-clause-within-a-view"/>
      <w:r>
        <w:t xml:space="preserve">Using an ORDER BY clause within a view</w:t>
      </w:r>
      <w:bookmarkEnd w:id="183"/>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84">
        <w:r>
          <w:rPr>
            <w:rStyle w:val="Hyperlink"/>
          </w:rPr>
          <w:t xml:space="preserve">EI030 Order by in view or single-statement TVF</w:t>
        </w:r>
      </w:hyperlink>
    </w:p>
    <w:p>
      <w:pPr>
        <w:pStyle w:val="Heading2"/>
      </w:pPr>
      <w:bookmarkStart w:id="185" w:name="unnecessarily-using-stored-procedures-or-multiline-table-valued-functions-where-a-view-is-sufficient"/>
      <w:r>
        <w:t xml:space="preserve">Unnecessarily using stored procedures or multiline table-valued functions where a view is sufficient</w:t>
      </w:r>
      <w:bookmarkEnd w:id="185"/>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86" w:name="using-cursors"/>
      <w:r>
        <w:t xml:space="preserve">Using Cursors</w:t>
      </w:r>
      <w:bookmarkEnd w:id="186"/>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BodyText"/>
      </w:pPr>
      <w:r>
        <w:drawing>
          <wp:inline>
            <wp:extent cx="3568700" cy="2540000"/>
            <wp:effectExtent b="0" l="0" r="0" t="0"/>
            <wp:docPr descr="UsingCursors" title="" id="1" name="Picture"/>
            <a:graphic>
              <a:graphicData uri="http://schemas.openxmlformats.org/drawingml/2006/picture">
                <pic:pic>
                  <pic:nvPicPr>
                    <pic:cNvPr descr="images/UsingCursors.png" id="0" name="Picture"/>
                    <pic:cNvPicPr>
                      <a:picLocks noChangeArrowheads="1" noChangeAspect="1"/>
                    </pic:cNvPicPr>
                  </pic:nvPicPr>
                  <pic:blipFill>
                    <a:blip r:embed="rId187"/>
                    <a:stretch>
                      <a:fillRect/>
                    </a:stretch>
                  </pic:blipFill>
                  <pic:spPr bwMode="auto">
                    <a:xfrm>
                      <a:off x="0" y="0"/>
                      <a:ext cx="3568700" cy="2540000"/>
                    </a:xfrm>
                    <a:prstGeom prst="rect">
                      <a:avLst/>
                    </a:prstGeom>
                    <a:noFill/>
                    <a:ln w="9525">
                      <a:noFill/>
                      <a:headEnd/>
                      <a:tailEnd/>
                    </a:ln>
                  </pic:spPr>
                </pic:pic>
              </a:graphicData>
            </a:graphic>
          </wp:inline>
        </w:drawing>
      </w:r>
    </w:p>
    <w:p>
      <w:pPr>
        <w:pStyle w:val="Heading2"/>
      </w:pPr>
      <w:bookmarkStart w:id="188" w:name="you-have-not-explicitly-defined-the-scope-of-a-cursor"/>
      <w:r>
        <w:t xml:space="preserve">You have not explicitly defined the scope of a cursor</w:t>
      </w:r>
      <w:bookmarkEnd w:id="188"/>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89">
        <w:r>
          <w:rPr>
            <w:rStyle w:val="Hyperlink"/>
          </w:rPr>
          <w:t xml:space="preserve">BP015 Scope of cursor (LOCAL/GLOBAL) is not specified</w:t>
        </w:r>
      </w:hyperlink>
    </w:p>
    <w:p>
      <w:pPr>
        <w:pStyle w:val="Heading2"/>
      </w:pPr>
      <w:bookmarkStart w:id="190" w:name="overusing-clr-routines"/>
      <w:r>
        <w:t xml:space="preserve">Overusing CLR routines</w:t>
      </w:r>
      <w:bookmarkEnd w:id="190"/>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91" w:name="excessive-use-of-the-while-loop"/>
      <w:r>
        <w:t xml:space="preserve">Excessive use of the WHILE loop</w:t>
      </w:r>
      <w:bookmarkEnd w:id="191"/>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92" w:name="relying-on-the-insertexec-statement"/>
      <w:r>
        <w:t xml:space="preserve">Relying on the INSERT …​ EXEC statement</w:t>
      </w:r>
      <w:bookmarkEnd w:id="192"/>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93" w:name="stored-procedure-that-does-not-set-a-return-code"/>
      <w:r>
        <w:t xml:space="preserve">Executing stored procedure without getting result</w:t>
      </w:r>
      <w:bookmarkEnd w:id="193"/>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94">
        <w:r>
          <w:rPr>
            <w:rStyle w:val="Hyperlink"/>
          </w:rPr>
          <w:t xml:space="preserve">EI025 Executing stored procedure without getting result</w:t>
        </w:r>
      </w:hyperlink>
    </w:p>
    <w:p>
      <w:pPr>
        <w:pStyle w:val="Heading2"/>
      </w:pPr>
      <w:bookmarkStart w:id="195" w:name="forgetting-to-set-an-output-variable"/>
      <w:r>
        <w:t xml:space="preserve">Forgetting to set an output variable</w:t>
      </w:r>
      <w:bookmarkEnd w:id="195"/>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96">
        <w:r>
          <w:rPr>
            <w:rStyle w:val="Hyperlink"/>
          </w:rPr>
          <w:t xml:space="preserve">SR0013: Output parameter (parameter) is not populated in all code paths</w:t>
        </w:r>
      </w:hyperlink>
    </w:p>
    <w:p>
      <w:pPr>
        <w:pStyle w:val="Heading2"/>
      </w:pPr>
      <w:bookmarkStart w:id="197" w:name="specifying-parameters-by-order-rather-by-assignment-where-there-are-more-than-four-parameters"/>
      <w:r>
        <w:t xml:space="preserve">Specifying parameters by order rather by assignment, where there are more than four parameters</w:t>
      </w:r>
      <w:bookmarkEnd w:id="197"/>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98">
        <w:r>
          <w:rPr>
            <w:rStyle w:val="Hyperlink"/>
          </w:rPr>
          <w:t xml:space="preserve">EI018 Missing parameter(s) name in procedure call</w:t>
        </w:r>
      </w:hyperlink>
    </w:p>
    <w:p>
      <w:pPr>
        <w:pStyle w:val="Heading2"/>
      </w:pPr>
      <w:bookmarkStart w:id="199" w:name="try-to-avoid-using-hardcoded-references-to-other-databases."/>
      <w:r>
        <w:t xml:space="preserve">Try to avoid using hardcoded references to other databases.</w:t>
      </w:r>
      <w:bookmarkEnd w:id="199"/>
    </w:p>
    <w:p>
      <w:pPr>
        <w:pStyle w:val="FirstParagraph"/>
      </w:pPr>
      <w:r>
        <w:t xml:space="preserve">There is nothing wrong in executing procedures in other databases, but it is better to avoid hard-coding these references and use synonyms instead.</w:t>
      </w:r>
    </w:p>
    <w:p>
      <w:pPr>
        <w:pStyle w:val="BodyText"/>
      </w:pPr>
      <w:hyperlink r:id="rId200">
        <w:r>
          <w:rPr>
            <w:rStyle w:val="Hyperlink"/>
          </w:rPr>
          <w:t xml:space="preserve">EI016 Reference to procedure in other database</w:t>
        </w:r>
      </w:hyperlink>
    </w:p>
    <w:p>
      <w:pPr>
        <w:pStyle w:val="Heading2"/>
      </w:pPr>
      <w:bookmarkStart w:id="201" w:name="use-of-a-hardcoded-current-database-name-in-a-procedure-call"/>
      <w:r>
        <w:t xml:space="preserve">Use of a Hardcoded current database name in a procedure call</w:t>
      </w:r>
      <w:bookmarkEnd w:id="201"/>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202">
        <w:r>
          <w:rPr>
            <w:rStyle w:val="Hyperlink"/>
          </w:rPr>
          <w:t xml:space="preserve">EI017 Hardcoded current database name in procedure call</w:t>
        </w:r>
      </w:hyperlink>
    </w:p>
    <w:p>
      <w:pPr>
        <w:pStyle w:val="Heading2"/>
      </w:pPr>
      <w:bookmarkStart w:id="203" w:name="setting-the-quoted_identifier-or-ansi_nulls-options-inside-stored-procedures"/>
      <w:r>
        <w:t xml:space="preserve">Setting the QUOTED_IDENTIFIER or ANSI_NULLS options inside stored procedures</w:t>
      </w:r>
      <w:bookmarkEnd w:id="203"/>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204">
        <w:r>
          <w:rPr>
            <w:rStyle w:val="Hyperlink"/>
          </w:rPr>
          <w:t xml:space="preserve">MI008 QUOTED_IDENTIFIERS option inside stored procedure, trigger or function</w:t>
        </w:r>
      </w:hyperlink>
    </w:p>
    <w:p>
      <w:pPr>
        <w:pStyle w:val="Heading2"/>
      </w:pPr>
      <w:bookmarkStart w:id="205" w:name="creating-a-routine-with-ansi_nulls-or-quoted_identifier-options-set-to-off."/>
      <w:r>
        <w:t xml:space="preserve">Creating a routine with ANSI_NULLS or QUOTED_IDENTIFIER options set to OFF.</w:t>
      </w:r>
      <w:bookmarkEnd w:id="205"/>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206">
        <w:r>
          <w:rPr>
            <w:rStyle w:val="Hyperlink"/>
          </w:rPr>
          <w:t xml:space="preserve">DEP028 The SQL module was created with ANSI_NULLS and/or QUOTED_IDENTIFIER options set to OFF.</w:t>
        </w:r>
      </w:hyperlink>
    </w:p>
    <w:p>
      <w:pPr>
        <w:pStyle w:val="Heading2"/>
      </w:pPr>
      <w:bookmarkStart w:id="207" w:name="updating-a-primary-key-column"/>
      <w:r>
        <w:t xml:space="preserve">Updating a primary key column</w:t>
      </w:r>
      <w:bookmarkEnd w:id="207"/>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208" w:name="overusing-hints-to-force-a-particular-behaviour-in-joins"/>
      <w:r>
        <w:t xml:space="preserve">Overusing hints to force a particular behaviour in joins</w:t>
      </w:r>
      <w:bookmarkEnd w:id="208"/>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209" w:name="using-the-charindex-function-in-a-where-clause"/>
      <w:r>
        <w:t xml:space="preserve">Using the CHARINDEX function in a WHERE Clause</w:t>
      </w:r>
      <w:bookmarkEnd w:id="209"/>
    </w:p>
    <w:p>
      <w:pPr>
        <w:pStyle w:val="FirstParagraph"/>
      </w:pPr>
      <w:r>
        <w:t xml:space="preserve">Avoid using CHARINDEX in a WHERE clause to match strings if you can use LIKE (without a leading wildcard expression) to achieve the same results.</w:t>
      </w:r>
    </w:p>
    <w:p>
      <w:pPr>
        <w:pStyle w:val="Heading2"/>
      </w:pPr>
      <w:bookmarkStart w:id="210" w:name="using-the-nolock-hint"/>
      <w:r>
        <w:t xml:space="preserve">Using the NOLOCK hint</w:t>
      </w:r>
      <w:bookmarkEnd w:id="210"/>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211" w:name="using-a-waitfor-delaytime-statement-in-a-routine-or-batch"/>
      <w:r>
        <w:t xml:space="preserve">Using a WAITFOR DELAY/TIME statement in a routine or batch</w:t>
      </w:r>
      <w:bookmarkEnd w:id="211"/>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212">
        <w:r>
          <w:rPr>
            <w:rStyle w:val="Hyperlink"/>
          </w:rPr>
          <w:t xml:space="preserve">MI007 WAIT FOR DELAY/TIME used</w:t>
        </w:r>
      </w:hyperlink>
    </w:p>
    <w:p>
      <w:pPr>
        <w:pStyle w:val="Heading2"/>
      </w:pPr>
      <w:bookmarkStart w:id="213" w:name="using-set-rowcount-to-specify-how-many-rows-should-be-returned"/>
      <w:r>
        <w:t xml:space="preserve">Using SET ROWCOUNT to specify how many rows should be returned</w:t>
      </w:r>
      <w:bookmarkEnd w:id="213"/>
    </w:p>
    <w:p>
      <w:pPr>
        <w:pStyle w:val="FirstParagraph"/>
      </w:pPr>
      <w:r>
        <w:t xml:space="preserve">We had to use this option until the TOP clause (with ORDER BY) was implemented. The TOP option is much easier for the query optimizer.</w:t>
      </w:r>
    </w:p>
    <w:p>
      <w:pPr>
        <w:pStyle w:val="BodyText"/>
      </w:pPr>
      <w:hyperlink r:id="rId214">
        <w:r>
          <w:rPr>
            <w:rStyle w:val="Hyperlink"/>
          </w:rPr>
          <w:t xml:space="preserve">DEP014 SET ROWCOUNT option is deprecated.</w:t>
        </w:r>
      </w:hyperlink>
    </w:p>
    <w:p>
      <w:pPr>
        <w:pStyle w:val="Heading2"/>
      </w:pPr>
      <w:bookmarkStart w:id="215" w:name="using-top-100-percent-in-views-inline-functions-derived-tables-subqueries-and-common-table-expressions-ctes."/>
      <w:r>
        <w:t xml:space="preserve">Using TOP 100 PERCENT in views, inline functions, derived tables, subqueries, and common table expressions (CTEs).</w:t>
      </w:r>
      <w:bookmarkEnd w:id="215"/>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216" w:name="not-specifying-the-schema-name-for-a-procedure"/>
      <w:r>
        <w:t xml:space="preserve">Not specifying the Schema name for a procedure</w:t>
      </w:r>
      <w:bookmarkEnd w:id="216"/>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217" w:name="duplicating-names-of-objects-of-different-types"/>
      <w:r>
        <w:t xml:space="preserve">Duplicating names of objects of different types</w:t>
      </w:r>
      <w:bookmarkEnd w:id="217"/>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BodyText"/>
      </w:pPr>
      <w:r>
        <w:drawing>
          <wp:inline>
            <wp:extent cx="2590800" cy="1905000"/>
            <wp:effectExtent b="0" l="0" r="0" t="0"/>
            <wp:docPr descr="DuplicatingNamesOfObjects" title="" id="1" name="Picture"/>
            <a:graphic>
              <a:graphicData uri="http://schemas.openxmlformats.org/drawingml/2006/picture">
                <pic:pic>
                  <pic:nvPicPr>
                    <pic:cNvPr descr="images/DuplicatingNamesOfObjects.png" id="0" name="Picture"/>
                    <pic:cNvPicPr>
                      <a:picLocks noChangeArrowheads="1" noChangeAspect="1"/>
                    </pic:cNvPicPr>
                  </pic:nvPicPr>
                  <pic:blipFill>
                    <a:blip r:embed="rId218"/>
                    <a:stretch>
                      <a:fillRect/>
                    </a:stretch>
                  </pic:blipFill>
                  <pic:spPr bwMode="auto">
                    <a:xfrm>
                      <a:off x="0" y="0"/>
                      <a:ext cx="2590800" cy="1905000"/>
                    </a:xfrm>
                    <a:prstGeom prst="rect">
                      <a:avLst/>
                    </a:prstGeom>
                    <a:noFill/>
                    <a:ln w="9525">
                      <a:noFill/>
                      <a:headEnd/>
                      <a:tailEnd/>
                    </a:ln>
                  </pic:spPr>
                </pic:pic>
              </a:graphicData>
            </a:graphic>
          </wp:inline>
        </w:drawing>
      </w:r>
    </w:p>
    <w:p>
      <w:pPr>
        <w:pStyle w:val="Heading2"/>
      </w:pPr>
      <w:bookmarkStart w:id="219" w:name="using-while-not-done-loops-without-an-error-exit"/>
      <w:r>
        <w:t xml:space="preserve">Using WHILE (not done) loops without an error exit</w:t>
      </w:r>
      <w:bookmarkEnd w:id="219"/>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20" w:name="using-a-print-statement-or-statement-that-returns-a-result-in-a-trigger"/>
      <w:r>
        <w:t xml:space="preserve">Using a PRINT statement or statement that returns a result in a trigger</w:t>
      </w:r>
      <w:bookmarkEnd w:id="220"/>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21">
        <w:r>
          <w:rPr>
            <w:rStyle w:val="Hyperlink"/>
          </w:rPr>
          <w:t xml:space="preserve">PE011 PRINT statement is used in trigger</w:t>
        </w:r>
      </w:hyperlink>
    </w:p>
    <w:p>
      <w:pPr>
        <w:pStyle w:val="Heading2"/>
      </w:pPr>
      <w:bookmarkStart w:id="222" w:name="select-statement-in-trigger-that-returns-data-to-the-client"/>
      <w:r>
        <w:t xml:space="preserve">SELECT statement in trigger that returns data to the client</w:t>
      </w:r>
      <w:bookmarkEnd w:id="222"/>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23">
        <w:r>
          <w:rPr>
            <w:rStyle w:val="Hyperlink"/>
          </w:rPr>
          <w:t xml:space="preserve">BP003 SELECT in trigger</w:t>
        </w:r>
      </w:hyperlink>
    </w:p>
    <w:p>
      <w:pPr>
        <w:pStyle w:val="Heading2"/>
      </w:pPr>
      <w:bookmarkStart w:id="224" w:name="using-top-without-order-by"/>
      <w:r>
        <w:t xml:space="preserve">Using TOP without ORDER BY</w:t>
      </w:r>
      <w:bookmarkEnd w:id="224"/>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25">
        <w:r>
          <w:rPr>
            <w:rStyle w:val="Hyperlink"/>
          </w:rPr>
          <w:t xml:space="preserve">BP006 TOP without ORDER BY</w:t>
        </w:r>
      </w:hyperlink>
    </w:p>
    <w:p>
      <w:pPr>
        <w:pStyle w:val="Heading2"/>
      </w:pPr>
      <w:bookmarkStart w:id="226" w:name="using-a-case-statement-without-the-else-clause"/>
      <w:r>
        <w:t xml:space="preserve">Using a CASE statement without the ELSE clause</w:t>
      </w:r>
      <w:bookmarkEnd w:id="226"/>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27">
        <w:r>
          <w:rPr>
            <w:rStyle w:val="Hyperlink"/>
          </w:rPr>
          <w:t xml:space="preserve">BP012 CASE without ELSE</w:t>
        </w:r>
      </w:hyperlink>
    </w:p>
    <w:p>
      <w:pPr>
        <w:pStyle w:val="Heading2"/>
      </w:pPr>
      <w:bookmarkStart w:id="228" w:name="using-executestring"/>
      <w:r>
        <w:t xml:space="preserve">Using EXECUTE(string)</w:t>
      </w:r>
      <w:bookmarkEnd w:id="228"/>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29">
        <w:r>
          <w:rPr>
            <w:rStyle w:val="Hyperlink"/>
          </w:rPr>
          <w:t xml:space="preserve">BP013 EXECUTE(string) is used</w:t>
        </w:r>
      </w:hyperlink>
    </w:p>
    <w:p>
      <w:pPr>
        <w:pStyle w:val="Heading2"/>
      </w:pPr>
      <w:bookmarkStart w:id="230" w:name="using-the-group-by-all-column-group-by-number-compute-or-compute-by-clause"/>
      <w:r>
        <w:t xml:space="preserve">Using the GROUP BY ALL &lt;column&gt;, GROUP BY &lt;number&gt;, COMPUTE, or COMPUTE BY clause</w:t>
      </w:r>
      <w:bookmarkEnd w:id="230"/>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31" w:name="using-numbers-in-the-order-by-clause-to-specify-column-order"/>
      <w:r>
        <w:t xml:space="preserve">Using numbers in the ORDER BY clause to specify column order</w:t>
      </w:r>
      <w:bookmarkEnd w:id="231"/>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32">
        <w:r>
          <w:rPr>
            <w:rStyle w:val="Hyperlink"/>
          </w:rPr>
          <w:t xml:space="preserve">DEP003 GROUP BY ALL clause is deprecated.</w:t>
        </w:r>
      </w:hyperlink>
    </w:p>
    <w:p>
      <w:pPr>
        <w:pStyle w:val="Heading2"/>
      </w:pPr>
      <w:bookmarkStart w:id="233" w:name="using-unnecessary-three-part-and-four-part-column-references-in-a-select-list"/>
      <w:r>
        <w:t xml:space="preserve">Using unnecessary three-part and four-part column references in a select list</w:t>
      </w:r>
      <w:bookmarkEnd w:id="233"/>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34">
        <w:r>
          <w:rPr>
            <w:rStyle w:val="Hyperlink"/>
          </w:rPr>
          <w:t xml:space="preserve">DEP026 Three-part and four-part column references in SELECT list are deprecated.</w:t>
        </w:r>
      </w:hyperlink>
    </w:p>
    <w:p>
      <w:pPr>
        <w:pStyle w:val="Heading2"/>
      </w:pPr>
      <w:bookmarkStart w:id="235" w:name="using-range-rather-than-rows-in-sql-server-2012"/>
      <w:r>
        <w:t xml:space="preserve">Using RANGE rather than ROWS in SQL Server 2012</w:t>
      </w:r>
      <w:bookmarkEnd w:id="235"/>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36" w:name="doing-complex-error-handling-in-a-transaction-before-the-rollback-command"/>
      <w:r>
        <w:t xml:space="preserve">Doing complex error-handling in a transaction before the ROLLBACK command</w:t>
      </w:r>
      <w:bookmarkEnd w:id="236"/>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37" w:name="use-of-begin-transaction-without-rollback-transaction"/>
      <w:r>
        <w:t xml:space="preserve">Use of BEGIN TRANSACTION without ROLLBACK TRANSACTION</w:t>
      </w:r>
      <w:bookmarkEnd w:id="237"/>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38">
        <w:r>
          <w:rPr>
            <w:rStyle w:val="Hyperlink"/>
          </w:rPr>
          <w:t xml:space="preserve">EI019 BEGIN TRANSACTION without ROLLBACK TRANSACTION</w:t>
        </w:r>
      </w:hyperlink>
    </w:p>
    <w:p>
      <w:pPr>
        <w:pStyle w:val="Heading2"/>
      </w:pPr>
      <w:bookmarkStart w:id="239" w:name="use-of-rollback-transaction-without-begin-transaction"/>
      <w:r>
        <w:t xml:space="preserve">Use of ROLLBACK TRANSACTION without BEGIN TRANSACTION</w:t>
      </w:r>
      <w:bookmarkEnd w:id="239"/>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40">
        <w:r>
          <w:rPr>
            <w:rStyle w:val="Hyperlink"/>
          </w:rPr>
          <w:t xml:space="preserve">EI020 ROLLBACK TRANSACTION without BEGIN TRANSACTION</w:t>
        </w:r>
      </w:hyperlink>
    </w:p>
    <w:p>
      <w:pPr>
        <w:pStyle w:val="Heading2"/>
      </w:pPr>
      <w:bookmarkStart w:id="241" w:name="not-defining-a-default-value-for-a-select-assignment-to-a-variable"/>
      <w:r>
        <w:t xml:space="preserve">Not defining a default value for a SELECT assignment to a variable</w:t>
      </w:r>
      <w:bookmarkEnd w:id="241"/>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42" w:name="not-defining-a-default-value-for-a-set-assignment-that-is-the-result-of-a-query"/>
      <w:r>
        <w:t xml:space="preserve">Not defining a default value for a SET assignment that is the result of a query</w:t>
      </w:r>
      <w:bookmarkEnd w:id="242"/>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43" w:name="the-value-of-a-nullable-column-is-not-checked-for-nulls-when-used-in-an-expression"/>
      <w:r>
        <w:t xml:space="preserve">The value of a nullable column is not checked for NULLs when used in an expression</w:t>
      </w:r>
      <w:bookmarkEnd w:id="243"/>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44" w:name="using-the-nullif-expression"/>
      <w:r>
        <w:t xml:space="preserve">Using the NULLIF expression</w:t>
      </w:r>
      <w:bookmarkEnd w:id="244"/>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45" w:name="not-putting-all-the-ddl-statements-at-the-beginning-of-the-batch"/>
      <w:r>
        <w:t xml:space="preserve">Not putting all the DDL statements at the beginning of the batch</w:t>
      </w:r>
      <w:bookmarkEnd w:id="245"/>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46">
        <w:r>
          <w:rPr>
            <w:rStyle w:val="Hyperlink"/>
          </w:rPr>
          <w:t xml:space="preserve">PE010 Interleaving DDL and DML in stored procedure/trigger.</w:t>
        </w:r>
      </w:hyperlink>
    </w:p>
    <w:p>
      <w:pPr>
        <w:pStyle w:val="Heading2"/>
      </w:pPr>
      <w:bookmarkStart w:id="247" w:name="using-meaningless-aliases-for-tables-e.g.-a-b-c-d-e"/>
      <w:r>
        <w:t xml:space="preserve">Using meaningless aliases for tables (e.g., a, b, c, d, e)</w:t>
      </w:r>
      <w:bookmarkEnd w:id="247"/>
    </w:p>
    <w:p>
      <w:pPr>
        <w:pStyle w:val="FirstParagraph"/>
      </w:pPr>
      <w:r>
        <w:t xml:space="preserve">Aliases aren’t actually meant to cut down on the typing but rather to make your code clearer. To use single characters is antisocial.</w:t>
      </w:r>
    </w:p>
    <w:p>
      <w:pPr>
        <w:pStyle w:val="Heading2"/>
      </w:pPr>
      <w:bookmarkStart w:id="248" w:name="variable-type-is-not-fully-compatible-with-procedure-parameter-type"/>
      <w:r>
        <w:t xml:space="preserve">Variable type is not fully compatible with procedure parameter type</w:t>
      </w:r>
      <w:bookmarkEnd w:id="248"/>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49">
        <w:r>
          <w:rPr>
            <w:rStyle w:val="Hyperlink"/>
          </w:rPr>
          <w:t xml:space="preserve">EI001 Incompatible variable type for procedure call</w:t>
        </w:r>
      </w:hyperlink>
    </w:p>
    <w:p>
      <w:pPr>
        <w:pStyle w:val="Heading2"/>
      </w:pPr>
      <w:bookmarkStart w:id="250" w:name="literal-type-is-not-fully-compatible-with-procedure-parameter-type"/>
      <w:r>
        <w:t xml:space="preserve">Literal type is not fully compatible with procedure parameter type</w:t>
      </w:r>
      <w:bookmarkEnd w:id="250"/>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51">
        <w:r>
          <w:rPr>
            <w:rStyle w:val="Hyperlink"/>
          </w:rPr>
          <w:t xml:space="preserve">EI002 Incompatible literal type for procedure call</w:t>
        </w:r>
      </w:hyperlink>
    </w:p>
    <w:p>
      <w:pPr>
        <w:pStyle w:val="Heading2"/>
      </w:pPr>
      <w:bookmarkStart w:id="252" w:name="subquery-may-return-more-than-one-row"/>
      <w:r>
        <w:t xml:space="preserve">Subquery may return more than one row</w:t>
      </w:r>
      <w:bookmarkEnd w:id="252"/>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53">
        <w:r>
          <w:rPr>
            <w:rStyle w:val="Hyperlink"/>
          </w:rPr>
          <w:t xml:space="preserve">EI003 Non-scalar subquery in place of a scalar</w:t>
        </w:r>
      </w:hyperlink>
    </w:p>
    <w:p>
      <w:pPr>
        <w:pStyle w:val="Heading2"/>
      </w:pPr>
      <w:bookmarkStart w:id="254" w:name="a-named-parameter-is-not-found-in-parameter-list-of-a-procedure"/>
      <w:r>
        <w:t xml:space="preserve">A named parameter is not found in parameter list of a procedure</w:t>
      </w:r>
      <w:bookmarkEnd w:id="254"/>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55">
        <w:r>
          <w:rPr>
            <w:rStyle w:val="Hyperlink"/>
          </w:rPr>
          <w:t xml:space="preserve">EI004 Extra parameter passed</w:t>
        </w:r>
      </w:hyperlink>
    </w:p>
    <w:p>
      <w:pPr>
        <w:pStyle w:val="Heading2"/>
      </w:pPr>
      <w:bookmarkStart w:id="256" w:name="use-of-the-position-notation-after-the-named-notation-for-parameters-when-calling-a-procedure"/>
      <w:r>
        <w:t xml:space="preserve">Use of the position notation after the named notation for parameters when calling a procedure</w:t>
      </w:r>
      <w:bookmarkEnd w:id="256"/>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57">
        <w:r>
          <w:rPr>
            <w:rStyle w:val="Hyperlink"/>
          </w:rPr>
          <w:t xml:space="preserve">EI005 Unnamed call after named call</w:t>
        </w:r>
      </w:hyperlink>
    </w:p>
    <w:p>
      <w:pPr>
        <w:pStyle w:val="Heading2"/>
      </w:pPr>
      <w:bookmarkStart w:id="258" w:name="parameter-is-not-passed-to-a-procedure-and-no-default-is-provided."/>
      <w:r>
        <w:t xml:space="preserve">Parameter is not passed to a procedure and no default is provided.</w:t>
      </w:r>
      <w:bookmarkEnd w:id="258"/>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59">
        <w:r>
          <w:rPr>
            <w:rStyle w:val="Hyperlink"/>
          </w:rPr>
          <w:t xml:space="preserve">EI006 Required parameter is not passed</w:t>
        </w:r>
      </w:hyperlink>
    </w:p>
    <w:p>
      <w:pPr>
        <w:pStyle w:val="Heading2"/>
      </w:pPr>
      <w:bookmarkStart w:id="260" w:name="procedure-parameter-is-not-defined-as-output-but-marked-as-output-in-procedure-call-statement."/>
      <w:r>
        <w:t xml:space="preserve">Procedure parameter is not defined as OUTPUT, but marked as OUTPUT in procedure call statement.</w:t>
      </w:r>
      <w:bookmarkEnd w:id="260"/>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61">
        <w:r>
          <w:rPr>
            <w:rStyle w:val="Hyperlink"/>
          </w:rPr>
          <w:t xml:space="preserve">EI007 Call parameter declared as output</w:t>
        </w:r>
      </w:hyperlink>
    </w:p>
    <w:p>
      <w:pPr>
        <w:pStyle w:val="Heading2"/>
      </w:pPr>
      <w:bookmarkStart w:id="262" w:name="procedure-parameter-is-defined-as-output-but-is-not-marked-as-output-in-procedure-call-statement."/>
      <w:r>
        <w:t xml:space="preserve">Procedure parameter is defined as OUTPUT, but is not marked as OUTPUT in procedure call statement.</w:t>
      </w:r>
      <w:bookmarkEnd w:id="262"/>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63">
        <w:r>
          <w:rPr>
            <w:rStyle w:val="Hyperlink"/>
          </w:rPr>
          <w:t xml:space="preserve">EI008 Call parameter is not declared as output</w:t>
        </w:r>
      </w:hyperlink>
    </w:p>
    <w:p>
      <w:pPr>
        <w:pStyle w:val="Heading2"/>
      </w:pPr>
      <w:bookmarkStart w:id="264" w:name="number-of-passed-parameters-exceeds-the-number-of-procedure-parameters"/>
      <w:r>
        <w:t xml:space="preserve">Number of passed parameters exceeds the number of procedure parameters</w:t>
      </w:r>
      <w:bookmarkEnd w:id="264"/>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65">
        <w:r>
          <w:rPr>
            <w:rStyle w:val="Hyperlink"/>
          </w:rPr>
          <w:t xml:space="preserve">EI009 Call has more parameters than required</w:t>
        </w:r>
      </w:hyperlink>
    </w:p>
    <w:p>
      <w:pPr>
        <w:pStyle w:val="Heading1"/>
      </w:pPr>
      <w:bookmarkStart w:id="266" w:name="security-loopholes"/>
      <w:r>
        <w:t xml:space="preserve">Security Loopholes</w:t>
      </w:r>
      <w:bookmarkEnd w:id="266"/>
    </w:p>
    <w:p>
      <w:pPr>
        <w:pStyle w:val="FirstParagraph"/>
      </w:pPr>
      <w:r>
        <w:drawing>
          <wp:inline>
            <wp:extent cx="3073400" cy="2540000"/>
            <wp:effectExtent b="0" l="0" r="0" t="0"/>
            <wp:docPr descr="SecurityLoopholes" title="" id="1" name="Picture"/>
            <a:graphic>
              <a:graphicData uri="http://schemas.openxmlformats.org/drawingml/2006/picture">
                <pic:pic>
                  <pic:nvPicPr>
                    <pic:cNvPr descr="images/SecurityLoopholes.png" id="0" name="Picture"/>
                    <pic:cNvPicPr>
                      <a:picLocks noChangeArrowheads="1" noChangeAspect="1"/>
                    </pic:cNvPicPr>
                  </pic:nvPicPr>
                  <pic:blipFill>
                    <a:blip r:embed="rId267"/>
                    <a:stretch>
                      <a:fillRect/>
                    </a:stretch>
                  </pic:blipFill>
                  <pic:spPr bwMode="auto">
                    <a:xfrm>
                      <a:off x="0" y="0"/>
                      <a:ext cx="3073400" cy="2540000"/>
                    </a:xfrm>
                    <a:prstGeom prst="rect">
                      <a:avLst/>
                    </a:prstGeom>
                    <a:noFill/>
                    <a:ln w="9525">
                      <a:noFill/>
                      <a:headEnd/>
                      <a:tailEnd/>
                    </a:ln>
                  </pic:spPr>
                </pic:pic>
              </a:graphicData>
            </a:graphic>
          </wp:inline>
        </w:drawing>
      </w:r>
    </w:p>
    <w:p>
      <w:pPr>
        <w:pStyle w:val="Heading2"/>
      </w:pPr>
      <w:bookmarkStart w:id="268" w:name="using-sql-server-logins-especially-without-password-expirations-or-windows-password-policy"/>
      <w:r>
        <w:t xml:space="preserve">Using SQL Server logins, especially without password expirations or Windows password policy</w:t>
      </w:r>
      <w:bookmarkEnd w:id="268"/>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69" w:name="using-the-xp_cmdshell-system-stored-procedure"/>
      <w:r>
        <w:t xml:space="preserve">Using the xp_cmdshell system stored procedure</w:t>
      </w:r>
      <w:bookmarkEnd w:id="269"/>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70" w:name="authentication-set-to-mixed-mode"/>
      <w:r>
        <w:t xml:space="preserve">Authentication set to Mixed Mode</w:t>
      </w:r>
      <w:bookmarkEnd w:id="270"/>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71" w:name="using-dynamic-sql-without-the-with-execute-as-clause"/>
      <w:r>
        <w:t xml:space="preserve">Using dynamic SQL without the WITH EXECUTE AS clause</w:t>
      </w:r>
      <w:bookmarkEnd w:id="271"/>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72" w:name="using-dynamic-sql-with-the-possibility-of-sql-injection"/>
      <w:r>
        <w:t xml:space="preserve">Using dynamic SQL with the possibility of SQL injection</w:t>
      </w:r>
      <w:bookmarkEnd w:id="272"/>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29">
        <w:r>
          <w:rPr>
            <w:rStyle w:val="Hyperlink"/>
          </w:rPr>
          <w:t xml:space="preserve">BP013 EXECUTE(string) is used</w:t>
        </w:r>
      </w:hyperlink>
    </w:p>
    <w:p>
      <w:pPr>
        <w:pStyle w:val="Heading1"/>
      </w:pPr>
      <w:bookmarkStart w:id="273" w:name="_acknowledgements"/>
      <w:r>
        <w:t xml:space="preserve">Acknowledgements</w:t>
      </w:r>
      <w:bookmarkEnd w:id="273"/>
    </w:p>
    <w:p>
      <w:pPr>
        <w:pStyle w:val="FirstParagraph"/>
      </w:pPr>
      <w:r>
        <w:t xml:space="preserve">For a booklet like this, it is best to go with the</w:t>
      </w:r>
      <w:r>
        <w:t xml:space="preserve"> </w:t>
      </w:r>
      <w:r>
        <w:t xml:space="preserve">established opinion of what constitutes a SQL</w:t>
      </w:r>
      <w:r>
        <w:t xml:space="preserve"> </w:t>
      </w:r>
      <w:r>
        <w:t xml:space="preserve">Code Smell. There is little room for creativity. In</w:t>
      </w:r>
      <w:r>
        <w:t xml:space="preserve"> </w:t>
      </w:r>
      <w:r>
        <w:t xml:space="preserve">order to identify only those SQL coding habits that</w:t>
      </w:r>
      <w:r>
        <w:t xml:space="preserve"> </w:t>
      </w:r>
      <w:r>
        <w:t xml:space="preserve">could, in some circumstances, lead to problems,</w:t>
      </w:r>
      <w:r>
        <w:t xml:space="preserve"> </w:t>
      </w:r>
      <w:r>
        <w:t xml:space="preserve">I must rely on the help of experts, and I am very</w:t>
      </w:r>
      <w:r>
        <w:t xml:space="preserve"> </w:t>
      </w:r>
      <w:r>
        <w:t xml:space="preserve">grateful for the help, support and writings of the</w:t>
      </w:r>
      <w:r>
        <w:t xml:space="preserve"> </w:t>
      </w:r>
      <w:r>
        <w:t xml:space="preserve">following people in particular.</w:t>
      </w:r>
    </w:p>
    <w:p>
      <w:pPr>
        <w:numPr>
          <w:numId w:val="1003"/>
          <w:ilvl w:val="0"/>
        </w:numPr>
      </w:pPr>
      <w:r>
        <w:t xml:space="preserve">Dave Howard</w:t>
      </w:r>
    </w:p>
    <w:p>
      <w:pPr>
        <w:numPr>
          <w:numId w:val="1003"/>
          <w:ilvl w:val="0"/>
        </w:numPr>
      </w:pPr>
      <w:r>
        <w:t xml:space="preserve">Merrill Aldrich</w:t>
      </w:r>
    </w:p>
    <w:p>
      <w:pPr>
        <w:numPr>
          <w:numId w:val="1003"/>
          <w:ilvl w:val="0"/>
        </w:numPr>
      </w:pPr>
      <w:r>
        <w:t xml:space="preserve">Plamen Ratchev</w:t>
      </w:r>
    </w:p>
    <w:p>
      <w:pPr>
        <w:numPr>
          <w:numId w:val="1003"/>
          <w:ilvl w:val="0"/>
        </w:numPr>
      </w:pPr>
      <w:r>
        <w:t xml:space="preserve">Dave Levy</w:t>
      </w:r>
    </w:p>
    <w:p>
      <w:pPr>
        <w:numPr>
          <w:numId w:val="1003"/>
          <w:ilvl w:val="0"/>
        </w:numPr>
      </w:pPr>
      <w:r>
        <w:t xml:space="preserve">Mike Reigler</w:t>
      </w:r>
    </w:p>
    <w:p>
      <w:pPr>
        <w:numPr>
          <w:numId w:val="1003"/>
          <w:ilvl w:val="0"/>
        </w:numPr>
      </w:pPr>
      <w:r>
        <w:t xml:space="preserve">Anil Das</w:t>
      </w:r>
    </w:p>
    <w:p>
      <w:pPr>
        <w:numPr>
          <w:numId w:val="1003"/>
          <w:ilvl w:val="0"/>
        </w:numPr>
      </w:pPr>
      <w:r>
        <w:t xml:space="preserve">Adrian Hills</w:t>
      </w:r>
    </w:p>
    <w:p>
      <w:pPr>
        <w:numPr>
          <w:numId w:val="1003"/>
          <w:ilvl w:val="0"/>
        </w:numPr>
      </w:pPr>
      <w:r>
        <w:t xml:space="preserve">Sam Stange</w:t>
      </w:r>
    </w:p>
    <w:p>
      <w:pPr>
        <w:numPr>
          <w:numId w:val="1003"/>
          <w:ilvl w:val="0"/>
        </w:numPr>
      </w:pPr>
      <w:r>
        <w:t xml:space="preserve">Ian Stirk</w:t>
      </w:r>
    </w:p>
    <w:p>
      <w:pPr>
        <w:numPr>
          <w:numId w:val="1003"/>
          <w:ilvl w:val="0"/>
        </w:numPr>
      </w:pPr>
      <w:r>
        <w:t xml:space="preserve">Aaron Bertrand</w:t>
      </w:r>
    </w:p>
    <w:p>
      <w:pPr>
        <w:numPr>
          <w:numId w:val="1003"/>
          <w:ilvl w:val="0"/>
        </w:numPr>
      </w:pPr>
      <w:r>
        <w:t xml:space="preserve">Neil Hambly</w:t>
      </w:r>
    </w:p>
    <w:p>
      <w:pPr>
        <w:numPr>
          <w:numId w:val="1003"/>
          <w:ilvl w:val="0"/>
        </w:numPr>
      </w:pPr>
      <w:r>
        <w:t xml:space="preserve">Matt Whitfield</w:t>
      </w:r>
    </w:p>
    <w:p>
      <w:pPr>
        <w:numPr>
          <w:numId w:val="1003"/>
          <w:ilvl w:val="0"/>
        </w:numPr>
      </w:pPr>
      <w:r>
        <w:t xml:space="preserve">Nick Harrison</w:t>
      </w:r>
    </w:p>
    <w:p>
      <w:pPr>
        <w:numPr>
          <w:numId w:val="1003"/>
          <w:ilvl w:val="0"/>
        </w:numPr>
      </w:pPr>
      <w:r>
        <w:t xml:space="preserve">Bill Fellows</w:t>
      </w:r>
    </w:p>
    <w:p>
      <w:pPr>
        <w:numPr>
          <w:numId w:val="1003"/>
          <w:ilvl w:val="0"/>
        </w:numPr>
      </w:pPr>
      <w:r>
        <w:t xml:space="preserve">Jeremiah Peschka</w:t>
      </w:r>
    </w:p>
    <w:p>
      <w:pPr>
        <w:numPr>
          <w:numId w:val="1003"/>
          <w:ilvl w:val="0"/>
        </w:numPr>
      </w:pPr>
      <w:r>
        <w:t xml:space="preserve">Diane McNurlan</w:t>
      </w:r>
    </w:p>
    <w:p>
      <w:pPr>
        <w:numPr>
          <w:numId w:val="1003"/>
          <w:ilvl w:val="0"/>
        </w:numPr>
      </w:pPr>
      <w:r>
        <w:t xml:space="preserve">Robert L Davis</w:t>
      </w:r>
    </w:p>
    <w:p>
      <w:pPr>
        <w:numPr>
          <w:numId w:val="1003"/>
          <w:ilvl w:val="0"/>
        </w:numPr>
      </w:pPr>
      <w:r>
        <w:t xml:space="preserve">Dave Ballantyne</w:t>
      </w:r>
    </w:p>
    <w:p>
      <w:pPr>
        <w:numPr>
          <w:numId w:val="1003"/>
          <w:ilvl w:val="0"/>
        </w:numPr>
      </w:pPr>
      <w:r>
        <w:t xml:space="preserve">John Stafford</w:t>
      </w:r>
    </w:p>
    <w:p>
      <w:pPr>
        <w:numPr>
          <w:numId w:val="1003"/>
          <w:ilvl w:val="0"/>
        </w:numPr>
      </w:pPr>
      <w:r>
        <w:t xml:space="preserve">Alex Kusnetsov</w:t>
      </w:r>
    </w:p>
    <w:p>
      <w:pPr>
        <w:numPr>
          <w:numId w:val="1003"/>
          <w:ilvl w:val="0"/>
        </w:numPr>
      </w:pPr>
      <w:r>
        <w:t xml:space="preserve">Gail Shaw</w:t>
      </w:r>
    </w:p>
    <w:p>
      <w:pPr>
        <w:numPr>
          <w:numId w:val="1003"/>
          <w:ilvl w:val="0"/>
        </w:numPr>
      </w:pPr>
      <w:r>
        <w:t xml:space="preserve">Jeff Moden</w:t>
      </w:r>
    </w:p>
    <w:p>
      <w:pPr>
        <w:numPr>
          <w:numId w:val="1003"/>
          <w:ilvl w:val="0"/>
        </w:numPr>
      </w:pPr>
      <w:r>
        <w:t xml:space="preserve">Joe Celko</w:t>
      </w:r>
    </w:p>
    <w:p>
      <w:pPr>
        <w:numPr>
          <w:numId w:val="1003"/>
          <w:ilvl w:val="0"/>
        </w:numPr>
      </w:pPr>
      <w:r>
        <w:t xml:space="preserve">Robert Young</w:t>
      </w:r>
    </w:p>
    <w:p>
      <w:pPr>
        <w:pStyle w:val="FirstParagraph"/>
      </w:pPr>
      <w:r>
        <w:t xml:space="preserve">And special thanks to our technical referees, Grant Fritchey and Jonathan Allen.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d11d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786fac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d62b4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65" Target="media/rId65.png" /><Relationship Type="http://schemas.openxmlformats.org/officeDocument/2006/relationships/image" Id="rId142" Target="media/rId142.png" /><Relationship Type="http://schemas.openxmlformats.org/officeDocument/2006/relationships/image" Id="rId218" Target="media/rId218.png" /><Relationship Type="http://schemas.openxmlformats.org/officeDocument/2006/relationships/image" Id="rId95" Target="media/rId95.png" /><Relationship Type="http://schemas.openxmlformats.org/officeDocument/2006/relationships/image" Id="rId110" Target="media/rId110.png" /><Relationship Type="http://schemas.openxmlformats.org/officeDocument/2006/relationships/image" Id="rId126" Target="media/rId126.png" /><Relationship Type="http://schemas.openxmlformats.org/officeDocument/2006/relationships/image" Id="rId35" Target="media/rId35.png" /><Relationship Type="http://schemas.openxmlformats.org/officeDocument/2006/relationships/image" Id="rId267" Target="media/rId267.png" /><Relationship Type="http://schemas.openxmlformats.org/officeDocument/2006/relationships/image" Id="rId52" Target="media/rId52.png" /><Relationship Type="http://schemas.openxmlformats.org/officeDocument/2006/relationships/image" Id="rId187" Target="media/rId187.png" /><Relationship Type="http://schemas.openxmlformats.org/officeDocument/2006/relationships/image" Id="rId40" Target="media/rId40.pn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8" Target="http://en.wikipedia.org/wiki/Design_pattern_(computer_science)" TargetMode="External" /><Relationship Type="http://schemas.openxmlformats.org/officeDocument/2006/relationships/hyperlink" Id="rId167" Target="http://msdn.microsoft.com/en-us/library/dd172134(v=vs.100).aspx" TargetMode="External" /><Relationship Type="http://schemas.openxmlformats.org/officeDocument/2006/relationships/hyperlink" Id="rId196" Target="http://msdn.microsoft.com/en-us/library/dd172136(v=vs.100).aspx" TargetMode="External" /><Relationship Type="http://schemas.openxmlformats.org/officeDocument/2006/relationships/hyperlink" Id="rId131" Target="http://msdn.microsoft.com/en-us/library/dd193249(v=vs.100).aspx" TargetMode="External" /><Relationship Type="http://schemas.openxmlformats.org/officeDocument/2006/relationships/hyperlink" Id="rId144" Target="http://msdn.microsoft.com/en-us/library/dd193264(v=vs.100).aspx" TargetMode="External" /><Relationship Type="http://schemas.openxmlformats.org/officeDocument/2006/relationships/hyperlink" Id="rId129" Target="http://msdn.microsoft.com/en-us/library/dd193267(v=vs.100).aspx" TargetMode="External" /><Relationship Type="http://schemas.openxmlformats.org/officeDocument/2006/relationships/hyperlink" Id="rId96" Target="http://msdn.microsoft.com/en-us/library/dd193269(v=vs.100).aspx" TargetMode="External" /><Relationship Type="http://schemas.openxmlformats.org/officeDocument/2006/relationships/hyperlink" Id="rId133" Target="http://msdn.microsoft.com/en-us/library/dd193273(v=vs.100).aspx" TargetMode="External" /><Relationship Type="http://schemas.openxmlformats.org/officeDocument/2006/relationships/hyperlink" Id="rId146" Target="http://msdn.microsoft.com/en-us/library/dd193285(v=vs.100).aspx" TargetMode="External" /><Relationship Type="http://schemas.openxmlformats.org/officeDocument/2006/relationships/hyperlink" Id="rId103" Target="http://msdn.microsoft.com/en-us/library/dd193296(v=vs.100).aspx" TargetMode="External" /><Relationship Type="http://schemas.openxmlformats.org/officeDocument/2006/relationships/hyperlink" Id="rId165"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5" Target="https://documentation.red-gate.com/codeanalysis/best-practice-rules/bp002" TargetMode="External" /><Relationship Type="http://schemas.openxmlformats.org/officeDocument/2006/relationships/hyperlink" Id="rId223" Target="https://documentation.red-gate.com/codeanalysis/best-practice-rules/bp003" TargetMode="External" /><Relationship Type="http://schemas.openxmlformats.org/officeDocument/2006/relationships/hyperlink" Id="rId122" Target="https://documentation.red-gate.com/codeanalysis/best-practice-rules/bp004" TargetMode="External" /><Relationship Type="http://schemas.openxmlformats.org/officeDocument/2006/relationships/hyperlink" Id="rId101" Target="https://documentation.red-gate.com/codeanalysis/best-practice-rules/bp005" TargetMode="External" /><Relationship Type="http://schemas.openxmlformats.org/officeDocument/2006/relationships/hyperlink" Id="rId225" Target="https://documentation.red-gate.com/codeanalysis/best-practice-rules/bp006" TargetMode="External" /><Relationship Type="http://schemas.openxmlformats.org/officeDocument/2006/relationships/hyperlink" Id="rId86" Target="https://documentation.red-gate.com/codeanalysis/best-practice-rules/bp007" TargetMode="External" /><Relationship Type="http://schemas.openxmlformats.org/officeDocument/2006/relationships/hyperlink" Id="rId80" Target="https://documentation.red-gate.com/codeanalysis/best-practice-rules/bp008" TargetMode="External" /><Relationship Type="http://schemas.openxmlformats.org/officeDocument/2006/relationships/hyperlink" Id="rId98" Target="https://documentation.red-gate.com/codeanalysis/best-practice-rules/bp010" TargetMode="External" /><Relationship Type="http://schemas.openxmlformats.org/officeDocument/2006/relationships/hyperlink" Id="rId137" Target="https://documentation.red-gate.com/codeanalysis/best-practice-rules/bp011" TargetMode="External" /><Relationship Type="http://schemas.openxmlformats.org/officeDocument/2006/relationships/hyperlink" Id="rId227" Target="https://documentation.red-gate.com/codeanalysis/best-practice-rules/bp012" TargetMode="External" /><Relationship Type="http://schemas.openxmlformats.org/officeDocument/2006/relationships/hyperlink" Id="rId229" Target="https://documentation.red-gate.com/codeanalysis/best-practice-rules/bp013" TargetMode="External" /><Relationship Type="http://schemas.openxmlformats.org/officeDocument/2006/relationships/hyperlink" Id="rId61" Target="https://documentation.red-gate.com/codeanalysis/best-practice-rules/bp014" TargetMode="External" /><Relationship Type="http://schemas.openxmlformats.org/officeDocument/2006/relationships/hyperlink" Id="rId189" Target="https://documentation.red-gate.com/codeanalysis/best-practice-rules/bp015" TargetMode="External" /><Relationship Type="http://schemas.openxmlformats.org/officeDocument/2006/relationships/hyperlink" Id="rId174" Target="https://documentation.red-gate.com/codeanalysis/best-practice-rules/bp016" TargetMode="External" /><Relationship Type="http://schemas.openxmlformats.org/officeDocument/2006/relationships/hyperlink" Id="rId155" Target="https://documentation.red-gate.com/codeanalysis/best-practice-rules/bp017" TargetMode="External" /><Relationship Type="http://schemas.openxmlformats.org/officeDocument/2006/relationships/hyperlink" Id="rId157"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2" Target="https://documentation.red-gate.com/codeanalysis/deprecated-syntax-rules/dep001" TargetMode="External" /><Relationship Type="http://schemas.openxmlformats.org/officeDocument/2006/relationships/hyperlink" Id="rId71" Target="https://documentation.red-gate.com/codeanalysis/deprecated-syntax-rules/dep002" TargetMode="External" /><Relationship Type="http://schemas.openxmlformats.org/officeDocument/2006/relationships/hyperlink" Id="rId232" Target="https://documentation.red-gate.com/codeanalysis/deprecated-syntax-rules/dep003" TargetMode="External" /><Relationship Type="http://schemas.openxmlformats.org/officeDocument/2006/relationships/hyperlink" Id="rId214" Target="https://documentation.red-gate.com/codeanalysis/deprecated-syntax-rules/dep014" TargetMode="External" /><Relationship Type="http://schemas.openxmlformats.org/officeDocument/2006/relationships/hyperlink" Id="rId113" Target="https://documentation.red-gate.com/codeanalysis/deprecated-syntax-rules/dep017" TargetMode="External" /><Relationship Type="http://schemas.openxmlformats.org/officeDocument/2006/relationships/hyperlink" Id="rId234" Target="https://documentation.red-gate.com/codeanalysis/deprecated-syntax-rules/dep026" TargetMode="External" /><Relationship Type="http://schemas.openxmlformats.org/officeDocument/2006/relationships/hyperlink" Id="rId206" Target="https://documentation.red-gate.com/codeanalysis/deprecated-syntax-rules/dep028" TargetMode="External" /><Relationship Type="http://schemas.openxmlformats.org/officeDocument/2006/relationships/hyperlink" Id="rId249" Target="https://documentation.red-gate.com/codeanalysis/execution-rules/ei001" TargetMode="External" /><Relationship Type="http://schemas.openxmlformats.org/officeDocument/2006/relationships/hyperlink" Id="rId251" Target="https://documentation.red-gate.com/codeanalysis/execution-rules/ei002" TargetMode="External" /><Relationship Type="http://schemas.openxmlformats.org/officeDocument/2006/relationships/hyperlink" Id="rId253" Target="https://documentation.red-gate.com/codeanalysis/execution-rules/ei003" TargetMode="External" /><Relationship Type="http://schemas.openxmlformats.org/officeDocument/2006/relationships/hyperlink" Id="rId255" Target="https://documentation.red-gate.com/codeanalysis/execution-rules/ei004" TargetMode="External" /><Relationship Type="http://schemas.openxmlformats.org/officeDocument/2006/relationships/hyperlink" Id="rId257" Target="https://documentation.red-gate.com/codeanalysis/execution-rules/ei005" TargetMode="External" /><Relationship Type="http://schemas.openxmlformats.org/officeDocument/2006/relationships/hyperlink" Id="rId259" Target="https://documentation.red-gate.com/codeanalysis/execution-rules/ei006" TargetMode="External" /><Relationship Type="http://schemas.openxmlformats.org/officeDocument/2006/relationships/hyperlink" Id="rId261" Target="https://documentation.red-gate.com/codeanalysis/execution-rules/ei007" TargetMode="External" /><Relationship Type="http://schemas.openxmlformats.org/officeDocument/2006/relationships/hyperlink" Id="rId263" Target="https://documentation.red-gate.com/codeanalysis/execution-rules/ei008" TargetMode="External" /><Relationship Type="http://schemas.openxmlformats.org/officeDocument/2006/relationships/hyperlink" Id="rId265" Target="https://documentation.red-gate.com/codeanalysis/execution-rules/ei009" TargetMode="External" /><Relationship Type="http://schemas.openxmlformats.org/officeDocument/2006/relationships/hyperlink" Id="rId200" Target="https://documentation.red-gate.com/codeanalysis/execution-rules/ei016" TargetMode="External" /><Relationship Type="http://schemas.openxmlformats.org/officeDocument/2006/relationships/hyperlink" Id="rId202" Target="https://documentation.red-gate.com/codeanalysis/execution-rules/ei017" TargetMode="External" /><Relationship Type="http://schemas.openxmlformats.org/officeDocument/2006/relationships/hyperlink" Id="rId198" Target="https://documentation.red-gate.com/codeanalysis/execution-rules/ei018" TargetMode="External" /><Relationship Type="http://schemas.openxmlformats.org/officeDocument/2006/relationships/hyperlink" Id="rId238" Target="https://documentation.red-gate.com/codeanalysis/execution-rules/ei019" TargetMode="External" /><Relationship Type="http://schemas.openxmlformats.org/officeDocument/2006/relationships/hyperlink" Id="rId240" Target="https://documentation.red-gate.com/codeanalysis/execution-rules/ei020" TargetMode="External" /><Relationship Type="http://schemas.openxmlformats.org/officeDocument/2006/relationships/hyperlink" Id="rId162" Target="https://documentation.red-gate.com/codeanalysis/execution-rules/ei024" TargetMode="External" /><Relationship Type="http://schemas.openxmlformats.org/officeDocument/2006/relationships/hyperlink" Id="rId194" Target="https://documentation.red-gate.com/codeanalysis/execution-rules/ei025" TargetMode="External" /><Relationship Type="http://schemas.openxmlformats.org/officeDocument/2006/relationships/hyperlink" Id="rId63" Target="https://documentation.red-gate.com/codeanalysis/execution-rules/ei028" TargetMode="External" /><Relationship Type="http://schemas.openxmlformats.org/officeDocument/2006/relationships/hyperlink" Id="rId90" Target="https://documentation.red-gate.com/codeanalysis/execution-rules/ei029" TargetMode="External" /><Relationship Type="http://schemas.openxmlformats.org/officeDocument/2006/relationships/hyperlink" Id="rId184" Target="https://documentation.red-gate.com/codeanalysis/execution-rules/ei030" TargetMode="External" /><Relationship Type="http://schemas.openxmlformats.org/officeDocument/2006/relationships/hyperlink" Id="rId212" Target="https://documentation.red-gate.com/codeanalysis/miscellaneous-rules/mi001" TargetMode="External" /><Relationship Type="http://schemas.openxmlformats.org/officeDocument/2006/relationships/hyperlink" Id="rId204" Target="https://documentation.red-gate.com/codeanalysis/miscellaneous-rules/mi008" TargetMode="External" /><Relationship Type="http://schemas.openxmlformats.org/officeDocument/2006/relationships/hyperlink" Id="rId120" Target="https://documentation.red-gate.com/codeanalysis/performance-rules/pe001" TargetMode="External" /><Relationship Type="http://schemas.openxmlformats.org/officeDocument/2006/relationships/hyperlink" Id="rId246" Target="https://documentation.red-gate.com/codeanalysis/performance-rules/pe010" TargetMode="External" /><Relationship Type="http://schemas.openxmlformats.org/officeDocument/2006/relationships/hyperlink" Id="rId221" Target="https://documentation.red-gate.com/codeanalysis/performance-rules/pe011" TargetMode="External" /><Relationship Type="http://schemas.openxmlformats.org/officeDocument/2006/relationships/hyperlink" Id="rId147" Target="https://documentation.red-gate.com/codeanalysis/performance-rules/pe017" TargetMode="External" /><Relationship Type="http://schemas.openxmlformats.org/officeDocument/2006/relationships/hyperlink" Id="rId152" Target="https://documentation.red-gate.com/codeanalysis/performance-rules/pe019" TargetMode="External" /><Relationship Type="http://schemas.openxmlformats.org/officeDocument/2006/relationships/hyperlink" Id="rId114" Target="https://documentation.red-gate.com/codeanalysis/style-rules/st001"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8" Target="https://msdn.microsoft.com/en-us/library/dd193263(v=vs.100).aspx" TargetMode="External" /><Relationship Type="http://schemas.openxmlformats.org/officeDocument/2006/relationships/hyperlink" Id="rId153" Target="https://www.red-gate.com/hub/product-learning/sql-prompt/consider-using-not-exists-instead-not-subquery" TargetMode="External" /><Relationship Type="http://schemas.openxmlformats.org/officeDocument/2006/relationships/hyperlink" Id="rId112" Target="https://www.red-gate.com/hub/product-learning/sql-prompt/finding-code-smells-using-sql-prompt-old-style-join-syntax-st001" TargetMode="External" /><Relationship Type="http://schemas.openxmlformats.org/officeDocument/2006/relationships/hyperlink" Id="rId119" Target="https://www.red-gate.com/hub/product-learning/sql-prompt/finding-code-smells-using-sql-prompt-procedures-lack-schema-qualification" TargetMode="External" /><Relationship Type="http://schemas.openxmlformats.org/officeDocument/2006/relationships/hyperlink" Id="rId139" Target="https://www.red-gate.com/hub/product-learning/sql-prompt/finding-code-smells-using-sql-prompt-set-nocount-problem-pe008-pe009" TargetMode="External" /><Relationship Type="http://schemas.openxmlformats.org/officeDocument/2006/relationships/hyperlink" Id="rId149"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Design_pattern_(computer_science)" TargetMode="External" /><Relationship Type="http://schemas.openxmlformats.org/officeDocument/2006/relationships/hyperlink" Id="rId167" Target="http://msdn.microsoft.com/en-us/library/dd172134(v=vs.100).aspx" TargetMode="External" /><Relationship Type="http://schemas.openxmlformats.org/officeDocument/2006/relationships/hyperlink" Id="rId196" Target="http://msdn.microsoft.com/en-us/library/dd172136(v=vs.100).aspx" TargetMode="External" /><Relationship Type="http://schemas.openxmlformats.org/officeDocument/2006/relationships/hyperlink" Id="rId131" Target="http://msdn.microsoft.com/en-us/library/dd193249(v=vs.100).aspx" TargetMode="External" /><Relationship Type="http://schemas.openxmlformats.org/officeDocument/2006/relationships/hyperlink" Id="rId144" Target="http://msdn.microsoft.com/en-us/library/dd193264(v=vs.100).aspx" TargetMode="External" /><Relationship Type="http://schemas.openxmlformats.org/officeDocument/2006/relationships/hyperlink" Id="rId129" Target="http://msdn.microsoft.com/en-us/library/dd193267(v=vs.100).aspx" TargetMode="External" /><Relationship Type="http://schemas.openxmlformats.org/officeDocument/2006/relationships/hyperlink" Id="rId96" Target="http://msdn.microsoft.com/en-us/library/dd193269(v=vs.100).aspx" TargetMode="External" /><Relationship Type="http://schemas.openxmlformats.org/officeDocument/2006/relationships/hyperlink" Id="rId133" Target="http://msdn.microsoft.com/en-us/library/dd193273(v=vs.100).aspx" TargetMode="External" /><Relationship Type="http://schemas.openxmlformats.org/officeDocument/2006/relationships/hyperlink" Id="rId146" Target="http://msdn.microsoft.com/en-us/library/dd193285(v=vs.100).aspx" TargetMode="External" /><Relationship Type="http://schemas.openxmlformats.org/officeDocument/2006/relationships/hyperlink" Id="rId103" Target="http://msdn.microsoft.com/en-us/library/dd193296(v=vs.100).aspx" TargetMode="External" /><Relationship Type="http://schemas.openxmlformats.org/officeDocument/2006/relationships/hyperlink" Id="rId165"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5" Target="https://documentation.red-gate.com/codeanalysis/best-practice-rules/bp002" TargetMode="External" /><Relationship Type="http://schemas.openxmlformats.org/officeDocument/2006/relationships/hyperlink" Id="rId223" Target="https://documentation.red-gate.com/codeanalysis/best-practice-rules/bp003" TargetMode="External" /><Relationship Type="http://schemas.openxmlformats.org/officeDocument/2006/relationships/hyperlink" Id="rId122" Target="https://documentation.red-gate.com/codeanalysis/best-practice-rules/bp004" TargetMode="External" /><Relationship Type="http://schemas.openxmlformats.org/officeDocument/2006/relationships/hyperlink" Id="rId101" Target="https://documentation.red-gate.com/codeanalysis/best-practice-rules/bp005" TargetMode="External" /><Relationship Type="http://schemas.openxmlformats.org/officeDocument/2006/relationships/hyperlink" Id="rId225" Target="https://documentation.red-gate.com/codeanalysis/best-practice-rules/bp006" TargetMode="External" /><Relationship Type="http://schemas.openxmlformats.org/officeDocument/2006/relationships/hyperlink" Id="rId86" Target="https://documentation.red-gate.com/codeanalysis/best-practice-rules/bp007" TargetMode="External" /><Relationship Type="http://schemas.openxmlformats.org/officeDocument/2006/relationships/hyperlink" Id="rId80" Target="https://documentation.red-gate.com/codeanalysis/best-practice-rules/bp008" TargetMode="External" /><Relationship Type="http://schemas.openxmlformats.org/officeDocument/2006/relationships/hyperlink" Id="rId98" Target="https://documentation.red-gate.com/codeanalysis/best-practice-rules/bp010" TargetMode="External" /><Relationship Type="http://schemas.openxmlformats.org/officeDocument/2006/relationships/hyperlink" Id="rId137" Target="https://documentation.red-gate.com/codeanalysis/best-practice-rules/bp011" TargetMode="External" /><Relationship Type="http://schemas.openxmlformats.org/officeDocument/2006/relationships/hyperlink" Id="rId227" Target="https://documentation.red-gate.com/codeanalysis/best-practice-rules/bp012" TargetMode="External" /><Relationship Type="http://schemas.openxmlformats.org/officeDocument/2006/relationships/hyperlink" Id="rId229" Target="https://documentation.red-gate.com/codeanalysis/best-practice-rules/bp013" TargetMode="External" /><Relationship Type="http://schemas.openxmlformats.org/officeDocument/2006/relationships/hyperlink" Id="rId61" Target="https://documentation.red-gate.com/codeanalysis/best-practice-rules/bp014" TargetMode="External" /><Relationship Type="http://schemas.openxmlformats.org/officeDocument/2006/relationships/hyperlink" Id="rId189" Target="https://documentation.red-gate.com/codeanalysis/best-practice-rules/bp015" TargetMode="External" /><Relationship Type="http://schemas.openxmlformats.org/officeDocument/2006/relationships/hyperlink" Id="rId174" Target="https://documentation.red-gate.com/codeanalysis/best-practice-rules/bp016" TargetMode="External" /><Relationship Type="http://schemas.openxmlformats.org/officeDocument/2006/relationships/hyperlink" Id="rId155" Target="https://documentation.red-gate.com/codeanalysis/best-practice-rules/bp017" TargetMode="External" /><Relationship Type="http://schemas.openxmlformats.org/officeDocument/2006/relationships/hyperlink" Id="rId157"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72" Target="https://documentation.red-gate.com/codeanalysis/deprecated-syntax-rules/dep001" TargetMode="External" /><Relationship Type="http://schemas.openxmlformats.org/officeDocument/2006/relationships/hyperlink" Id="rId71" Target="https://documentation.red-gate.com/codeanalysis/deprecated-syntax-rules/dep002" TargetMode="External" /><Relationship Type="http://schemas.openxmlformats.org/officeDocument/2006/relationships/hyperlink" Id="rId232" Target="https://documentation.red-gate.com/codeanalysis/deprecated-syntax-rules/dep003" TargetMode="External" /><Relationship Type="http://schemas.openxmlformats.org/officeDocument/2006/relationships/hyperlink" Id="rId214" Target="https://documentation.red-gate.com/codeanalysis/deprecated-syntax-rules/dep014" TargetMode="External" /><Relationship Type="http://schemas.openxmlformats.org/officeDocument/2006/relationships/hyperlink" Id="rId113" Target="https://documentation.red-gate.com/codeanalysis/deprecated-syntax-rules/dep017" TargetMode="External" /><Relationship Type="http://schemas.openxmlformats.org/officeDocument/2006/relationships/hyperlink" Id="rId234" Target="https://documentation.red-gate.com/codeanalysis/deprecated-syntax-rules/dep026" TargetMode="External" /><Relationship Type="http://schemas.openxmlformats.org/officeDocument/2006/relationships/hyperlink" Id="rId206" Target="https://documentation.red-gate.com/codeanalysis/deprecated-syntax-rules/dep028" TargetMode="External" /><Relationship Type="http://schemas.openxmlformats.org/officeDocument/2006/relationships/hyperlink" Id="rId249" Target="https://documentation.red-gate.com/codeanalysis/execution-rules/ei001" TargetMode="External" /><Relationship Type="http://schemas.openxmlformats.org/officeDocument/2006/relationships/hyperlink" Id="rId251" Target="https://documentation.red-gate.com/codeanalysis/execution-rules/ei002" TargetMode="External" /><Relationship Type="http://schemas.openxmlformats.org/officeDocument/2006/relationships/hyperlink" Id="rId253" Target="https://documentation.red-gate.com/codeanalysis/execution-rules/ei003" TargetMode="External" /><Relationship Type="http://schemas.openxmlformats.org/officeDocument/2006/relationships/hyperlink" Id="rId255" Target="https://documentation.red-gate.com/codeanalysis/execution-rules/ei004" TargetMode="External" /><Relationship Type="http://schemas.openxmlformats.org/officeDocument/2006/relationships/hyperlink" Id="rId257" Target="https://documentation.red-gate.com/codeanalysis/execution-rules/ei005" TargetMode="External" /><Relationship Type="http://schemas.openxmlformats.org/officeDocument/2006/relationships/hyperlink" Id="rId259" Target="https://documentation.red-gate.com/codeanalysis/execution-rules/ei006" TargetMode="External" /><Relationship Type="http://schemas.openxmlformats.org/officeDocument/2006/relationships/hyperlink" Id="rId261" Target="https://documentation.red-gate.com/codeanalysis/execution-rules/ei007" TargetMode="External" /><Relationship Type="http://schemas.openxmlformats.org/officeDocument/2006/relationships/hyperlink" Id="rId263" Target="https://documentation.red-gate.com/codeanalysis/execution-rules/ei008" TargetMode="External" /><Relationship Type="http://schemas.openxmlformats.org/officeDocument/2006/relationships/hyperlink" Id="rId265" Target="https://documentation.red-gate.com/codeanalysis/execution-rules/ei009" TargetMode="External" /><Relationship Type="http://schemas.openxmlformats.org/officeDocument/2006/relationships/hyperlink" Id="rId200" Target="https://documentation.red-gate.com/codeanalysis/execution-rules/ei016" TargetMode="External" /><Relationship Type="http://schemas.openxmlformats.org/officeDocument/2006/relationships/hyperlink" Id="rId202" Target="https://documentation.red-gate.com/codeanalysis/execution-rules/ei017" TargetMode="External" /><Relationship Type="http://schemas.openxmlformats.org/officeDocument/2006/relationships/hyperlink" Id="rId198" Target="https://documentation.red-gate.com/codeanalysis/execution-rules/ei018" TargetMode="External" /><Relationship Type="http://schemas.openxmlformats.org/officeDocument/2006/relationships/hyperlink" Id="rId238" Target="https://documentation.red-gate.com/codeanalysis/execution-rules/ei019" TargetMode="External" /><Relationship Type="http://schemas.openxmlformats.org/officeDocument/2006/relationships/hyperlink" Id="rId240" Target="https://documentation.red-gate.com/codeanalysis/execution-rules/ei020" TargetMode="External" /><Relationship Type="http://schemas.openxmlformats.org/officeDocument/2006/relationships/hyperlink" Id="rId162" Target="https://documentation.red-gate.com/codeanalysis/execution-rules/ei024" TargetMode="External" /><Relationship Type="http://schemas.openxmlformats.org/officeDocument/2006/relationships/hyperlink" Id="rId194" Target="https://documentation.red-gate.com/codeanalysis/execution-rules/ei025" TargetMode="External" /><Relationship Type="http://schemas.openxmlformats.org/officeDocument/2006/relationships/hyperlink" Id="rId63" Target="https://documentation.red-gate.com/codeanalysis/execution-rules/ei028" TargetMode="External" /><Relationship Type="http://schemas.openxmlformats.org/officeDocument/2006/relationships/hyperlink" Id="rId90" Target="https://documentation.red-gate.com/codeanalysis/execution-rules/ei029" TargetMode="External" /><Relationship Type="http://schemas.openxmlformats.org/officeDocument/2006/relationships/hyperlink" Id="rId184" Target="https://documentation.red-gate.com/codeanalysis/execution-rules/ei030" TargetMode="External" /><Relationship Type="http://schemas.openxmlformats.org/officeDocument/2006/relationships/hyperlink" Id="rId212" Target="https://documentation.red-gate.com/codeanalysis/miscellaneous-rules/mi001" TargetMode="External" /><Relationship Type="http://schemas.openxmlformats.org/officeDocument/2006/relationships/hyperlink" Id="rId204" Target="https://documentation.red-gate.com/codeanalysis/miscellaneous-rules/mi008" TargetMode="External" /><Relationship Type="http://schemas.openxmlformats.org/officeDocument/2006/relationships/hyperlink" Id="rId120" Target="https://documentation.red-gate.com/codeanalysis/performance-rules/pe001" TargetMode="External" /><Relationship Type="http://schemas.openxmlformats.org/officeDocument/2006/relationships/hyperlink" Id="rId246" Target="https://documentation.red-gate.com/codeanalysis/performance-rules/pe010" TargetMode="External" /><Relationship Type="http://schemas.openxmlformats.org/officeDocument/2006/relationships/hyperlink" Id="rId221" Target="https://documentation.red-gate.com/codeanalysis/performance-rules/pe011" TargetMode="External" /><Relationship Type="http://schemas.openxmlformats.org/officeDocument/2006/relationships/hyperlink" Id="rId147" Target="https://documentation.red-gate.com/codeanalysis/performance-rules/pe017" TargetMode="External" /><Relationship Type="http://schemas.openxmlformats.org/officeDocument/2006/relationships/hyperlink" Id="rId152" Target="https://documentation.red-gate.com/codeanalysis/performance-rules/pe019" TargetMode="External" /><Relationship Type="http://schemas.openxmlformats.org/officeDocument/2006/relationships/hyperlink" Id="rId114" Target="https://documentation.red-gate.com/codeanalysis/style-rules/st001" TargetMode="External" /><Relationship Type="http://schemas.openxmlformats.org/officeDocument/2006/relationships/hyperlink" Id="rId55" Target="https://documentation.red-gate.com/scg/sql-code-guard-3-documentation/sql-static-code-analysis-rules/style-rules#Stylerules-ST011ST011%E2%80%93Considerusingtablevariableinsteadoftemporarytable" TargetMode="External" /><Relationship Type="http://schemas.openxmlformats.org/officeDocument/2006/relationships/hyperlink" Id="rId56" Target="https://documentation.red-gate.com/scg/sql-code-guard-3-documentation/sql-static-code-analysis-rules/style-rules#Stylerules-ST012ST012%E2%80%93Considerusingtemporarytableinsteadoftablevariable" TargetMode="External" /><Relationship Type="http://schemas.openxmlformats.org/officeDocument/2006/relationships/hyperlink" Id="rId68" Target="https://msdn.microsoft.com/en-us/library/dd193263(v=vs.100).aspx" TargetMode="External" /><Relationship Type="http://schemas.openxmlformats.org/officeDocument/2006/relationships/hyperlink" Id="rId153" Target="https://www.red-gate.com/hub/product-learning/sql-prompt/consider-using-not-exists-instead-not-subquery" TargetMode="External" /><Relationship Type="http://schemas.openxmlformats.org/officeDocument/2006/relationships/hyperlink" Id="rId112" Target="https://www.red-gate.com/hub/product-learning/sql-prompt/finding-code-smells-using-sql-prompt-old-style-join-syntax-st001" TargetMode="External" /><Relationship Type="http://schemas.openxmlformats.org/officeDocument/2006/relationships/hyperlink" Id="rId119" Target="https://www.red-gate.com/hub/product-learning/sql-prompt/finding-code-smells-using-sql-prompt-procedures-lack-schema-qualification" TargetMode="External" /><Relationship Type="http://schemas.openxmlformats.org/officeDocument/2006/relationships/hyperlink" Id="rId139" Target="https://www.red-gate.com/hub/product-learning/sql-prompt/finding-code-smells-using-sql-prompt-set-nocount-problem-pe008-pe009" TargetMode="External" /><Relationship Type="http://schemas.openxmlformats.org/officeDocument/2006/relationships/hyperlink" Id="rId149" Target="https://www.red-gate.com/hub/product-learning/sql-prompt/misuse-scalar-user-defined-function-constant-pe017" TargetMode="External" /><Relationship Type="http://schemas.openxmlformats.org/officeDocument/2006/relationships/hyperlink" Id="rId53" Target="https://www.red-gate.com/simple-talk/blogs/table-variables-an-empirical-approach/" TargetMode="External" /><Relationship Type="http://schemas.openxmlformats.org/officeDocument/2006/relationships/hyperlink" Id="rId54" Target="https://www.red-gate.com/simple-talk/sql/t-sql-programming/temporary-tables-in-sql-server/"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2018-04-09T16:51:46Z</dcterms:created>
  <dcterms:modified xsi:type="dcterms:W3CDTF">2018-04-09T16:51:46Z</dcterms:modified>
</cp:coreProperties>
</file>