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bookmarkStart w:id="0" w:name="_GoBack"/>
            <w:r>
              <w:rPr>
                <w:rFonts w:hint="default"/>
                <w:lang w:val="en-IN"/>
              </w:rPr>
              <w:t>Dev Rakesh Singh</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pPr>
        <w:rPr>
          <w:rFonts w:hint="default"/>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3</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18</w:t>
            </w:r>
          </w:p>
        </w:tc>
        <w:tc>
          <w:tcPr>
            <w:tcW w:w="2695" w:type="dxa"/>
          </w:tcPr>
          <w:p>
            <w:pPr>
              <w:spacing w:after="0" w:line="240" w:lineRule="auto"/>
              <w:rPr>
                <w:rFonts w:hint="default"/>
                <w:lang w:val="en-IN"/>
              </w:rPr>
            </w:pPr>
            <w:r>
              <w:rPr>
                <w:rFonts w:hint="defaul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18 marked a pivotal phase in the project's progress. In the first hour, I diligently reviewed and optimized the Exponential Smoothing model's codebase, ensuring that it adhered to best coding practices.</w:t>
            </w:r>
          </w:p>
          <w:p>
            <w:pPr>
              <w:spacing w:after="0" w:line="240" w:lineRule="auto"/>
              <w:rPr>
                <w:rFonts w:hint="default"/>
              </w:rPr>
            </w:pPr>
          </w:p>
          <w:p>
            <w:pPr>
              <w:spacing w:after="0" w:line="240" w:lineRule="auto"/>
              <w:rPr>
                <w:rFonts w:hint="default"/>
              </w:rPr>
            </w:pPr>
            <w:r>
              <w:rPr>
                <w:rFonts w:hint="default"/>
              </w:rPr>
              <w:t>In the second hour, I conducted an extended training session for the model, allowing it to further refine its understanding of historical sales data and adapt to complex patterns and seasonality.</w:t>
            </w:r>
          </w:p>
          <w:p>
            <w:pPr>
              <w:spacing w:after="0" w:line="240" w:lineRule="auto"/>
              <w:rPr>
                <w:rFonts w:hint="default"/>
              </w:rPr>
            </w:pPr>
          </w:p>
          <w:p>
            <w:pPr>
              <w:spacing w:after="0" w:line="240" w:lineRule="auto"/>
              <w:rPr>
                <w:rFonts w:hint="default"/>
              </w:rPr>
            </w:pPr>
            <w:r>
              <w:rPr>
                <w:rFonts w:hint="default"/>
              </w:rPr>
              <w:t>The third hour was dedicated to hyperparameter tuning, an iterative process aimed at identifying the optimal combination of alpha, beta, and gamma values to achieve the highest level of forecasting accuracy.</w:t>
            </w:r>
          </w:p>
          <w:p>
            <w:pPr>
              <w:spacing w:after="0" w:line="240" w:lineRule="auto"/>
              <w:rPr>
                <w:rFonts w:hint="default"/>
              </w:rPr>
            </w:pPr>
          </w:p>
          <w:p>
            <w:pPr>
              <w:spacing w:after="0" w:line="240" w:lineRule="auto"/>
            </w:pPr>
            <w:r>
              <w:rPr>
                <w:rFonts w:hint="default"/>
              </w:rPr>
              <w:t>Day 18 represented a significant milestone in the project's development. The codebase was robust, and the model had undergone extensive training. The ongoing hyperparameter tuning process was essential to fine-tuning the model for superior forecasting results.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04F668B1"/>
    <w:rsid w:val="17464301"/>
    <w:rsid w:val="2AD640D4"/>
    <w:rsid w:val="340032DD"/>
    <w:rsid w:val="3FF7137F"/>
    <w:rsid w:val="45E40076"/>
    <w:rsid w:val="709F455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2023-09-26T15:15:36Z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CDDEA83A42A04EE69E4E6991F00A6DC7_12</vt:lpwstr>
  </property>
</Properties>
</file>