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7</w:t>
            </w:r>
            <w:r>
              <w:t>-0</w:t>
            </w:r>
            <w:r>
              <w:rPr>
                <w:rFonts w:hint="default"/>
                <w:lang w:val="en-IN"/>
              </w:rPr>
              <w:t>8</w:t>
            </w:r>
            <w:r>
              <w:t>-2023</w:t>
            </w:r>
          </w:p>
        </w:tc>
        <w:tc>
          <w:tcPr>
            <w:tcW w:w="3240" w:type="dxa"/>
          </w:tcPr>
          <w:p>
            <w:pPr>
              <w:spacing w:after="0" w:line="240" w:lineRule="auto"/>
              <w:rPr>
                <w:rFonts w:hint="default"/>
                <w:lang w:val="en-IN"/>
              </w:rPr>
            </w:pPr>
            <w:r>
              <w:rPr>
                <w:rFonts w:hint="default"/>
                <w:lang w:val="en-IN"/>
              </w:rPr>
              <w:t>22</w:t>
            </w:r>
          </w:p>
        </w:tc>
        <w:tc>
          <w:tcPr>
            <w:tcW w:w="2695" w:type="dxa"/>
          </w:tcPr>
          <w:p>
            <w:pPr>
              <w:spacing w:after="0" w:line="240" w:lineRule="auto"/>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On Day 22, my focus shifted towards making predictions and analyzing the performance of the Exponential Smoothing model. In the first hour, I began making predictions for all products using the trained model. This marked a significant transition from model development to its practical application.</w:t>
            </w:r>
          </w:p>
          <w:p>
            <w:pPr>
              <w:spacing w:after="0" w:line="240" w:lineRule="auto"/>
              <w:rPr>
                <w:rFonts w:hint="default"/>
              </w:rPr>
            </w:pPr>
          </w:p>
          <w:p>
            <w:pPr>
              <w:spacing w:after="0" w:line="240" w:lineRule="auto"/>
              <w:rPr>
                <w:rFonts w:hint="default"/>
              </w:rPr>
            </w:pPr>
            <w:r>
              <w:rPr>
                <w:rFonts w:hint="default"/>
              </w:rPr>
              <w:t>The second hour was dedicated to comparing the model's predictions with the actual historical sales data. This step was crucial in evaluating the model's accuracy and identifying areas that might require adjustment.</w:t>
            </w:r>
          </w:p>
          <w:p>
            <w:pPr>
              <w:spacing w:after="0" w:line="240" w:lineRule="auto"/>
              <w:rPr>
                <w:rFonts w:hint="default"/>
              </w:rPr>
            </w:pPr>
          </w:p>
          <w:p>
            <w:pPr>
              <w:spacing w:after="0" w:line="240" w:lineRule="auto"/>
              <w:rPr>
                <w:rFonts w:hint="default"/>
              </w:rPr>
            </w:pPr>
            <w:r>
              <w:rPr>
                <w:rFonts w:hint="default"/>
              </w:rPr>
              <w:t>In the third hour, I honed my attention on fine-tuning predictions, particularly for products with higher seasonal variations. Adjusting the model's parameters allowed me to align predictions more closely with actual sales data.</w:t>
            </w:r>
          </w:p>
          <w:p>
            <w:pPr>
              <w:spacing w:after="0" w:line="240" w:lineRule="auto"/>
              <w:rPr>
                <w:rFonts w:hint="default"/>
              </w:rPr>
            </w:pPr>
          </w:p>
          <w:p>
            <w:pPr>
              <w:spacing w:after="0" w:line="240" w:lineRule="auto"/>
            </w:pPr>
            <w:r>
              <w:rPr>
                <w:rFonts w:hint="default"/>
              </w:rPr>
              <w:t>Day 22 represented a pivotal moment in the project. The model was actively producing predictions, and I was able to assess its performance against real-world data. The challenges posed by products with significant seasonality were opportunities to further refine the model.</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11ED63C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2023-09-26T15:20:30Z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E35023CFBBFB4E0BA36694FC9C90B2B3_12</vt:lpwstr>
  </property>
</Properties>
</file>