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Raskesh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25</w:t>
            </w:r>
            <w:r>
              <w:t>-07-2023</w:t>
            </w:r>
          </w:p>
        </w:tc>
        <w:tc>
          <w:tcPr>
            <w:tcW w:w="3240" w:type="dxa"/>
          </w:tcPr>
          <w:p>
            <w:pPr>
              <w:spacing w:after="0" w:line="240" w:lineRule="auto"/>
              <w:rPr>
                <w:rFonts w:hint="default"/>
                <w:lang w:val="en-IN"/>
              </w:rPr>
            </w:pPr>
            <w:r>
              <w:rPr>
                <w:rFonts w:hint="default"/>
                <w:lang w:val="en-IN"/>
              </w:rPr>
              <w:t>9</w:t>
            </w:r>
          </w:p>
        </w:tc>
        <w:tc>
          <w:tcPr>
            <w:tcW w:w="2695" w:type="dxa"/>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On Day 9, I continued the work initiated on the previous day. The first hour was dedicated to further refining the Exponential Smoothing model's codebase. I reviewed and optimized sections of the code, making it more efficient and adhering to coding best practices.</w:t>
            </w:r>
          </w:p>
          <w:p>
            <w:pPr>
              <w:spacing w:after="0" w:line="240" w:lineRule="auto"/>
              <w:rPr>
                <w:rFonts w:hint="default"/>
              </w:rPr>
            </w:pPr>
          </w:p>
          <w:p>
            <w:pPr>
              <w:spacing w:after="0" w:line="240" w:lineRule="auto"/>
              <w:rPr>
                <w:rFonts w:hint="default"/>
              </w:rPr>
            </w:pPr>
            <w:r>
              <w:rPr>
                <w:rFonts w:hint="default"/>
              </w:rPr>
              <w:t>In the second hour, I continued the training process. I allowed the model to learn from the historical sales data, which is crucial for its ability to make accurate predictions. I observed how the model adapted to different product categories and market trends.</w:t>
            </w:r>
          </w:p>
          <w:p>
            <w:pPr>
              <w:spacing w:after="0" w:line="240" w:lineRule="auto"/>
              <w:rPr>
                <w:rFonts w:hint="default"/>
              </w:rPr>
            </w:pPr>
          </w:p>
          <w:p>
            <w:pPr>
              <w:spacing w:after="0" w:line="240" w:lineRule="auto"/>
              <w:rPr>
                <w:rFonts w:hint="default"/>
              </w:rPr>
            </w:pPr>
            <w:r>
              <w:rPr>
                <w:rFonts w:hint="default"/>
              </w:rPr>
              <w:t>The third hour was once again focused on hyperparameter tuning. This iterative process involved testing the model with different sets of alpha, beta, and gamma values. I carefully documented the results and insights gained from each parameter combination.</w:t>
            </w:r>
          </w:p>
          <w:p>
            <w:pPr>
              <w:spacing w:after="0" w:line="240" w:lineRule="auto"/>
              <w:rPr>
                <w:rFonts w:hint="default"/>
              </w:rPr>
            </w:pPr>
          </w:p>
          <w:p>
            <w:pPr>
              <w:spacing w:after="0" w:line="240" w:lineRule="auto"/>
            </w:pPr>
            <w:r>
              <w:rPr>
                <w:rFonts w:hint="default"/>
              </w:rPr>
              <w:t>Day 9 represented a continuation of the iterative process of refining the model. The codebase was further optimized, and the model continued to learn from the historical data. The hyperparameter tuning process was ongoing, and I remained committed to finding the optimal parameter values.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6A5B709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1</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2023-09-26T15:04:43Z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5DA7B220FFC14EFDAB955EDD73A60EE3_12</vt:lpwstr>
  </property>
</Properties>
</file>