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3D5" w:rsidRPr="003C22A7" w:rsidRDefault="008973D5" w:rsidP="008973D5">
      <w:pPr>
        <w:rPr>
          <w:b/>
          <w:sz w:val="28"/>
          <w:szCs w:val="28"/>
        </w:rPr>
      </w:pPr>
      <w:r w:rsidRPr="003C22A7">
        <w:rPr>
          <w:b/>
          <w:sz w:val="28"/>
          <w:szCs w:val="28"/>
        </w:rPr>
        <w:t xml:space="preserve">Operational Efficacy and Effectiveness of a Maternal and Child Health (MCH) Conditional Cash Transfer Pilot </w:t>
      </w:r>
      <w:proofErr w:type="spellStart"/>
      <w:r w:rsidRPr="003C22A7">
        <w:rPr>
          <w:b/>
          <w:sz w:val="28"/>
          <w:szCs w:val="28"/>
        </w:rPr>
        <w:t>Programme</w:t>
      </w:r>
      <w:proofErr w:type="spellEnd"/>
      <w:r w:rsidRPr="003C22A7">
        <w:rPr>
          <w:b/>
          <w:sz w:val="28"/>
          <w:szCs w:val="28"/>
        </w:rPr>
        <w:t xml:space="preserve"> in Nigeria</w:t>
      </w:r>
    </w:p>
    <w:p w:rsidR="008973D5" w:rsidRDefault="008973D5" w:rsidP="008973D5">
      <w:pPr>
        <w:autoSpaceDE w:val="0"/>
        <w:autoSpaceDN w:val="0"/>
        <w:adjustRightInd w:val="0"/>
        <w:spacing w:after="0"/>
        <w:rPr>
          <w:rFonts w:cs="AdvTTb5929f4c"/>
        </w:rPr>
      </w:pPr>
      <w:bookmarkStart w:id="0" w:name="abstract"/>
      <w:bookmarkEnd w:id="0"/>
    </w:p>
    <w:p w:rsidR="0005766A" w:rsidRDefault="0005766A" w:rsidP="008973D5">
      <w:pPr>
        <w:autoSpaceDE w:val="0"/>
        <w:autoSpaceDN w:val="0"/>
        <w:adjustRightInd w:val="0"/>
        <w:spacing w:after="0"/>
        <w:rPr>
          <w:rFonts w:cs="AdvTTb5929f4c"/>
        </w:rPr>
      </w:pPr>
    </w:p>
    <w:p w:rsidR="00441C2F" w:rsidRDefault="00441C2F" w:rsidP="00441C2F">
      <w:pPr>
        <w:autoSpaceDE w:val="0"/>
        <w:autoSpaceDN w:val="0"/>
        <w:adjustRightInd w:val="0"/>
        <w:spacing w:after="0" w:line="360" w:lineRule="auto"/>
        <w:rPr>
          <w:rFonts w:cs="AdvTT99c4c969"/>
          <w:b/>
        </w:rPr>
      </w:pPr>
      <w:r w:rsidRPr="00F576CB">
        <w:rPr>
          <w:rFonts w:cs="AdvTT99c4c969"/>
          <w:b/>
        </w:rPr>
        <w:t>Author</w:t>
      </w:r>
      <w:r>
        <w:rPr>
          <w:rFonts w:cs="AdvTT99c4c969"/>
          <w:b/>
        </w:rPr>
        <w:t>s</w:t>
      </w:r>
    </w:p>
    <w:p w:rsidR="00441C2F" w:rsidRPr="00164E8C" w:rsidRDefault="00441C2F" w:rsidP="00441C2F">
      <w:pPr>
        <w:autoSpaceDE w:val="0"/>
        <w:autoSpaceDN w:val="0"/>
        <w:adjustRightInd w:val="0"/>
        <w:spacing w:after="0" w:line="360" w:lineRule="auto"/>
        <w:rPr>
          <w:rFonts w:cs="AdvTT99c4c969"/>
        </w:rPr>
      </w:pPr>
      <w:r w:rsidRPr="00164E8C">
        <w:rPr>
          <w:rFonts w:cs="AdvTT99c4c969"/>
        </w:rPr>
        <w:t>Chioma Oduenyi</w:t>
      </w:r>
      <w:r w:rsidRPr="00F576CB">
        <w:rPr>
          <w:rFonts w:cs="AdvTTb5929f4c"/>
          <w:vertAlign w:val="superscript"/>
        </w:rPr>
        <w:t>1</w:t>
      </w:r>
      <w:r>
        <w:rPr>
          <w:rFonts w:cs="AdvTTb5929f4c"/>
          <w:vertAlign w:val="superscript"/>
        </w:rPr>
        <w:t>, 2, 3</w:t>
      </w:r>
      <w:r w:rsidRPr="00164E8C">
        <w:rPr>
          <w:rFonts w:cs="AdvTT99c4c969"/>
        </w:rPr>
        <w:t>, Victor Ordu</w:t>
      </w:r>
      <w:r w:rsidRPr="00F576CB">
        <w:rPr>
          <w:rFonts w:cs="AdvTTb5929f4c"/>
          <w:vertAlign w:val="superscript"/>
        </w:rPr>
        <w:t>1</w:t>
      </w:r>
      <w:r>
        <w:rPr>
          <w:rFonts w:cs="AdvTTb5929f4c"/>
          <w:vertAlign w:val="superscript"/>
        </w:rPr>
        <w:t>, 4</w:t>
      </w:r>
      <w:r w:rsidRPr="00164E8C">
        <w:rPr>
          <w:rFonts w:cs="AdvTT99c4c969"/>
        </w:rPr>
        <w:t xml:space="preserve"> and Ugo Okoli</w:t>
      </w:r>
      <w:r>
        <w:rPr>
          <w:rFonts w:cs="AdvTTb5929f4c"/>
          <w:vertAlign w:val="superscript"/>
        </w:rPr>
        <w:t>2, 3</w:t>
      </w:r>
    </w:p>
    <w:p w:rsidR="00441C2F" w:rsidRPr="00164E8C" w:rsidRDefault="00441C2F" w:rsidP="00441C2F">
      <w:pPr>
        <w:autoSpaceDE w:val="0"/>
        <w:autoSpaceDN w:val="0"/>
        <w:adjustRightInd w:val="0"/>
        <w:spacing w:after="0" w:line="360" w:lineRule="auto"/>
      </w:pPr>
    </w:p>
    <w:p w:rsidR="00441C2F" w:rsidRPr="00F576CB" w:rsidRDefault="00441C2F" w:rsidP="00441C2F">
      <w:pPr>
        <w:autoSpaceDE w:val="0"/>
        <w:autoSpaceDN w:val="0"/>
        <w:adjustRightInd w:val="0"/>
        <w:spacing w:after="0" w:line="360" w:lineRule="auto"/>
        <w:rPr>
          <w:rFonts w:cs="AdvTT99c4c969"/>
          <w:b/>
        </w:rPr>
      </w:pPr>
      <w:r>
        <w:rPr>
          <w:rFonts w:cs="AdvTT99c4c969"/>
          <w:b/>
        </w:rPr>
        <w:t>Authors Affiliations</w:t>
      </w:r>
    </w:p>
    <w:p w:rsidR="00441C2F" w:rsidRDefault="00441C2F" w:rsidP="000E11B2">
      <w:pPr>
        <w:autoSpaceDE w:val="0"/>
        <w:autoSpaceDN w:val="0"/>
        <w:adjustRightInd w:val="0"/>
        <w:spacing w:after="0"/>
        <w:rPr>
          <w:rFonts w:cs="AdvTTb5929f4c"/>
        </w:rPr>
      </w:pPr>
      <w:r w:rsidRPr="00F576CB">
        <w:rPr>
          <w:rFonts w:cs="AdvTTb5929f4c"/>
          <w:vertAlign w:val="superscript"/>
        </w:rPr>
        <w:t>1</w:t>
      </w:r>
      <w:r>
        <w:rPr>
          <w:rFonts w:cs="AdvTTb5929f4c"/>
        </w:rPr>
        <w:t xml:space="preserve">Global Health and Medical Consultants Limited, Nigeria. </w:t>
      </w:r>
      <w:r w:rsidRPr="00F576CB">
        <w:rPr>
          <w:rFonts w:cs="AdvTTb5929f4c"/>
          <w:vertAlign w:val="superscript"/>
        </w:rPr>
        <w:t>2</w:t>
      </w:r>
      <w:r w:rsidRPr="003014B2">
        <w:rPr>
          <w:rFonts w:cs="AdvTTb5929f4c"/>
        </w:rPr>
        <w:t>SURE-P MCH Project Implementation Unit, National Primary Health Care</w:t>
      </w:r>
      <w:r>
        <w:rPr>
          <w:rFonts w:cs="AdvTTb5929f4c"/>
        </w:rPr>
        <w:t xml:space="preserve"> </w:t>
      </w:r>
      <w:r w:rsidRPr="003014B2">
        <w:rPr>
          <w:rFonts w:cs="AdvTTb5929f4c"/>
        </w:rPr>
        <w:t xml:space="preserve">Development Agency, Abuja, Nigeria. </w:t>
      </w:r>
      <w:r>
        <w:rPr>
          <w:rFonts w:cs="AdvTTb5929f4c"/>
          <w:vertAlign w:val="superscript"/>
        </w:rPr>
        <w:t>3</w:t>
      </w:r>
      <w:r w:rsidRPr="00D00141">
        <w:rPr>
          <w:rFonts w:cs="AdvTTb5929f4c"/>
        </w:rPr>
        <w:t>Jhpiego, Nigeria-affiliate of Johns Hopkins University</w:t>
      </w:r>
      <w:r>
        <w:rPr>
          <w:rFonts w:cs="AdvTTb5929f4c"/>
        </w:rPr>
        <w:t xml:space="preserve">, </w:t>
      </w:r>
      <w:r>
        <w:rPr>
          <w:rFonts w:cs="AdvTTb5929f4c"/>
          <w:vertAlign w:val="superscript"/>
        </w:rPr>
        <w:t>4</w:t>
      </w:r>
      <w:r w:rsidRPr="00114F96">
        <w:rPr>
          <w:rFonts w:cs="AdvTTb5929f4c"/>
        </w:rPr>
        <w:t>National Environmental Standards and Regulations Enforcement Agency</w:t>
      </w:r>
    </w:p>
    <w:p w:rsidR="00FD3590" w:rsidRDefault="00FD3590" w:rsidP="008973D5">
      <w:pPr>
        <w:pStyle w:val="BodyText"/>
        <w:rPr>
          <w:b/>
          <w:sz w:val="28"/>
          <w:szCs w:val="28"/>
        </w:rPr>
      </w:pPr>
    </w:p>
    <w:p w:rsidR="008973D5" w:rsidRPr="003C22A7" w:rsidRDefault="008973D5" w:rsidP="008973D5">
      <w:pPr>
        <w:pStyle w:val="BodyText"/>
        <w:rPr>
          <w:b/>
          <w:sz w:val="28"/>
          <w:szCs w:val="28"/>
        </w:rPr>
      </w:pPr>
      <w:r w:rsidRPr="003C22A7">
        <w:rPr>
          <w:b/>
          <w:sz w:val="28"/>
          <w:szCs w:val="28"/>
        </w:rPr>
        <w:t>Abstract</w:t>
      </w:r>
    </w:p>
    <w:p w:rsidR="008973D5" w:rsidRDefault="008973D5" w:rsidP="008973D5">
      <w:pPr>
        <w:pStyle w:val="FirstParagraph"/>
      </w:pPr>
      <w:r>
        <w:rPr>
          <w:b/>
        </w:rPr>
        <w:t>Background</w:t>
      </w:r>
      <w:r>
        <w:br/>
        <w:t xml:space="preserve">This paper provides insights into the design and implementation of the Subsidy Reinvestment and Empowerment </w:t>
      </w:r>
      <w:proofErr w:type="spellStart"/>
      <w:r>
        <w:t>Programme</w:t>
      </w:r>
      <w:proofErr w:type="spellEnd"/>
      <w:r>
        <w:t xml:space="preserve"> on Maternal and Child Health (SURE-P MCH) Conditional Cash Transfer (CCT) pilot </w:t>
      </w:r>
      <w:proofErr w:type="spellStart"/>
      <w:r>
        <w:t>programme</w:t>
      </w:r>
      <w:proofErr w:type="spellEnd"/>
      <w:r>
        <w:t xml:space="preserve"> in Nigeria. </w:t>
      </w:r>
      <w:r w:rsidR="000E11B2">
        <w:t>Op</w:t>
      </w:r>
      <w:r>
        <w:t xml:space="preserve">erational processes of the CCT </w:t>
      </w:r>
      <w:proofErr w:type="spellStart"/>
      <w:r>
        <w:t>programme</w:t>
      </w:r>
      <w:proofErr w:type="spellEnd"/>
      <w:r w:rsidR="000E100D">
        <w:t xml:space="preserve"> </w:t>
      </w:r>
      <w:r w:rsidR="00041A84">
        <w:t xml:space="preserve">from design to enrollment and pay-out </w:t>
      </w:r>
      <w:r w:rsidR="000E100D">
        <w:t>w</w:t>
      </w:r>
      <w:r w:rsidR="00041A84">
        <w:t>ere</w:t>
      </w:r>
      <w:r w:rsidR="000E100D">
        <w:t xml:space="preserve"> assessed independently </w:t>
      </w:r>
      <w:r w:rsidR="00D22809">
        <w:t>to inform future CCT designs and implementation</w:t>
      </w:r>
      <w:r w:rsidR="00C261BF">
        <w:t xml:space="preserve">. </w:t>
      </w:r>
    </w:p>
    <w:p w:rsidR="002261BF" w:rsidRDefault="008973D5" w:rsidP="002261BF">
      <w:pPr>
        <w:pStyle w:val="BodyText"/>
      </w:pPr>
      <w:r>
        <w:rPr>
          <w:b/>
        </w:rPr>
        <w:t>Methods</w:t>
      </w:r>
      <w:r>
        <w:br/>
      </w:r>
      <w:proofErr w:type="gramStart"/>
      <w:r w:rsidR="00C87BE4">
        <w:t>This</w:t>
      </w:r>
      <w:proofErr w:type="gramEnd"/>
      <w:r w:rsidR="00C87BE4">
        <w:t xml:space="preserve"> study </w:t>
      </w:r>
      <w:r w:rsidR="00041A84">
        <w:t>combined</w:t>
      </w:r>
      <w:r>
        <w:t xml:space="preserve"> </w:t>
      </w:r>
      <w:commentRangeStart w:id="1"/>
      <w:r>
        <w:t>of</w:t>
      </w:r>
      <w:commentRangeEnd w:id="1"/>
      <w:r w:rsidR="00730A02">
        <w:rPr>
          <w:rStyle w:val="CommentReference"/>
        </w:rPr>
        <w:commentReference w:id="1"/>
      </w:r>
      <w:r>
        <w:t xml:space="preserve"> a desk review of SURE-P MCH CCT operational documents and a retrospective descriptive and cross-sectional </w:t>
      </w:r>
      <w:r w:rsidR="00C87BE4">
        <w:t>survey</w:t>
      </w:r>
      <w:r>
        <w:t xml:space="preserve"> of 314 primary beneficiaries</w:t>
      </w:r>
      <w:r w:rsidR="00C87BE4">
        <w:t xml:space="preserve"> of the CCT scheme</w:t>
      </w:r>
      <w:r>
        <w:t xml:space="preserve"> </w:t>
      </w:r>
      <w:r w:rsidR="002261BF">
        <w:t>from</w:t>
      </w:r>
      <w:r>
        <w:t xml:space="preserve"> 29 SURE-P MCH CCT designated health facilities</w:t>
      </w:r>
      <w:r w:rsidR="00BD3F89">
        <w:t xml:space="preserve"> between June – July 2015</w:t>
      </w:r>
      <w:r>
        <w:t xml:space="preserve">. </w:t>
      </w:r>
      <w:r w:rsidR="002261BF">
        <w:t>The desk review understud</w:t>
      </w:r>
      <w:r w:rsidR="007954B8">
        <w:t>ied</w:t>
      </w:r>
      <w:r w:rsidR="00285197">
        <w:t xml:space="preserve"> the</w:t>
      </w:r>
      <w:r w:rsidR="002261BF">
        <w:t xml:space="preserve"> </w:t>
      </w:r>
      <w:proofErr w:type="spellStart"/>
      <w:r w:rsidR="002261BF">
        <w:t>programme</w:t>
      </w:r>
      <w:proofErr w:type="spellEnd"/>
      <w:r w:rsidR="002261BF">
        <w:t xml:space="preserve"> implementation manual (PIM), and several CCT monthly reports</w:t>
      </w:r>
      <w:r w:rsidR="00BC6F7B">
        <w:t xml:space="preserve"> and articles</w:t>
      </w:r>
      <w:r w:rsidR="002261BF">
        <w:t xml:space="preserve"> obtained from the project management unit (PIU) while a structured questionnaire of (16) questions was used for face-to-face interviews with (30-33) CCT primary beneficiaries drawn from each of eight (8) participating states of </w:t>
      </w:r>
      <w:proofErr w:type="spellStart"/>
      <w:r w:rsidR="002261BF">
        <w:t>Anambra</w:t>
      </w:r>
      <w:proofErr w:type="spellEnd"/>
      <w:r w:rsidR="002261BF">
        <w:t xml:space="preserve">, </w:t>
      </w:r>
      <w:proofErr w:type="spellStart"/>
      <w:r w:rsidR="002261BF">
        <w:t>Bauchi</w:t>
      </w:r>
      <w:proofErr w:type="spellEnd"/>
      <w:r w:rsidR="002261BF">
        <w:t xml:space="preserve">, </w:t>
      </w:r>
      <w:proofErr w:type="spellStart"/>
      <w:r w:rsidR="002261BF">
        <w:t>Bayelsa</w:t>
      </w:r>
      <w:proofErr w:type="spellEnd"/>
      <w:r w:rsidR="002261BF">
        <w:t xml:space="preserve">, </w:t>
      </w:r>
      <w:proofErr w:type="spellStart"/>
      <w:r w:rsidR="002261BF">
        <w:t>Ebonyi</w:t>
      </w:r>
      <w:proofErr w:type="spellEnd"/>
      <w:r w:rsidR="002261BF">
        <w:t xml:space="preserve">, Kaduna, Niger, </w:t>
      </w:r>
      <w:proofErr w:type="spellStart"/>
      <w:r w:rsidR="002261BF">
        <w:t>Ogun</w:t>
      </w:r>
      <w:proofErr w:type="spellEnd"/>
      <w:r w:rsidR="002261BF">
        <w:t xml:space="preserve">, and </w:t>
      </w:r>
      <w:proofErr w:type="spellStart"/>
      <w:r w:rsidR="002261BF">
        <w:t>Zamfara</w:t>
      </w:r>
      <w:proofErr w:type="spellEnd"/>
      <w:r w:rsidR="002261BF">
        <w:t xml:space="preserve"> and the federal capital territory (FCT)-Abuja. Findings were analyzed and reported using </w:t>
      </w:r>
      <w:r w:rsidR="002261BF" w:rsidRPr="003D0452">
        <w:t>R</w:t>
      </w:r>
      <w:r w:rsidR="002261BF">
        <w:t>*</w:t>
      </w:r>
      <w:r w:rsidR="002261BF" w:rsidRPr="003D0452">
        <w:t>statistical package (version 3.1.2)</w:t>
      </w:r>
      <w:r w:rsidR="002261BF">
        <w:t xml:space="preserve">. Subsequently a SWOT analysis was </w:t>
      </w:r>
      <w:r w:rsidR="00BD3F89">
        <w:t>conducted</w:t>
      </w:r>
      <w:r w:rsidR="002261BF">
        <w:t xml:space="preserve"> to highlight strengths, weaknesses, opportunities and threats of the CCT scheme. Hence, key challenges were identified and recommendations provided for future CCT designs and implementation in Nigeria and other settings.</w:t>
      </w:r>
    </w:p>
    <w:p w:rsidR="00285197" w:rsidRDefault="008973D5" w:rsidP="008973D5">
      <w:pPr>
        <w:pStyle w:val="BodyText"/>
      </w:pPr>
      <w:r>
        <w:rPr>
          <w:b/>
        </w:rPr>
        <w:t>Results</w:t>
      </w:r>
      <w:r>
        <w:br/>
      </w:r>
      <w:r w:rsidR="00D013D1">
        <w:t xml:space="preserve">The </w:t>
      </w:r>
      <w:r w:rsidR="00BD3F89">
        <w:t xml:space="preserve">SWOT analysis indicated </w:t>
      </w:r>
      <w:r w:rsidR="0005766A">
        <w:t xml:space="preserve">that </w:t>
      </w:r>
      <w:r w:rsidR="00BD3F89">
        <w:t>the</w:t>
      </w:r>
      <w:r w:rsidR="00DA362F">
        <w:t xml:space="preserve"> CCT</w:t>
      </w:r>
      <w:r w:rsidR="009E7E58">
        <w:t xml:space="preserve"> </w:t>
      </w:r>
      <w:proofErr w:type="spellStart"/>
      <w:r w:rsidR="009E7E58">
        <w:t>programme</w:t>
      </w:r>
      <w:proofErr w:type="spellEnd"/>
      <w:r w:rsidR="00DA362F">
        <w:t xml:space="preserve"> had a robust</w:t>
      </w:r>
      <w:r w:rsidR="009E7E58">
        <w:t xml:space="preserve"> </w:t>
      </w:r>
      <w:r w:rsidR="007E2BD0">
        <w:t xml:space="preserve">design </w:t>
      </w:r>
      <w:r w:rsidR="00DA362F">
        <w:t>with</w:t>
      </w:r>
      <w:r w:rsidR="007E2BD0">
        <w:t xml:space="preserve"> huge potential</w:t>
      </w:r>
      <w:r w:rsidR="00DA362F">
        <w:t xml:space="preserve">s </w:t>
      </w:r>
      <w:r w:rsidR="00285197">
        <w:t>of operational effectiveness</w:t>
      </w:r>
      <w:r w:rsidR="00DA362F">
        <w:t xml:space="preserve"> if implement</w:t>
      </w:r>
      <w:r w:rsidR="00285197">
        <w:t>ed as design</w:t>
      </w:r>
      <w:r w:rsidR="00DA362F">
        <w:t>ed</w:t>
      </w:r>
      <w:r w:rsidR="00285197">
        <w:t>, h</w:t>
      </w:r>
      <w:r w:rsidR="009E7E58">
        <w:t>owever,</w:t>
      </w:r>
      <w:r w:rsidR="00285197">
        <w:t xml:space="preserve"> the </w:t>
      </w:r>
      <w:proofErr w:type="spellStart"/>
      <w:r w:rsidR="00285197">
        <w:t>programme</w:t>
      </w:r>
      <w:proofErr w:type="spellEnd"/>
      <w:r w:rsidR="00285197">
        <w:t xml:space="preserve"> was inundated with several implementation challenges. Though 65% of beneficiaries perceived CCT </w:t>
      </w:r>
      <w:r w:rsidR="00285197">
        <w:lastRenderedPageBreak/>
        <w:t>pay-out events as orderly and well-organized (p&lt;.001), yet, the events were marred with</w:t>
      </w:r>
      <w:r w:rsidR="00285197" w:rsidRPr="007E2BD0">
        <w:t xml:space="preserve"> </w:t>
      </w:r>
      <w:r w:rsidR="00285197">
        <w:t>inconsistencies and irregularities resulting in large crowds and increased waiting time for beneficiaries. O</w:t>
      </w:r>
      <w:r w:rsidR="009E7E58">
        <w:t>nly 40%</w:t>
      </w:r>
      <w:r>
        <w:t xml:space="preserve"> </w:t>
      </w:r>
      <w:r w:rsidR="00D013D1">
        <w:t>of beneficiaries</w:t>
      </w:r>
      <w:r>
        <w:t xml:space="preserve"> received complete N5</w:t>
      </w:r>
      <w:proofErr w:type="gramStart"/>
      <w:r>
        <w:t>,000</w:t>
      </w:r>
      <w:proofErr w:type="gramEnd"/>
      <w:r>
        <w:t xml:space="preserve"> ($30)cash incentive, </w:t>
      </w:r>
      <w:r w:rsidR="009E7E58">
        <w:t>28%</w:t>
      </w:r>
      <w:r>
        <w:t xml:space="preserve"> received only N1,000 ($6) w</w:t>
      </w:r>
      <w:r w:rsidR="007E2BD0">
        <w:t>hile</w:t>
      </w:r>
      <w:r>
        <w:t xml:space="preserve"> others receiv</w:t>
      </w:r>
      <w:r w:rsidR="007E2BD0">
        <w:t>ed</w:t>
      </w:r>
      <w:r>
        <w:t xml:space="preserve"> either N2000 ($12), N3000($18) or N4000 ($24). </w:t>
      </w:r>
    </w:p>
    <w:p w:rsidR="008973D5" w:rsidRDefault="008973D5" w:rsidP="008973D5">
      <w:pPr>
        <w:pStyle w:val="BodyText"/>
      </w:pPr>
      <w:r>
        <w:rPr>
          <w:b/>
        </w:rPr>
        <w:t>Conclusion</w:t>
      </w:r>
      <w:r>
        <w:br/>
      </w:r>
      <w:proofErr w:type="gramStart"/>
      <w:r w:rsidR="002261BF">
        <w:t>The</w:t>
      </w:r>
      <w:proofErr w:type="gramEnd"/>
      <w:r w:rsidR="002261BF">
        <w:t xml:space="preserve"> CCT </w:t>
      </w:r>
      <w:r w:rsidR="001A05BF">
        <w:t xml:space="preserve">pilot </w:t>
      </w:r>
      <w:proofErr w:type="spellStart"/>
      <w:r w:rsidR="002261BF">
        <w:t>programme</w:t>
      </w:r>
      <w:proofErr w:type="spellEnd"/>
      <w:r w:rsidR="002261BF">
        <w:t xml:space="preserve"> had a robust design following a proof of concept </w:t>
      </w:r>
      <w:r w:rsidR="007E2BD0">
        <w:t>phase</w:t>
      </w:r>
      <w:r w:rsidR="001A05BF">
        <w:t xml:space="preserve"> </w:t>
      </w:r>
      <w:r w:rsidR="002261BF">
        <w:t>that preceded</w:t>
      </w:r>
      <w:r w:rsidR="001A05BF">
        <w:t xml:space="preserve"> the</w:t>
      </w:r>
      <w:r w:rsidR="002261BF">
        <w:t xml:space="preserve"> roll-out of the pilot </w:t>
      </w:r>
      <w:proofErr w:type="spellStart"/>
      <w:r w:rsidR="002261BF">
        <w:t>programme</w:t>
      </w:r>
      <w:proofErr w:type="spellEnd"/>
      <w:r w:rsidR="001A05BF">
        <w:t>. H</w:t>
      </w:r>
      <w:r w:rsidR="002261BF">
        <w:t xml:space="preserve">owever, its implementation </w:t>
      </w:r>
      <w:r w:rsidR="001A05BF">
        <w:t xml:space="preserve">was marred with several </w:t>
      </w:r>
      <w:r>
        <w:t xml:space="preserve">challenges ranging from </w:t>
      </w:r>
      <w:r w:rsidR="001A05BF">
        <w:t xml:space="preserve">timely </w:t>
      </w:r>
      <w:r>
        <w:t>release of funds</w:t>
      </w:r>
      <w:r w:rsidR="001A05BF">
        <w:t>,</w:t>
      </w:r>
      <w:r>
        <w:t xml:space="preserve"> </w:t>
      </w:r>
      <w:r w:rsidRPr="00825BB5">
        <w:t>limited</w:t>
      </w:r>
      <w:r w:rsidRPr="00FE5E0F">
        <w:rPr>
          <w:color w:val="FF0000"/>
        </w:rPr>
        <w:t xml:space="preserve"> </w:t>
      </w:r>
      <w:r>
        <w:t xml:space="preserve">monitoring and evaluation </w:t>
      </w:r>
      <w:r w:rsidR="001A05BF">
        <w:t>and other operational challenges</w:t>
      </w:r>
      <w:r>
        <w:t xml:space="preserve">. Future CCT </w:t>
      </w:r>
      <w:proofErr w:type="spellStart"/>
      <w:r>
        <w:t>programmes</w:t>
      </w:r>
      <w:proofErr w:type="spellEnd"/>
      <w:r>
        <w:t xml:space="preserve"> should understudy the SWOT analysis presented </w:t>
      </w:r>
      <w:r w:rsidR="006E4647">
        <w:t xml:space="preserve">in this paper to improve </w:t>
      </w:r>
      <w:r>
        <w:t>designs and implementation of CCT programs.</w:t>
      </w:r>
    </w:p>
    <w:p w:rsidR="008973D5" w:rsidRDefault="008973D5" w:rsidP="008973D5">
      <w:pPr>
        <w:pStyle w:val="BodyText"/>
        <w:rPr>
          <w:b/>
          <w:i/>
        </w:rPr>
      </w:pPr>
    </w:p>
    <w:p w:rsidR="008973D5" w:rsidRDefault="008973D5" w:rsidP="008973D5">
      <w:pPr>
        <w:pStyle w:val="BodyText"/>
        <w:rPr>
          <w:i/>
        </w:rPr>
      </w:pPr>
      <w:r>
        <w:rPr>
          <w:b/>
          <w:i/>
        </w:rPr>
        <w:t>Key Words:</w:t>
      </w:r>
      <w:r>
        <w:rPr>
          <w:i/>
        </w:rPr>
        <w:t xml:space="preserve"> SURE-P MCH, Conditional Cash Transfers, operational processes, </w:t>
      </w:r>
      <w:r w:rsidR="000600CE">
        <w:rPr>
          <w:i/>
        </w:rPr>
        <w:t>SWOT analysis</w:t>
      </w:r>
      <w:r w:rsidR="006F343F">
        <w:rPr>
          <w:i/>
        </w:rPr>
        <w:t xml:space="preserve">, </w:t>
      </w:r>
      <w:r w:rsidR="006F343F" w:rsidRPr="006F343F">
        <w:rPr>
          <w:i/>
        </w:rPr>
        <w:t>efficacy and effectiveness</w:t>
      </w:r>
    </w:p>
    <w:p w:rsidR="008973D5" w:rsidRDefault="008973D5" w:rsidP="008973D5">
      <w:pPr>
        <w:pStyle w:val="BodyText"/>
        <w:rPr>
          <w:i/>
        </w:rPr>
      </w:pPr>
    </w:p>
    <w:p w:rsidR="008973D5" w:rsidRDefault="008973D5" w:rsidP="008973D5">
      <w:pPr>
        <w:pStyle w:val="Heading2"/>
      </w:pPr>
      <w:bookmarkStart w:id="2" w:name="introduction"/>
      <w:bookmarkEnd w:id="2"/>
      <w:r>
        <w:t>Background</w:t>
      </w:r>
    </w:p>
    <w:p w:rsidR="008973D5" w:rsidRDefault="008973D5" w:rsidP="008973D5">
      <w:pPr>
        <w:spacing w:after="0"/>
      </w:pPr>
      <w:r w:rsidRPr="00FC36D9">
        <w:t>Nigeria’s high maternal mortality of 576 per 100,000 live births and</w:t>
      </w:r>
      <w:r>
        <w:t xml:space="preserve"> infant</w:t>
      </w:r>
      <w:r w:rsidRPr="00FC36D9">
        <w:t xml:space="preserve"> mortality of </w:t>
      </w:r>
      <w:r>
        <w:t>70 per 1000 live births [1,2]</w:t>
      </w:r>
      <w:r w:rsidRPr="00F54EDB">
        <w:t xml:space="preserve"> remain </w:t>
      </w:r>
      <w:r w:rsidR="008F3991">
        <w:t>worrisome and</w:t>
      </w:r>
      <w:r>
        <w:t xml:space="preserve"> </w:t>
      </w:r>
      <w:r w:rsidRPr="00F54EDB">
        <w:t>reflects inequality in maternal and infant mortality</w:t>
      </w:r>
      <w:r w:rsidR="008F3991">
        <w:t xml:space="preserve"> </w:t>
      </w:r>
      <w:r w:rsidR="00982920">
        <w:t xml:space="preserve">due </w:t>
      </w:r>
      <w:r w:rsidR="008F3991">
        <w:t>to poverty</w:t>
      </w:r>
      <w:r w:rsidR="003C4F8A">
        <w:t>. H</w:t>
      </w:r>
      <w:r w:rsidR="008F3991">
        <w:t>ence</w:t>
      </w:r>
      <w:r w:rsidRPr="00F54EDB">
        <w:t xml:space="preserve"> one strategy to fight health inequality due to poverty is conditional cash </w:t>
      </w:r>
      <w:r w:rsidRPr="00FC36D9">
        <w:t>tra</w:t>
      </w:r>
      <w:r>
        <w:t>nsfer (CCTs) [3]</w:t>
      </w:r>
      <w:r w:rsidRPr="00FC36D9">
        <w:t>.</w:t>
      </w:r>
      <w:r>
        <w:t xml:space="preserve"> In a bi</w:t>
      </w:r>
      <w:r w:rsidR="008F3991">
        <w:t>d to reverse the worrying trend</w:t>
      </w:r>
      <w:r>
        <w:t xml:space="preserve">, </w:t>
      </w:r>
      <w:r w:rsidRPr="00811AB8">
        <w:t>the Federal Government of Ni</w:t>
      </w:r>
      <w:r>
        <w:t xml:space="preserve">geria (FGN) initiated the SURE-P maternal and child health </w:t>
      </w:r>
      <w:proofErr w:type="spellStart"/>
      <w:r>
        <w:t>programme</w:t>
      </w:r>
      <w:proofErr w:type="spellEnd"/>
      <w:r>
        <w:t xml:space="preserve"> (SURE-P MCH)</w:t>
      </w:r>
      <w:r w:rsidR="008F3991">
        <w:t xml:space="preserve"> which </w:t>
      </w:r>
      <w:r w:rsidR="004B2915">
        <w:t xml:space="preserve">combined </w:t>
      </w:r>
      <w:r w:rsidR="008F3991">
        <w:t>supply and demand sides’ interventions. I</w:t>
      </w:r>
      <w:r w:rsidRPr="00FC4AEE">
        <w:t>nitially launched in 500 primar</w:t>
      </w:r>
      <w:r w:rsidR="004826EB">
        <w:t xml:space="preserve">y health care </w:t>
      </w:r>
      <w:r w:rsidR="00901BFD">
        <w:t xml:space="preserve">(PHCs) </w:t>
      </w:r>
      <w:r w:rsidR="004826EB">
        <w:t xml:space="preserve">facilities </w:t>
      </w:r>
      <w:r w:rsidRPr="00FC4AEE">
        <w:t xml:space="preserve">across Nigeria’s 36 states and the </w:t>
      </w:r>
      <w:r>
        <w:t xml:space="preserve">Federal Capital Territory (FCT) </w:t>
      </w:r>
      <w:r w:rsidR="009E4B36">
        <w:t xml:space="preserve">and </w:t>
      </w:r>
      <w:r>
        <w:t xml:space="preserve">later scaled to 1000 </w:t>
      </w:r>
      <w:r w:rsidRPr="00FC4AEE">
        <w:t>facilities</w:t>
      </w:r>
      <w:r>
        <w:t xml:space="preserve"> [4]. </w:t>
      </w:r>
      <w:r w:rsidR="008F3991">
        <w:t>As part of the demand –side intervention, a</w:t>
      </w:r>
      <w:r>
        <w:t xml:space="preserve"> conditional cash transfer (CCT) component </w:t>
      </w:r>
      <w:r w:rsidR="008F3991">
        <w:t>was introduced</w:t>
      </w:r>
      <w:r>
        <w:t xml:space="preserve"> </w:t>
      </w:r>
      <w:r w:rsidR="00C2153A">
        <w:t xml:space="preserve">as a pilot </w:t>
      </w:r>
      <w:proofErr w:type="spellStart"/>
      <w:r w:rsidR="00C2153A">
        <w:t>programme</w:t>
      </w:r>
      <w:proofErr w:type="spellEnd"/>
      <w:r w:rsidR="00C2153A">
        <w:t xml:space="preserve"> </w:t>
      </w:r>
      <w:r w:rsidRPr="00811AB8">
        <w:t>to increase demand for basic maternal, newborn and child health (MNCH) services</w:t>
      </w:r>
      <w:r w:rsidR="008F3991">
        <w:t xml:space="preserve"> rather than poverty reduction as </w:t>
      </w:r>
      <w:r>
        <w:t>emphasized by earlier CCT schemes [5]</w:t>
      </w:r>
      <w:r w:rsidR="008F3991">
        <w:t>. The CCT scheme</w:t>
      </w:r>
      <w:r>
        <w:t xml:space="preserve"> </w:t>
      </w:r>
      <w:r w:rsidR="008F3991">
        <w:t xml:space="preserve">was </w:t>
      </w:r>
      <w:r>
        <w:t xml:space="preserve">implemented in Nigeria’s Federal Capital Territory (FCT), Abuja and 8 states of the federation; </w:t>
      </w:r>
      <w:proofErr w:type="spellStart"/>
      <w:r>
        <w:t>Anambra</w:t>
      </w:r>
      <w:proofErr w:type="spellEnd"/>
      <w:r>
        <w:t xml:space="preserve">, </w:t>
      </w:r>
      <w:proofErr w:type="spellStart"/>
      <w:r>
        <w:t>Bauchi</w:t>
      </w:r>
      <w:proofErr w:type="spellEnd"/>
      <w:r>
        <w:t xml:space="preserve">, </w:t>
      </w:r>
      <w:proofErr w:type="spellStart"/>
      <w:r>
        <w:t>Bayelsa</w:t>
      </w:r>
      <w:proofErr w:type="spellEnd"/>
      <w:r>
        <w:t xml:space="preserve">, </w:t>
      </w:r>
      <w:proofErr w:type="spellStart"/>
      <w:r>
        <w:t>Ebonyi</w:t>
      </w:r>
      <w:proofErr w:type="spellEnd"/>
      <w:r>
        <w:t xml:space="preserve">, Kaduna, Niger, </w:t>
      </w:r>
      <w:proofErr w:type="spellStart"/>
      <w:r>
        <w:t>Ogun</w:t>
      </w:r>
      <w:proofErr w:type="spellEnd"/>
      <w:r>
        <w:t xml:space="preserve">, and </w:t>
      </w:r>
      <w:proofErr w:type="spellStart"/>
      <w:r>
        <w:t>Zamfara</w:t>
      </w:r>
      <w:proofErr w:type="spellEnd"/>
      <w:r>
        <w:t xml:space="preserve"> – for a geographic spread. The CCT scheme </w:t>
      </w:r>
      <w:r w:rsidR="00774A2C">
        <w:t>with</w:t>
      </w:r>
      <w:r>
        <w:t xml:space="preserve"> an annual budget of over N100,000,000 ($602,410</w:t>
      </w:r>
      <w:r w:rsidRPr="00E920E3">
        <w:t>)</w:t>
      </w:r>
      <w:r w:rsidR="00774A2C">
        <w:t xml:space="preserve">, </w:t>
      </w:r>
      <w:r>
        <w:t xml:space="preserve">was designed to incentivize </w:t>
      </w:r>
      <w:r w:rsidR="00774A2C">
        <w:t>enrolled beneficiaries</w:t>
      </w:r>
      <w:r w:rsidRPr="00CC5ECF">
        <w:t xml:space="preserve"> </w:t>
      </w:r>
      <w:r w:rsidR="00774A2C">
        <w:t xml:space="preserve">who fulfil </w:t>
      </w:r>
      <w:r w:rsidRPr="00CC5ECF">
        <w:t xml:space="preserve">a set of four co-responsibilities along the continuum of care </w:t>
      </w:r>
      <w:r w:rsidR="008F3991">
        <w:t>for</w:t>
      </w:r>
      <w:r w:rsidRPr="00CC5ECF">
        <w:t xml:space="preserve"> MNCH services in designated PHC</w:t>
      </w:r>
      <w:r w:rsidR="00901BFD">
        <w:t>s</w:t>
      </w:r>
      <w:r w:rsidRPr="00CC5ECF">
        <w:t xml:space="preserve"> to reduce the impact of economic barriers to access to health services e.g. transportation to the </w:t>
      </w:r>
      <w:r>
        <w:t>PHC and out-of-pocket expenses[6]. Pro-rated cash support of up</w:t>
      </w:r>
      <w:r w:rsidR="00901BFD">
        <w:t xml:space="preserve"> to N5</w:t>
      </w:r>
      <w:proofErr w:type="gramStart"/>
      <w:r w:rsidR="00901BFD">
        <w:t>,000</w:t>
      </w:r>
      <w:proofErr w:type="gramEnd"/>
      <w:r w:rsidR="00901BFD">
        <w:t xml:space="preserve"> (approximately $30) </w:t>
      </w:r>
      <w:r>
        <w:t xml:space="preserve">was provided to qualified pregnant women who go through the continuum of care, from antenatal through post-natal care. </w:t>
      </w:r>
      <w:r w:rsidR="008F3991">
        <w:t>The</w:t>
      </w:r>
      <w:r w:rsidRPr="00CC5ECF">
        <w:t xml:space="preserve"> value of N5</w:t>
      </w:r>
      <w:proofErr w:type="gramStart"/>
      <w:r w:rsidRPr="00CC5ECF">
        <w:t>,000</w:t>
      </w:r>
      <w:proofErr w:type="gramEnd"/>
      <w:r w:rsidRPr="00CC5ECF">
        <w:t xml:space="preserve"> or US$30 as at year 2012 was determined by average estimates of costs incurred by pregnant women to access and utilize the facility</w:t>
      </w:r>
      <w:r w:rsidR="00901BFD">
        <w:t>, drawn from findings of</w:t>
      </w:r>
      <w:r w:rsidRPr="00CC5ECF">
        <w:t xml:space="preserve"> the proof-of-concept</w:t>
      </w:r>
      <w:r>
        <w:t xml:space="preserve"> phase [5]</w:t>
      </w:r>
      <w:r w:rsidRPr="00CC5ECF">
        <w:t>.</w:t>
      </w:r>
    </w:p>
    <w:p w:rsidR="00E208EC" w:rsidRDefault="00E208EC" w:rsidP="008973D5">
      <w:pPr>
        <w:pStyle w:val="ListParagraph"/>
        <w:ind w:left="0"/>
        <w:rPr>
          <w:color w:val="FF0000"/>
          <w:sz w:val="24"/>
          <w:szCs w:val="24"/>
          <w:lang w:val="en-US"/>
        </w:rPr>
      </w:pPr>
    </w:p>
    <w:p w:rsidR="008973D5" w:rsidRDefault="00E208EC" w:rsidP="008973D5">
      <w:pPr>
        <w:pStyle w:val="ListParagraph"/>
        <w:ind w:left="0"/>
        <w:rPr>
          <w:sz w:val="24"/>
          <w:szCs w:val="24"/>
        </w:rPr>
      </w:pPr>
      <w:r w:rsidRPr="0002097D">
        <w:rPr>
          <w:sz w:val="24"/>
          <w:szCs w:val="24"/>
          <w:lang w:val="en-US"/>
        </w:rPr>
        <w:t>Most</w:t>
      </w:r>
      <w:r w:rsidR="005363B3" w:rsidRPr="0002097D">
        <w:rPr>
          <w:sz w:val="24"/>
          <w:szCs w:val="24"/>
          <w:lang w:val="en-US"/>
        </w:rPr>
        <w:t xml:space="preserve"> CCTs are targeted at disadvantaged or vulnerable people as investments in human capital</w:t>
      </w:r>
      <w:r w:rsidR="0015445B">
        <w:rPr>
          <w:sz w:val="24"/>
          <w:szCs w:val="24"/>
          <w:lang w:val="en-US"/>
        </w:rPr>
        <w:t xml:space="preserve"> and</w:t>
      </w:r>
      <w:r w:rsidR="005363B3" w:rsidRPr="0002097D">
        <w:rPr>
          <w:sz w:val="24"/>
          <w:szCs w:val="24"/>
          <w:lang w:val="en-US"/>
        </w:rPr>
        <w:t xml:space="preserve"> in addition to providing immediate poverty relief [</w:t>
      </w:r>
      <w:r w:rsidR="0066039F" w:rsidRPr="0002097D">
        <w:rPr>
          <w:sz w:val="24"/>
          <w:szCs w:val="24"/>
          <w:lang w:val="en-US"/>
        </w:rPr>
        <w:t>6</w:t>
      </w:r>
      <w:r w:rsidR="005363B3" w:rsidRPr="0002097D">
        <w:rPr>
          <w:sz w:val="24"/>
          <w:szCs w:val="24"/>
          <w:lang w:val="en-US"/>
        </w:rPr>
        <w:t xml:space="preserve">]. </w:t>
      </w:r>
      <w:r w:rsidRPr="0002097D">
        <w:rPr>
          <w:sz w:val="24"/>
          <w:szCs w:val="24"/>
          <w:lang w:val="en-US"/>
        </w:rPr>
        <w:t>The last two decades has seen an</w:t>
      </w:r>
      <w:r w:rsidR="008973D5" w:rsidRPr="0002097D">
        <w:rPr>
          <w:sz w:val="24"/>
          <w:szCs w:val="24"/>
          <w:lang w:val="en-US"/>
        </w:rPr>
        <w:t xml:space="preserve"> </w:t>
      </w:r>
      <w:r w:rsidR="008973D5" w:rsidRPr="0002097D">
        <w:rPr>
          <w:sz w:val="24"/>
          <w:szCs w:val="24"/>
          <w:lang w:val="en-US"/>
        </w:rPr>
        <w:lastRenderedPageBreak/>
        <w:t xml:space="preserve">upsurge in the use of conditional cash transfers (CCTs) as innovative approaches to deliver social goods to vulnerable populations around the world </w:t>
      </w:r>
      <w:r w:rsidRPr="0002097D">
        <w:rPr>
          <w:sz w:val="24"/>
          <w:szCs w:val="24"/>
          <w:lang w:val="en-US"/>
        </w:rPr>
        <w:t>[</w:t>
      </w:r>
      <w:r w:rsidR="0066039F" w:rsidRPr="0002097D">
        <w:rPr>
          <w:sz w:val="24"/>
          <w:szCs w:val="24"/>
          <w:lang w:val="en-US"/>
        </w:rPr>
        <w:t>7</w:t>
      </w:r>
      <w:proofErr w:type="gramStart"/>
      <w:r w:rsidRPr="0002097D">
        <w:rPr>
          <w:sz w:val="24"/>
          <w:szCs w:val="24"/>
          <w:lang w:val="en-US"/>
        </w:rPr>
        <w:t>,</w:t>
      </w:r>
      <w:r w:rsidR="0066039F" w:rsidRPr="0002097D">
        <w:rPr>
          <w:sz w:val="24"/>
          <w:szCs w:val="24"/>
          <w:lang w:val="en-US"/>
        </w:rPr>
        <w:t>8,9</w:t>
      </w:r>
      <w:proofErr w:type="gramEnd"/>
      <w:r w:rsidRPr="0002097D">
        <w:rPr>
          <w:sz w:val="24"/>
          <w:szCs w:val="24"/>
          <w:lang w:val="en-US"/>
        </w:rPr>
        <w:t>]</w:t>
      </w:r>
      <w:r w:rsidR="008973D5" w:rsidRPr="0002097D">
        <w:rPr>
          <w:sz w:val="24"/>
          <w:szCs w:val="24"/>
          <w:lang w:val="en-US"/>
        </w:rPr>
        <w:t xml:space="preserve">. </w:t>
      </w:r>
      <w:r w:rsidR="00BA0C05" w:rsidRPr="0002097D">
        <w:rPr>
          <w:sz w:val="24"/>
          <w:szCs w:val="24"/>
          <w:lang w:val="en-US"/>
        </w:rPr>
        <w:t>Since</w:t>
      </w:r>
      <w:r w:rsidR="0015445B">
        <w:rPr>
          <w:sz w:val="24"/>
          <w:szCs w:val="24"/>
          <w:lang w:val="en-US"/>
        </w:rPr>
        <w:t>,</w:t>
      </w:r>
      <w:r w:rsidR="008973D5" w:rsidRPr="0002097D">
        <w:rPr>
          <w:sz w:val="24"/>
          <w:szCs w:val="24"/>
          <w:lang w:val="en-US"/>
        </w:rPr>
        <w:t xml:space="preserve"> Mexico implemented “</w:t>
      </w:r>
      <w:proofErr w:type="spellStart"/>
      <w:r w:rsidR="008973D5" w:rsidRPr="0002097D">
        <w:rPr>
          <w:sz w:val="24"/>
          <w:szCs w:val="24"/>
          <w:lang w:val="en-US"/>
        </w:rPr>
        <w:t>Oportunidades</w:t>
      </w:r>
      <w:proofErr w:type="spellEnd"/>
      <w:r w:rsidR="008973D5" w:rsidRPr="0002097D">
        <w:rPr>
          <w:sz w:val="24"/>
          <w:szCs w:val="24"/>
          <w:lang w:val="en-US"/>
        </w:rPr>
        <w:t>” and Brazil’ “</w:t>
      </w:r>
      <w:proofErr w:type="spellStart"/>
      <w:r w:rsidR="008973D5" w:rsidRPr="0002097D">
        <w:rPr>
          <w:sz w:val="24"/>
          <w:szCs w:val="24"/>
          <w:lang w:val="en-US"/>
        </w:rPr>
        <w:t>Bolsa</w:t>
      </w:r>
      <w:proofErr w:type="spellEnd"/>
      <w:r w:rsidR="008973D5" w:rsidRPr="0002097D">
        <w:rPr>
          <w:sz w:val="24"/>
          <w:szCs w:val="24"/>
          <w:lang w:val="en-US"/>
        </w:rPr>
        <w:t xml:space="preserve"> </w:t>
      </w:r>
      <w:proofErr w:type="spellStart"/>
      <w:r w:rsidR="008973D5" w:rsidRPr="0002097D">
        <w:rPr>
          <w:sz w:val="24"/>
          <w:szCs w:val="24"/>
          <w:lang w:val="en-US"/>
        </w:rPr>
        <w:t>Familia</w:t>
      </w:r>
      <w:proofErr w:type="spellEnd"/>
      <w:r w:rsidR="008973D5" w:rsidRPr="0002097D">
        <w:rPr>
          <w:sz w:val="24"/>
          <w:szCs w:val="24"/>
          <w:lang w:val="en-US"/>
        </w:rPr>
        <w:t xml:space="preserve"> </w:t>
      </w:r>
      <w:proofErr w:type="spellStart"/>
      <w:r w:rsidR="008973D5" w:rsidRPr="0002097D">
        <w:rPr>
          <w:sz w:val="24"/>
          <w:szCs w:val="24"/>
          <w:lang w:val="en-US"/>
        </w:rPr>
        <w:t>Programme</w:t>
      </w:r>
      <w:proofErr w:type="spellEnd"/>
      <w:r w:rsidR="008973D5" w:rsidRPr="0002097D">
        <w:rPr>
          <w:sz w:val="24"/>
          <w:szCs w:val="24"/>
          <w:lang w:val="en-US"/>
        </w:rPr>
        <w:t>” (BFP), several countries have implemented CCTs</w:t>
      </w:r>
      <w:r w:rsidRPr="0002097D">
        <w:rPr>
          <w:sz w:val="24"/>
          <w:szCs w:val="24"/>
          <w:lang w:val="en-US"/>
        </w:rPr>
        <w:t xml:space="preserve"> </w:t>
      </w:r>
      <w:r w:rsidR="003B4946" w:rsidRPr="0002097D">
        <w:rPr>
          <w:sz w:val="24"/>
          <w:szCs w:val="24"/>
          <w:lang w:val="en-US"/>
        </w:rPr>
        <w:t>from Latin Americas t</w:t>
      </w:r>
      <w:r w:rsidR="008973D5" w:rsidRPr="0002097D">
        <w:rPr>
          <w:sz w:val="24"/>
          <w:szCs w:val="24"/>
          <w:lang w:val="en-US"/>
        </w:rPr>
        <w:t xml:space="preserve">o </w:t>
      </w:r>
      <w:r w:rsidR="003B4946" w:rsidRPr="0002097D">
        <w:rPr>
          <w:sz w:val="24"/>
          <w:szCs w:val="24"/>
          <w:lang w:val="en-US"/>
        </w:rPr>
        <w:t xml:space="preserve">Asia such as </w:t>
      </w:r>
      <w:r w:rsidR="005363B3" w:rsidRPr="0002097D">
        <w:rPr>
          <w:sz w:val="24"/>
          <w:szCs w:val="24"/>
        </w:rPr>
        <w:t xml:space="preserve">the </w:t>
      </w:r>
      <w:proofErr w:type="spellStart"/>
      <w:r w:rsidR="005363B3" w:rsidRPr="0002097D">
        <w:rPr>
          <w:sz w:val="24"/>
          <w:szCs w:val="24"/>
        </w:rPr>
        <w:t>Janani</w:t>
      </w:r>
      <w:proofErr w:type="spellEnd"/>
      <w:r w:rsidR="005363B3" w:rsidRPr="0002097D">
        <w:rPr>
          <w:sz w:val="24"/>
          <w:szCs w:val="24"/>
        </w:rPr>
        <w:t xml:space="preserve"> </w:t>
      </w:r>
      <w:proofErr w:type="spellStart"/>
      <w:r w:rsidR="005363B3" w:rsidRPr="0002097D">
        <w:rPr>
          <w:sz w:val="24"/>
          <w:szCs w:val="24"/>
        </w:rPr>
        <w:t>Suraksha</w:t>
      </w:r>
      <w:proofErr w:type="spellEnd"/>
      <w:r w:rsidR="005363B3" w:rsidRPr="0002097D">
        <w:rPr>
          <w:sz w:val="24"/>
          <w:szCs w:val="24"/>
        </w:rPr>
        <w:t xml:space="preserve"> </w:t>
      </w:r>
      <w:proofErr w:type="spellStart"/>
      <w:r w:rsidR="005363B3" w:rsidRPr="0002097D">
        <w:rPr>
          <w:sz w:val="24"/>
          <w:szCs w:val="24"/>
        </w:rPr>
        <w:t>Yojana</w:t>
      </w:r>
      <w:proofErr w:type="spellEnd"/>
      <w:r w:rsidR="005363B3" w:rsidRPr="0002097D">
        <w:rPr>
          <w:sz w:val="24"/>
          <w:szCs w:val="24"/>
        </w:rPr>
        <w:t xml:space="preserve"> (JSY) CCT programme in India [</w:t>
      </w:r>
      <w:r w:rsidR="0066039F" w:rsidRPr="0002097D">
        <w:rPr>
          <w:sz w:val="24"/>
          <w:szCs w:val="24"/>
        </w:rPr>
        <w:t>10</w:t>
      </w:r>
      <w:r w:rsidR="005363B3" w:rsidRPr="0002097D">
        <w:t>]</w:t>
      </w:r>
      <w:r w:rsidR="003B4946" w:rsidRPr="0002097D">
        <w:t xml:space="preserve"> </w:t>
      </w:r>
      <w:r w:rsidR="003B4946" w:rsidRPr="0015445B">
        <w:rPr>
          <w:sz w:val="24"/>
          <w:szCs w:val="24"/>
          <w:lang w:val="en-US"/>
        </w:rPr>
        <w:t xml:space="preserve">and Indonesia's large-scale CCTs scheme known as Program </w:t>
      </w:r>
      <w:proofErr w:type="spellStart"/>
      <w:r w:rsidR="003B4946" w:rsidRPr="0015445B">
        <w:rPr>
          <w:sz w:val="24"/>
          <w:szCs w:val="24"/>
          <w:lang w:val="en-US"/>
        </w:rPr>
        <w:t>Keluarga</w:t>
      </w:r>
      <w:proofErr w:type="spellEnd"/>
      <w:r w:rsidR="003B4946" w:rsidRPr="0015445B">
        <w:rPr>
          <w:sz w:val="24"/>
          <w:szCs w:val="24"/>
          <w:lang w:val="en-US"/>
        </w:rPr>
        <w:t xml:space="preserve"> </w:t>
      </w:r>
      <w:proofErr w:type="spellStart"/>
      <w:r w:rsidR="003B4946" w:rsidRPr="0015445B">
        <w:rPr>
          <w:sz w:val="24"/>
          <w:szCs w:val="24"/>
          <w:lang w:val="en-US"/>
        </w:rPr>
        <w:t>Harapan</w:t>
      </w:r>
      <w:proofErr w:type="spellEnd"/>
      <w:r w:rsidR="003B4946" w:rsidRPr="0015445B">
        <w:rPr>
          <w:sz w:val="24"/>
          <w:szCs w:val="24"/>
          <w:lang w:val="en-US"/>
        </w:rPr>
        <w:t xml:space="preserve"> (PKH) [</w:t>
      </w:r>
      <w:r w:rsidR="0066039F" w:rsidRPr="0015445B">
        <w:rPr>
          <w:sz w:val="24"/>
          <w:szCs w:val="24"/>
          <w:lang w:val="en-US"/>
        </w:rPr>
        <w:t>11</w:t>
      </w:r>
      <w:r w:rsidR="003B4946" w:rsidRPr="0015445B">
        <w:rPr>
          <w:sz w:val="24"/>
          <w:szCs w:val="24"/>
          <w:lang w:val="en-US"/>
        </w:rPr>
        <w:t>,</w:t>
      </w:r>
      <w:r w:rsidR="0066039F" w:rsidRPr="0015445B">
        <w:rPr>
          <w:sz w:val="24"/>
          <w:szCs w:val="24"/>
          <w:lang w:val="en-US"/>
        </w:rPr>
        <w:t xml:space="preserve"> 12</w:t>
      </w:r>
      <w:r w:rsidR="003B4946" w:rsidRPr="0015445B">
        <w:rPr>
          <w:sz w:val="24"/>
          <w:szCs w:val="24"/>
          <w:lang w:val="en-US"/>
        </w:rPr>
        <w:t xml:space="preserve">]. </w:t>
      </w:r>
      <w:proofErr w:type="spellStart"/>
      <w:r w:rsidR="003B4946" w:rsidRPr="0015445B">
        <w:rPr>
          <w:sz w:val="24"/>
          <w:szCs w:val="24"/>
          <w:lang w:val="en-US"/>
        </w:rPr>
        <w:t>S</w:t>
      </w:r>
      <w:r w:rsidR="008973D5" w:rsidRPr="0002097D">
        <w:rPr>
          <w:sz w:val="24"/>
          <w:szCs w:val="24"/>
          <w:lang w:val="en-US"/>
        </w:rPr>
        <w:t>ub</w:t>
      </w:r>
      <w:r w:rsidR="008973D5" w:rsidRPr="00CC5ECF">
        <w:rPr>
          <w:sz w:val="24"/>
          <w:szCs w:val="24"/>
          <w:lang w:val="en-US"/>
        </w:rPr>
        <w:t>-saharan</w:t>
      </w:r>
      <w:proofErr w:type="spellEnd"/>
      <w:r w:rsidR="008973D5" w:rsidRPr="00CC5ECF">
        <w:rPr>
          <w:sz w:val="24"/>
          <w:szCs w:val="24"/>
          <w:lang w:val="en-US"/>
        </w:rPr>
        <w:t xml:space="preserve"> Africa such as Kenya</w:t>
      </w:r>
      <w:r w:rsidR="003B4946">
        <w:rPr>
          <w:sz w:val="24"/>
          <w:szCs w:val="24"/>
          <w:lang w:val="en-US"/>
        </w:rPr>
        <w:t xml:space="preserve"> has also implemented CCTs</w:t>
      </w:r>
      <w:r w:rsidR="005363B3">
        <w:rPr>
          <w:sz w:val="24"/>
          <w:szCs w:val="24"/>
          <w:lang w:val="en-US"/>
        </w:rPr>
        <w:t xml:space="preserve"> </w:t>
      </w:r>
      <w:r w:rsidR="008973D5" w:rsidRPr="00CC5ECF">
        <w:rPr>
          <w:sz w:val="24"/>
          <w:szCs w:val="24"/>
          <w:lang w:val="en-US"/>
        </w:rPr>
        <w:t xml:space="preserve">and most recently in developed </w:t>
      </w:r>
      <w:r w:rsidR="003B4946">
        <w:rPr>
          <w:sz w:val="24"/>
          <w:szCs w:val="24"/>
          <w:lang w:val="en-US"/>
        </w:rPr>
        <w:t xml:space="preserve">countries such as England and </w:t>
      </w:r>
      <w:r w:rsidR="008973D5" w:rsidRPr="00CC5ECF">
        <w:rPr>
          <w:sz w:val="24"/>
          <w:szCs w:val="24"/>
          <w:lang w:val="en-US"/>
        </w:rPr>
        <w:t xml:space="preserve">“Opportunity New York City” (ONYC) in the United States </w:t>
      </w:r>
      <w:r w:rsidR="008973D5">
        <w:rPr>
          <w:sz w:val="24"/>
          <w:szCs w:val="24"/>
          <w:lang w:val="en-US"/>
        </w:rPr>
        <w:t>[</w:t>
      </w:r>
      <w:r w:rsidR="0066039F">
        <w:rPr>
          <w:sz w:val="24"/>
          <w:szCs w:val="24"/>
          <w:lang w:val="en-US"/>
        </w:rPr>
        <w:t>13</w:t>
      </w:r>
      <w:proofErr w:type="gramStart"/>
      <w:r w:rsidR="008973D5">
        <w:rPr>
          <w:sz w:val="24"/>
          <w:szCs w:val="24"/>
          <w:lang w:val="en-US"/>
        </w:rPr>
        <w:t>,</w:t>
      </w:r>
      <w:r w:rsidR="0066039F">
        <w:rPr>
          <w:sz w:val="24"/>
          <w:szCs w:val="24"/>
          <w:lang w:val="en-US"/>
        </w:rPr>
        <w:t>14</w:t>
      </w:r>
      <w:r w:rsidR="008973D5">
        <w:rPr>
          <w:sz w:val="24"/>
          <w:szCs w:val="24"/>
          <w:lang w:val="en-US"/>
        </w:rPr>
        <w:t>,</w:t>
      </w:r>
      <w:r w:rsidR="0066039F">
        <w:rPr>
          <w:sz w:val="24"/>
          <w:szCs w:val="24"/>
          <w:lang w:val="en-US"/>
        </w:rPr>
        <w:t>15</w:t>
      </w:r>
      <w:r w:rsidR="008973D5">
        <w:rPr>
          <w:sz w:val="24"/>
          <w:szCs w:val="24"/>
          <w:lang w:val="en-US"/>
        </w:rPr>
        <w:t>,1</w:t>
      </w:r>
      <w:r w:rsidR="0066039F">
        <w:rPr>
          <w:sz w:val="24"/>
          <w:szCs w:val="24"/>
          <w:lang w:val="en-US"/>
        </w:rPr>
        <w:t>6</w:t>
      </w:r>
      <w:proofErr w:type="gramEnd"/>
      <w:r w:rsidR="008973D5">
        <w:rPr>
          <w:sz w:val="24"/>
          <w:szCs w:val="24"/>
          <w:lang w:val="en-US"/>
        </w:rPr>
        <w:t>]</w:t>
      </w:r>
      <w:r w:rsidR="005363B3">
        <w:rPr>
          <w:sz w:val="24"/>
          <w:szCs w:val="24"/>
          <w:lang w:val="en-US"/>
        </w:rPr>
        <w:t xml:space="preserve">. </w:t>
      </w:r>
      <w:r w:rsidR="008973D5" w:rsidRPr="00B62C1D">
        <w:rPr>
          <w:sz w:val="24"/>
          <w:szCs w:val="24"/>
        </w:rPr>
        <w:t xml:space="preserve">As a lead social protection initiative to address poverty and vulnerability, CCT is not totally new </w:t>
      </w:r>
      <w:r w:rsidR="00E0055A">
        <w:rPr>
          <w:sz w:val="24"/>
          <w:szCs w:val="24"/>
        </w:rPr>
        <w:t>to</w:t>
      </w:r>
      <w:r w:rsidR="008973D5" w:rsidRPr="00B62C1D">
        <w:rPr>
          <w:sz w:val="24"/>
          <w:szCs w:val="24"/>
        </w:rPr>
        <w:t xml:space="preserve"> Nigeria. Nigeria has had its own share of CCT schemes at different scales and with varied focus since the 2000s and while some were state-sponsored, others were </w:t>
      </w:r>
      <w:r w:rsidR="00EF4CFD">
        <w:rPr>
          <w:sz w:val="24"/>
          <w:szCs w:val="24"/>
        </w:rPr>
        <w:t>federal</w:t>
      </w:r>
      <w:r w:rsidR="008973D5" w:rsidRPr="00B62C1D">
        <w:rPr>
          <w:sz w:val="24"/>
          <w:szCs w:val="24"/>
        </w:rPr>
        <w:t xml:space="preserve"> government-sponsored. Prominent among them was the Nigeria’s ‘In Care of the People’ (COPE) conditional cash transfer (CCT) programme launched in 2007 across 12 Nigeria’s states, targeted at reducing socio-economic vulnerabilities and breaking the cycle of intergenerational poverty </w:t>
      </w:r>
      <w:r w:rsidR="008973D5">
        <w:rPr>
          <w:sz w:val="24"/>
          <w:szCs w:val="24"/>
        </w:rPr>
        <w:t>[1</w:t>
      </w:r>
      <w:r w:rsidR="0066039F">
        <w:rPr>
          <w:sz w:val="24"/>
          <w:szCs w:val="24"/>
        </w:rPr>
        <w:t>7</w:t>
      </w:r>
      <w:r w:rsidR="008973D5">
        <w:rPr>
          <w:sz w:val="24"/>
          <w:szCs w:val="24"/>
        </w:rPr>
        <w:t>]</w:t>
      </w:r>
      <w:r w:rsidR="008973D5" w:rsidRPr="00B62C1D">
        <w:rPr>
          <w:sz w:val="24"/>
          <w:szCs w:val="24"/>
        </w:rPr>
        <w:t>. The effectiveness of COPE became questionable when monitor</w:t>
      </w:r>
      <w:r w:rsidR="008973D5" w:rsidRPr="00B62C1D">
        <w:rPr>
          <w:sz w:val="24"/>
          <w:szCs w:val="24"/>
        </w:rPr>
        <w:softHyphen/>
        <w:t xml:space="preserve">ing and evaluation (M&amp;E) mechanisms were conspicuously lacking and many challenges found with the programme delivery and </w:t>
      </w:r>
      <w:r w:rsidR="008973D5">
        <w:rPr>
          <w:sz w:val="24"/>
          <w:szCs w:val="24"/>
        </w:rPr>
        <w:t>infrastruc</w:t>
      </w:r>
      <w:r w:rsidR="008973D5">
        <w:rPr>
          <w:sz w:val="24"/>
          <w:szCs w:val="24"/>
        </w:rPr>
        <w:softHyphen/>
        <w:t>ture which undermine</w:t>
      </w:r>
      <w:r w:rsidR="008973D5" w:rsidRPr="00B0161B">
        <w:rPr>
          <w:sz w:val="24"/>
          <w:szCs w:val="24"/>
        </w:rPr>
        <w:t>d</w:t>
      </w:r>
      <w:r w:rsidR="008973D5" w:rsidRPr="00B62C1D">
        <w:rPr>
          <w:sz w:val="24"/>
          <w:szCs w:val="24"/>
        </w:rPr>
        <w:t xml:space="preserve"> the pro</w:t>
      </w:r>
      <w:r w:rsidR="008973D5" w:rsidRPr="00B62C1D">
        <w:rPr>
          <w:sz w:val="24"/>
          <w:szCs w:val="24"/>
        </w:rPr>
        <w:softHyphen/>
        <w:t xml:space="preserve">gramme’s effectiveness </w:t>
      </w:r>
      <w:r w:rsidR="008973D5">
        <w:rPr>
          <w:sz w:val="24"/>
          <w:szCs w:val="24"/>
        </w:rPr>
        <w:t>[1</w:t>
      </w:r>
      <w:r w:rsidR="0066039F">
        <w:rPr>
          <w:sz w:val="24"/>
          <w:szCs w:val="24"/>
        </w:rPr>
        <w:t>7</w:t>
      </w:r>
      <w:r w:rsidR="008973D5">
        <w:rPr>
          <w:sz w:val="24"/>
          <w:szCs w:val="24"/>
        </w:rPr>
        <w:t>]</w:t>
      </w:r>
      <w:r w:rsidR="008973D5" w:rsidRPr="00B62C1D">
        <w:rPr>
          <w:sz w:val="24"/>
          <w:szCs w:val="24"/>
        </w:rPr>
        <w:t xml:space="preserve">. Other previous CCTs programmes include; CCTs to support girl-child education in three Northern states; Kano, </w:t>
      </w:r>
      <w:proofErr w:type="spellStart"/>
      <w:r w:rsidR="008973D5" w:rsidRPr="00B62C1D">
        <w:rPr>
          <w:sz w:val="24"/>
          <w:szCs w:val="24"/>
        </w:rPr>
        <w:t>Bauchi</w:t>
      </w:r>
      <w:proofErr w:type="spellEnd"/>
      <w:r w:rsidR="008973D5" w:rsidRPr="00B62C1D">
        <w:rPr>
          <w:sz w:val="24"/>
          <w:szCs w:val="24"/>
        </w:rPr>
        <w:t xml:space="preserve"> and </w:t>
      </w:r>
      <w:proofErr w:type="spellStart"/>
      <w:r w:rsidR="008973D5" w:rsidRPr="00B62C1D">
        <w:rPr>
          <w:sz w:val="24"/>
          <w:szCs w:val="24"/>
        </w:rPr>
        <w:t>Katsina</w:t>
      </w:r>
      <w:proofErr w:type="spellEnd"/>
      <w:r w:rsidR="008973D5" w:rsidRPr="00B62C1D">
        <w:rPr>
          <w:sz w:val="24"/>
          <w:szCs w:val="24"/>
        </w:rPr>
        <w:t xml:space="preserve"> assisted by the World Bank, DFID and UNICEF. </w:t>
      </w:r>
      <w:proofErr w:type="spellStart"/>
      <w:r w:rsidR="008973D5" w:rsidRPr="00B62C1D">
        <w:rPr>
          <w:sz w:val="24"/>
          <w:szCs w:val="24"/>
        </w:rPr>
        <w:t>Jigawa</w:t>
      </w:r>
      <w:proofErr w:type="spellEnd"/>
      <w:r w:rsidR="008973D5" w:rsidRPr="00B62C1D">
        <w:rPr>
          <w:sz w:val="24"/>
          <w:szCs w:val="24"/>
        </w:rPr>
        <w:t xml:space="preserve"> state, sponsored a disability allowance programme while </w:t>
      </w:r>
      <w:proofErr w:type="spellStart"/>
      <w:r w:rsidR="008973D5" w:rsidRPr="00B62C1D">
        <w:rPr>
          <w:sz w:val="24"/>
          <w:szCs w:val="24"/>
        </w:rPr>
        <w:t>Bayelsa</w:t>
      </w:r>
      <w:proofErr w:type="spellEnd"/>
      <w:r w:rsidR="008973D5" w:rsidRPr="00B62C1D">
        <w:rPr>
          <w:sz w:val="24"/>
          <w:szCs w:val="24"/>
        </w:rPr>
        <w:t xml:space="preserve"> state sponsored a child savings scheme. Cross -Rivers State also sponsored a CCT programme for poor households and </w:t>
      </w:r>
      <w:proofErr w:type="spellStart"/>
      <w:r w:rsidR="008973D5" w:rsidRPr="00B62C1D">
        <w:rPr>
          <w:sz w:val="24"/>
          <w:szCs w:val="24"/>
        </w:rPr>
        <w:t>Ekiti</w:t>
      </w:r>
      <w:proofErr w:type="spellEnd"/>
      <w:r w:rsidR="008973D5" w:rsidRPr="00B62C1D">
        <w:rPr>
          <w:sz w:val="24"/>
          <w:szCs w:val="24"/>
        </w:rPr>
        <w:t xml:space="preserve"> State targeted the elderly who do not earn pensions but were above 65 years (though unconditionally) </w:t>
      </w:r>
      <w:r w:rsidR="008973D5">
        <w:rPr>
          <w:sz w:val="24"/>
          <w:szCs w:val="24"/>
        </w:rPr>
        <w:t>[1</w:t>
      </w:r>
      <w:r w:rsidR="0066039F">
        <w:rPr>
          <w:sz w:val="24"/>
          <w:szCs w:val="24"/>
        </w:rPr>
        <w:t>7</w:t>
      </w:r>
      <w:r w:rsidR="008973D5">
        <w:rPr>
          <w:sz w:val="24"/>
          <w:szCs w:val="24"/>
        </w:rPr>
        <w:t>].</w:t>
      </w:r>
      <w:r w:rsidR="008973D5" w:rsidRPr="00B62C1D">
        <w:rPr>
          <w:sz w:val="24"/>
          <w:szCs w:val="24"/>
        </w:rPr>
        <w:t xml:space="preserve"> </w:t>
      </w:r>
    </w:p>
    <w:p w:rsidR="008973D5" w:rsidRDefault="008973D5" w:rsidP="008973D5">
      <w:pPr>
        <w:pStyle w:val="ListParagraph"/>
        <w:ind w:left="0"/>
        <w:rPr>
          <w:sz w:val="24"/>
          <w:szCs w:val="24"/>
        </w:rPr>
      </w:pPr>
    </w:p>
    <w:p w:rsidR="00A019E8" w:rsidRDefault="008973D5" w:rsidP="008973D5">
      <w:pPr>
        <w:pStyle w:val="ListParagraph"/>
        <w:ind w:left="0"/>
        <w:rPr>
          <w:sz w:val="24"/>
          <w:szCs w:val="24"/>
        </w:rPr>
      </w:pPr>
      <w:r w:rsidRPr="00463B49">
        <w:rPr>
          <w:sz w:val="24"/>
          <w:szCs w:val="24"/>
        </w:rPr>
        <w:t xml:space="preserve">Unfortunately, these schemes </w:t>
      </w:r>
      <w:r w:rsidR="004F5E96">
        <w:rPr>
          <w:sz w:val="24"/>
          <w:szCs w:val="24"/>
        </w:rPr>
        <w:t>have been</w:t>
      </w:r>
      <w:r w:rsidRPr="00463B49">
        <w:rPr>
          <w:sz w:val="24"/>
          <w:szCs w:val="24"/>
        </w:rPr>
        <w:t xml:space="preserve"> unsustainable because they were characterized by </w:t>
      </w:r>
      <w:r w:rsidR="005363B3">
        <w:rPr>
          <w:sz w:val="24"/>
          <w:szCs w:val="24"/>
        </w:rPr>
        <w:t xml:space="preserve">poor conceptualization and </w:t>
      </w:r>
      <w:r w:rsidRPr="00463B49">
        <w:rPr>
          <w:sz w:val="24"/>
          <w:szCs w:val="24"/>
        </w:rPr>
        <w:t xml:space="preserve">short-term financing mechanism </w:t>
      </w:r>
      <w:r w:rsidR="004F5E96">
        <w:rPr>
          <w:sz w:val="24"/>
          <w:szCs w:val="24"/>
        </w:rPr>
        <w:t xml:space="preserve">which lasted </w:t>
      </w:r>
      <w:r w:rsidRPr="00463B49">
        <w:rPr>
          <w:sz w:val="24"/>
          <w:szCs w:val="24"/>
        </w:rPr>
        <w:t>usually between 1-2 years’ timeframe. The schemes also lacked institutional capacity to develop policy, provide guidance, implement effective M&amp;E systems and provide inter-sectoral coordination. Consequently, these lacking mechanisms for accountability and trans</w:t>
      </w:r>
      <w:r w:rsidRPr="00463B49">
        <w:rPr>
          <w:sz w:val="24"/>
          <w:szCs w:val="24"/>
        </w:rPr>
        <w:softHyphen/>
        <w:t xml:space="preserve">parency affected the effectiveness of the CCT initiatives as an instrument of social protection in Nigeria </w:t>
      </w:r>
      <w:r w:rsidR="0066039F">
        <w:rPr>
          <w:sz w:val="24"/>
          <w:szCs w:val="24"/>
        </w:rPr>
        <w:t>[18</w:t>
      </w:r>
      <w:r>
        <w:rPr>
          <w:sz w:val="24"/>
          <w:szCs w:val="24"/>
        </w:rPr>
        <w:t>,</w:t>
      </w:r>
      <w:r w:rsidR="0066039F">
        <w:rPr>
          <w:sz w:val="24"/>
          <w:szCs w:val="24"/>
        </w:rPr>
        <w:t xml:space="preserve"> </w:t>
      </w:r>
      <w:r>
        <w:rPr>
          <w:sz w:val="24"/>
          <w:szCs w:val="24"/>
        </w:rPr>
        <w:t>1</w:t>
      </w:r>
      <w:r w:rsidR="0066039F">
        <w:rPr>
          <w:sz w:val="24"/>
          <w:szCs w:val="24"/>
        </w:rPr>
        <w:t>7</w:t>
      </w:r>
      <w:r>
        <w:rPr>
          <w:sz w:val="24"/>
          <w:szCs w:val="24"/>
        </w:rPr>
        <w:t>]</w:t>
      </w:r>
      <w:r w:rsidR="00A019E8">
        <w:rPr>
          <w:sz w:val="24"/>
          <w:szCs w:val="24"/>
        </w:rPr>
        <w:t xml:space="preserve">. Despite </w:t>
      </w:r>
      <w:r w:rsidRPr="00463B49">
        <w:rPr>
          <w:sz w:val="24"/>
          <w:szCs w:val="24"/>
        </w:rPr>
        <w:t xml:space="preserve">challenges </w:t>
      </w:r>
      <w:r w:rsidR="005363B3">
        <w:rPr>
          <w:sz w:val="24"/>
          <w:szCs w:val="24"/>
        </w:rPr>
        <w:t>of</w:t>
      </w:r>
      <w:r w:rsidRPr="00463B49">
        <w:rPr>
          <w:sz w:val="24"/>
          <w:szCs w:val="24"/>
        </w:rPr>
        <w:t xml:space="preserve"> previous CCTs programmes in Nigeria, the overwhelming evidence around positive outcomes of CCT schemes around the world </w:t>
      </w:r>
      <w:r>
        <w:rPr>
          <w:sz w:val="24"/>
          <w:szCs w:val="24"/>
        </w:rPr>
        <w:t>[1</w:t>
      </w:r>
      <w:r w:rsidR="0066039F">
        <w:rPr>
          <w:sz w:val="24"/>
          <w:szCs w:val="24"/>
        </w:rPr>
        <w:t>9</w:t>
      </w:r>
      <w:r>
        <w:rPr>
          <w:sz w:val="24"/>
          <w:szCs w:val="24"/>
        </w:rPr>
        <w:t>]</w:t>
      </w:r>
      <w:r w:rsidRPr="00463B49">
        <w:rPr>
          <w:sz w:val="24"/>
          <w:szCs w:val="24"/>
        </w:rPr>
        <w:t>, motivated the FGN</w:t>
      </w:r>
      <w:r w:rsidR="00A019E8">
        <w:rPr>
          <w:sz w:val="24"/>
          <w:szCs w:val="24"/>
        </w:rPr>
        <w:t xml:space="preserve"> to implement </w:t>
      </w:r>
      <w:r w:rsidR="00A019E8">
        <w:t>SURE-P MCH CCT</w:t>
      </w:r>
      <w:r w:rsidRPr="00463B49">
        <w:rPr>
          <w:sz w:val="24"/>
          <w:szCs w:val="24"/>
        </w:rPr>
        <w:t>. As at December 2014, the programme enrolled over 40,000 beneficiaries (pregnant women) and disbursed about N108</w:t>
      </w:r>
      <w:proofErr w:type="gramStart"/>
      <w:r w:rsidRPr="00463B49">
        <w:rPr>
          <w:sz w:val="24"/>
          <w:szCs w:val="24"/>
        </w:rPr>
        <w:t>,330,635.00</w:t>
      </w:r>
      <w:proofErr w:type="gramEnd"/>
      <w:r w:rsidRPr="00463B49">
        <w:rPr>
          <w:sz w:val="24"/>
          <w:szCs w:val="24"/>
        </w:rPr>
        <w:t xml:space="preserve"> in the eight pilot states plus the FCT-Abuja. However, the CCT pilot programme which started in April 2013 ended in May 2015 </w:t>
      </w:r>
      <w:r w:rsidR="005363B3" w:rsidRPr="00463B49">
        <w:rPr>
          <w:sz w:val="24"/>
          <w:szCs w:val="24"/>
        </w:rPr>
        <w:t xml:space="preserve">following a democratic transition to a new government regime </w:t>
      </w:r>
      <w:r w:rsidRPr="00463B49">
        <w:rPr>
          <w:sz w:val="24"/>
          <w:szCs w:val="24"/>
        </w:rPr>
        <w:t xml:space="preserve">and gains made by the project may have been reversed within a short time </w:t>
      </w:r>
      <w:r w:rsidR="008C354A">
        <w:rPr>
          <w:sz w:val="24"/>
          <w:szCs w:val="24"/>
        </w:rPr>
        <w:t>with</w:t>
      </w:r>
      <w:r w:rsidRPr="00463B49">
        <w:rPr>
          <w:sz w:val="24"/>
          <w:szCs w:val="24"/>
        </w:rPr>
        <w:t xml:space="preserve"> the discontinuation of the scheme. </w:t>
      </w:r>
    </w:p>
    <w:p w:rsidR="00A019E8" w:rsidRDefault="00A019E8" w:rsidP="008973D5">
      <w:pPr>
        <w:pStyle w:val="ListParagraph"/>
        <w:ind w:left="0"/>
        <w:rPr>
          <w:sz w:val="24"/>
          <w:szCs w:val="24"/>
        </w:rPr>
      </w:pPr>
    </w:p>
    <w:p w:rsidR="008973D5" w:rsidRPr="00A4187D" w:rsidRDefault="008973D5" w:rsidP="008973D5">
      <w:pPr>
        <w:pStyle w:val="ListParagraph"/>
        <w:ind w:left="0"/>
        <w:rPr>
          <w:color w:val="ED7D31" w:themeColor="accent2"/>
          <w:sz w:val="24"/>
          <w:szCs w:val="24"/>
        </w:rPr>
      </w:pPr>
      <w:r w:rsidRPr="00463B49">
        <w:rPr>
          <w:sz w:val="24"/>
          <w:szCs w:val="24"/>
        </w:rPr>
        <w:t>Meanwhile, the current Nigeria</w:t>
      </w:r>
      <w:r>
        <w:rPr>
          <w:sz w:val="24"/>
          <w:szCs w:val="24"/>
        </w:rPr>
        <w:t xml:space="preserve"> government has rolled out a new </w:t>
      </w:r>
      <w:r w:rsidRPr="00463B49">
        <w:rPr>
          <w:sz w:val="24"/>
          <w:szCs w:val="24"/>
        </w:rPr>
        <w:t xml:space="preserve"> cash transfer programme that has paid out N5000 ($30) cash support to 40,000 poor </w:t>
      </w:r>
      <w:commentRangeStart w:id="3"/>
      <w:r w:rsidRPr="00463B49">
        <w:rPr>
          <w:sz w:val="24"/>
          <w:szCs w:val="24"/>
        </w:rPr>
        <w:t>Nigerians</w:t>
      </w:r>
      <w:commentRangeEnd w:id="3"/>
      <w:r w:rsidR="008C1E66">
        <w:rPr>
          <w:rStyle w:val="CommentReference"/>
          <w:lang w:val="en-US"/>
        </w:rPr>
        <w:commentReference w:id="3"/>
      </w:r>
      <w:r w:rsidRPr="00463B49">
        <w:rPr>
          <w:sz w:val="24"/>
          <w:szCs w:val="24"/>
        </w:rPr>
        <w:t xml:space="preserve"> 20 states targeted at addressing poverty in the country under the National Social Safety Nets Project (NASSP) in the presidency </w:t>
      </w:r>
      <w:r>
        <w:rPr>
          <w:sz w:val="24"/>
          <w:szCs w:val="24"/>
        </w:rPr>
        <w:t>[</w:t>
      </w:r>
      <w:r w:rsidR="0066039F">
        <w:rPr>
          <w:sz w:val="24"/>
          <w:szCs w:val="24"/>
        </w:rPr>
        <w:t>20</w:t>
      </w:r>
      <w:r>
        <w:rPr>
          <w:sz w:val="24"/>
          <w:szCs w:val="24"/>
        </w:rPr>
        <w:t>]</w:t>
      </w:r>
      <w:r w:rsidRPr="00463B49">
        <w:rPr>
          <w:sz w:val="24"/>
          <w:szCs w:val="24"/>
        </w:rPr>
        <w:t>. However, it is not clear whether lessons learn</w:t>
      </w:r>
      <w:r w:rsidR="008C354A">
        <w:rPr>
          <w:sz w:val="24"/>
          <w:szCs w:val="24"/>
        </w:rPr>
        <w:t>ed</w:t>
      </w:r>
      <w:r w:rsidRPr="00463B49">
        <w:rPr>
          <w:sz w:val="24"/>
          <w:szCs w:val="24"/>
        </w:rPr>
        <w:t xml:space="preserve"> </w:t>
      </w:r>
      <w:r w:rsidR="00512F64">
        <w:rPr>
          <w:sz w:val="24"/>
          <w:szCs w:val="24"/>
        </w:rPr>
        <w:t xml:space="preserve">or recommendations from </w:t>
      </w:r>
      <w:r w:rsidRPr="00463B49">
        <w:rPr>
          <w:sz w:val="24"/>
          <w:szCs w:val="24"/>
        </w:rPr>
        <w:t>previous cash transfer programmes in the country have been consider</w:t>
      </w:r>
      <w:r w:rsidR="008C354A">
        <w:rPr>
          <w:sz w:val="24"/>
          <w:szCs w:val="24"/>
        </w:rPr>
        <w:t>ed during the</w:t>
      </w:r>
      <w:r w:rsidRPr="00463B49">
        <w:rPr>
          <w:sz w:val="24"/>
          <w:szCs w:val="24"/>
        </w:rPr>
        <w:t xml:space="preserve"> design and implement</w:t>
      </w:r>
      <w:r w:rsidR="008C354A">
        <w:rPr>
          <w:sz w:val="24"/>
          <w:szCs w:val="24"/>
        </w:rPr>
        <w:t>ation of the ongoing CCT</w:t>
      </w:r>
      <w:r w:rsidRPr="00463B49">
        <w:rPr>
          <w:sz w:val="24"/>
          <w:szCs w:val="24"/>
        </w:rPr>
        <w:t xml:space="preserve"> programme</w:t>
      </w:r>
      <w:r w:rsidR="008C354A">
        <w:rPr>
          <w:sz w:val="24"/>
          <w:szCs w:val="24"/>
        </w:rPr>
        <w:t>s</w:t>
      </w:r>
      <w:r w:rsidRPr="00CC5ECF">
        <w:rPr>
          <w:sz w:val="24"/>
          <w:szCs w:val="24"/>
          <w:lang w:val="en-US"/>
        </w:rPr>
        <w:t>.</w:t>
      </w:r>
      <w:r>
        <w:rPr>
          <w:sz w:val="24"/>
          <w:szCs w:val="24"/>
          <w:lang w:val="en-US"/>
        </w:rPr>
        <w:t xml:space="preserve"> </w:t>
      </w:r>
      <w:r w:rsidR="00512F64">
        <w:rPr>
          <w:sz w:val="24"/>
          <w:szCs w:val="24"/>
          <w:lang w:val="en-US"/>
        </w:rPr>
        <w:t>Countries in L</w:t>
      </w:r>
      <w:proofErr w:type="spellStart"/>
      <w:r w:rsidR="00512F64" w:rsidRPr="00A4187D">
        <w:rPr>
          <w:sz w:val="24"/>
          <w:szCs w:val="24"/>
        </w:rPr>
        <w:t>atin</w:t>
      </w:r>
      <w:proofErr w:type="spellEnd"/>
      <w:r w:rsidR="00512F64" w:rsidRPr="00A4187D">
        <w:rPr>
          <w:sz w:val="24"/>
          <w:szCs w:val="24"/>
        </w:rPr>
        <w:t xml:space="preserve"> America have predominantly </w:t>
      </w:r>
      <w:r w:rsidR="00512F64">
        <w:rPr>
          <w:sz w:val="24"/>
          <w:szCs w:val="24"/>
        </w:rPr>
        <w:t>provided evidence on</w:t>
      </w:r>
      <w:r w:rsidR="00512F64">
        <w:rPr>
          <w:sz w:val="24"/>
          <w:szCs w:val="24"/>
          <w:lang w:val="en-US"/>
        </w:rPr>
        <w:t xml:space="preserve"> </w:t>
      </w:r>
      <w:r>
        <w:rPr>
          <w:sz w:val="24"/>
          <w:szCs w:val="24"/>
        </w:rPr>
        <w:t>reviews of</w:t>
      </w:r>
      <w:r w:rsidRPr="00A4187D">
        <w:rPr>
          <w:sz w:val="24"/>
          <w:szCs w:val="24"/>
        </w:rPr>
        <w:t xml:space="preserve"> CCT schemes effectiveness and impact on </w:t>
      </w:r>
      <w:r w:rsidRPr="00A4187D">
        <w:rPr>
          <w:sz w:val="24"/>
          <w:szCs w:val="24"/>
        </w:rPr>
        <w:lastRenderedPageBreak/>
        <w:t xml:space="preserve">health </w:t>
      </w:r>
      <w:r w:rsidR="0040142D">
        <w:rPr>
          <w:sz w:val="24"/>
          <w:szCs w:val="24"/>
        </w:rPr>
        <w:t>and findings from these reviews come</w:t>
      </w:r>
      <w:r w:rsidRPr="00A4187D">
        <w:rPr>
          <w:sz w:val="24"/>
          <w:szCs w:val="24"/>
        </w:rPr>
        <w:t xml:space="preserve"> with limited transferability to the social, cultural, and political environments in sub-Saharan Africa </w:t>
      </w:r>
      <w:r w:rsidR="0066039F">
        <w:rPr>
          <w:sz w:val="24"/>
          <w:szCs w:val="24"/>
        </w:rPr>
        <w:t>[21</w:t>
      </w:r>
      <w:r>
        <w:rPr>
          <w:sz w:val="24"/>
          <w:szCs w:val="24"/>
        </w:rPr>
        <w:t>, 2</w:t>
      </w:r>
      <w:r w:rsidR="0066039F">
        <w:rPr>
          <w:sz w:val="24"/>
          <w:szCs w:val="24"/>
        </w:rPr>
        <w:t>2</w:t>
      </w:r>
      <w:r>
        <w:rPr>
          <w:sz w:val="24"/>
          <w:szCs w:val="24"/>
        </w:rPr>
        <w:t>]</w:t>
      </w:r>
      <w:r w:rsidRPr="00A4187D">
        <w:rPr>
          <w:sz w:val="24"/>
          <w:szCs w:val="24"/>
        </w:rPr>
        <w:t xml:space="preserve">. Overwhelming evidence have evaluated the impact of CCT schemes around the world with some contesting whether they actually alleviate poverty as intended or whether they are just there to promote positive </w:t>
      </w:r>
      <w:proofErr w:type="spellStart"/>
      <w:r w:rsidRPr="00A4187D">
        <w:rPr>
          <w:sz w:val="24"/>
          <w:szCs w:val="24"/>
        </w:rPr>
        <w:t>behavioral</w:t>
      </w:r>
      <w:proofErr w:type="spellEnd"/>
      <w:r w:rsidRPr="00A4187D">
        <w:rPr>
          <w:sz w:val="24"/>
          <w:szCs w:val="24"/>
        </w:rPr>
        <w:t xml:space="preserve"> change </w:t>
      </w:r>
      <w:r>
        <w:rPr>
          <w:sz w:val="24"/>
          <w:szCs w:val="24"/>
        </w:rPr>
        <w:t>[2</w:t>
      </w:r>
      <w:r w:rsidR="0066039F">
        <w:rPr>
          <w:sz w:val="24"/>
          <w:szCs w:val="24"/>
        </w:rPr>
        <w:t>3,24</w:t>
      </w:r>
      <w:r>
        <w:rPr>
          <w:sz w:val="24"/>
          <w:szCs w:val="24"/>
        </w:rPr>
        <w:t>]</w:t>
      </w:r>
      <w:r w:rsidRPr="00A4187D">
        <w:rPr>
          <w:sz w:val="24"/>
          <w:szCs w:val="24"/>
        </w:rPr>
        <w:t xml:space="preserve">. However, studies that assess the operational efficacy and effectiveness of CCT schemes in low-resource settings are conspicuously lacking </w:t>
      </w:r>
      <w:r>
        <w:rPr>
          <w:sz w:val="24"/>
          <w:szCs w:val="24"/>
        </w:rPr>
        <w:t>[2</w:t>
      </w:r>
      <w:r w:rsidR="0066039F">
        <w:rPr>
          <w:sz w:val="24"/>
          <w:szCs w:val="24"/>
        </w:rPr>
        <w:t>4</w:t>
      </w:r>
      <w:r>
        <w:rPr>
          <w:sz w:val="24"/>
          <w:szCs w:val="24"/>
        </w:rPr>
        <w:t>]</w:t>
      </w:r>
      <w:r w:rsidRPr="00A4187D">
        <w:rPr>
          <w:sz w:val="24"/>
          <w:szCs w:val="24"/>
        </w:rPr>
        <w:t>.  For global health interventions to increase their likelihood for success, scale, and sustainability, systematic insight</w:t>
      </w:r>
      <w:r>
        <w:rPr>
          <w:sz w:val="24"/>
          <w:szCs w:val="24"/>
        </w:rPr>
        <w:t>s</w:t>
      </w:r>
      <w:r w:rsidRPr="00A4187D">
        <w:rPr>
          <w:sz w:val="24"/>
          <w:szCs w:val="24"/>
        </w:rPr>
        <w:t xml:space="preserve"> on how implementers achieve success, or not; what problems were successfully addressed, or not; or how situational variability affected successes and challenges must be examined </w:t>
      </w:r>
      <w:r>
        <w:rPr>
          <w:sz w:val="24"/>
          <w:szCs w:val="24"/>
        </w:rPr>
        <w:t>[2</w:t>
      </w:r>
      <w:r w:rsidR="0066039F">
        <w:rPr>
          <w:sz w:val="24"/>
          <w:szCs w:val="24"/>
        </w:rPr>
        <w:t>5</w:t>
      </w:r>
      <w:r>
        <w:rPr>
          <w:sz w:val="24"/>
          <w:szCs w:val="24"/>
        </w:rPr>
        <w:t>]</w:t>
      </w:r>
      <w:r w:rsidRPr="00A4187D">
        <w:rPr>
          <w:sz w:val="24"/>
          <w:szCs w:val="24"/>
        </w:rPr>
        <w:t>. Our study therefore,</w:t>
      </w:r>
      <w:r>
        <w:rPr>
          <w:sz w:val="24"/>
          <w:szCs w:val="24"/>
        </w:rPr>
        <w:t xml:space="preserve"> independently</w:t>
      </w:r>
      <w:r w:rsidRPr="00A4187D">
        <w:rPr>
          <w:sz w:val="24"/>
          <w:szCs w:val="24"/>
        </w:rPr>
        <w:t xml:space="preserve"> assessed the operational efficacy and effectiveness of the SURE-P MCH CCT programme in Nigeria and this paper presents useful insights into the design and implementation of the SURE-P MCH CCT for policymakers</w:t>
      </w:r>
      <w:r>
        <w:rPr>
          <w:sz w:val="24"/>
          <w:szCs w:val="24"/>
        </w:rPr>
        <w:t xml:space="preserve"> in future interventions</w:t>
      </w:r>
      <w:r w:rsidRPr="00A4187D">
        <w:rPr>
          <w:sz w:val="24"/>
          <w:szCs w:val="24"/>
        </w:rPr>
        <w:t>.</w:t>
      </w:r>
    </w:p>
    <w:p w:rsidR="008973D5" w:rsidRPr="00A4187D" w:rsidRDefault="008973D5" w:rsidP="008973D5">
      <w:pPr>
        <w:pStyle w:val="BodyText"/>
      </w:pPr>
    </w:p>
    <w:p w:rsidR="008973D5" w:rsidRDefault="008973D5" w:rsidP="008973D5">
      <w:pPr>
        <w:pStyle w:val="Heading2"/>
      </w:pPr>
      <w:bookmarkStart w:id="4" w:name="background-of-sure-p-mch-cct-programme"/>
      <w:bookmarkEnd w:id="4"/>
      <w:r>
        <w:t>METHODS</w:t>
      </w:r>
    </w:p>
    <w:p w:rsidR="00B81010" w:rsidRDefault="00B81010" w:rsidP="00B81010">
      <w:pPr>
        <w:tabs>
          <w:tab w:val="left" w:pos="3780"/>
        </w:tabs>
      </w:pPr>
      <w:r>
        <w:rPr>
          <w:b/>
        </w:rPr>
        <w:t>Study Design</w:t>
      </w:r>
      <w:r>
        <w:br/>
        <w:t xml:space="preserve">The study was a combination of a desk review of SURE-P MCH </w:t>
      </w:r>
      <w:commentRangeStart w:id="5"/>
      <w:r>
        <w:t>CCT</w:t>
      </w:r>
      <w:commentRangeEnd w:id="5"/>
      <w:r w:rsidR="00F73138">
        <w:rPr>
          <w:rStyle w:val="CommentReference"/>
        </w:rPr>
        <w:commentReference w:id="5"/>
      </w:r>
      <w:r>
        <w:t xml:space="preserve"> operational documents and a descriptive cross-sectional, retrospective s</w:t>
      </w:r>
      <w:r w:rsidR="00A76998">
        <w:t>urvey</w:t>
      </w:r>
      <w:r>
        <w:t xml:space="preserve"> of CCT primary beneficiaries using face-to-face interviewer administered questionnaires to elicit responses. </w:t>
      </w:r>
      <w:r w:rsidR="009A5A19">
        <w:t>The desk review understud</w:t>
      </w:r>
      <w:r w:rsidR="007954B8">
        <w:t>ied</w:t>
      </w:r>
      <w:r w:rsidR="009A5A19">
        <w:t xml:space="preserve"> the SURE-P MCH </w:t>
      </w:r>
      <w:proofErr w:type="spellStart"/>
      <w:r w:rsidR="009A5A19">
        <w:t>programme</w:t>
      </w:r>
      <w:proofErr w:type="spellEnd"/>
      <w:r w:rsidR="009A5A19">
        <w:t xml:space="preserve"> implementation manual (PIM), and several SURE-P MCH CCT monthly reports obtained from the project management unit (PIU) while a structured questionnaire of (16) questions was used for the face-to-face interviews with CCT primary beneficiaries. </w:t>
      </w:r>
      <w:r w:rsidR="0010091B">
        <w:t>At the end of the desk review and interviews,</w:t>
      </w:r>
      <w:r w:rsidR="00ED0BA8">
        <w:t xml:space="preserve"> a</w:t>
      </w:r>
      <w:r>
        <w:t xml:space="preserve"> SWOT</w:t>
      </w:r>
      <w:r w:rsidR="00E8018C">
        <w:t xml:space="preserve"> </w:t>
      </w:r>
      <w:r>
        <w:t xml:space="preserve">analysis was </w:t>
      </w:r>
      <w:r w:rsidR="00E8018C">
        <w:t xml:space="preserve">applied </w:t>
      </w:r>
      <w:r>
        <w:t>to</w:t>
      </w:r>
      <w:r w:rsidR="00E8018C">
        <w:t xml:space="preserve"> </w:t>
      </w:r>
      <w:r w:rsidR="005B7DE8">
        <w:t xml:space="preserve">the </w:t>
      </w:r>
      <w:r w:rsidR="00763918">
        <w:t xml:space="preserve">study </w:t>
      </w:r>
      <w:r w:rsidR="00E8018C">
        <w:t>findings to</w:t>
      </w:r>
      <w:r>
        <w:t xml:space="preserve"> identify key </w:t>
      </w:r>
      <w:r w:rsidR="005B7DE8">
        <w:t xml:space="preserve">strengths and weaknesses </w:t>
      </w:r>
      <w:r w:rsidR="002172AB">
        <w:t xml:space="preserve">of the CCT scheme </w:t>
      </w:r>
      <w:r w:rsidR="005B7DE8">
        <w:t xml:space="preserve">as well as opportunities and threats </w:t>
      </w:r>
      <w:r w:rsidR="00710E53">
        <w:t xml:space="preserve">in order </w:t>
      </w:r>
      <w:r w:rsidR="005B7DE8">
        <w:t xml:space="preserve">to </w:t>
      </w:r>
      <w:r w:rsidR="00763918">
        <w:t xml:space="preserve">identify key challenges and </w:t>
      </w:r>
      <w:r w:rsidR="005B7DE8">
        <w:t>provide</w:t>
      </w:r>
      <w:r>
        <w:t xml:space="preserve"> recommendations f</w:t>
      </w:r>
      <w:r w:rsidR="005B7DE8">
        <w:t>or</w:t>
      </w:r>
      <w:r>
        <w:t xml:space="preserve"> future </w:t>
      </w:r>
      <w:r w:rsidR="005B7DE8">
        <w:t xml:space="preserve">design and implementation of </w:t>
      </w:r>
      <w:r>
        <w:t xml:space="preserve">CCT </w:t>
      </w:r>
      <w:proofErr w:type="spellStart"/>
      <w:r>
        <w:t>Programmes</w:t>
      </w:r>
      <w:proofErr w:type="spellEnd"/>
      <w:r>
        <w:t xml:space="preserve"> in Nigeria and </w:t>
      </w:r>
      <w:r w:rsidR="002172AB">
        <w:t>other settings</w:t>
      </w:r>
      <w:r w:rsidRPr="00B0161B">
        <w:t>.</w:t>
      </w:r>
      <w:r>
        <w:t xml:space="preserve"> </w:t>
      </w:r>
    </w:p>
    <w:p w:rsidR="009876D9" w:rsidRDefault="009876D9" w:rsidP="003461F0">
      <w:pPr>
        <w:pStyle w:val="BodyText"/>
      </w:pPr>
      <w:r>
        <w:rPr>
          <w:b/>
        </w:rPr>
        <w:t>Study Population</w:t>
      </w:r>
      <w:r w:rsidR="0023623D">
        <w:br/>
        <w:t>S</w:t>
      </w:r>
      <w:r w:rsidR="008973D5">
        <w:t xml:space="preserve">tudy population </w:t>
      </w:r>
      <w:r w:rsidR="003461F0">
        <w:t>was drawn from</w:t>
      </w:r>
      <w:r w:rsidR="00791701">
        <w:t xml:space="preserve"> </w:t>
      </w:r>
      <w:r w:rsidR="008973D5">
        <w:t>37 participating CCT pilot PHC facilities</w:t>
      </w:r>
      <w:r w:rsidR="003461F0">
        <w:t xml:space="preserve"> in</w:t>
      </w:r>
      <w:r w:rsidR="008973D5">
        <w:t xml:space="preserve"> FCT-Abuja and eight (8) participating states of </w:t>
      </w:r>
      <w:proofErr w:type="spellStart"/>
      <w:r w:rsidR="008973D5">
        <w:t>Anambra</w:t>
      </w:r>
      <w:proofErr w:type="spellEnd"/>
      <w:r w:rsidR="008973D5">
        <w:t xml:space="preserve">, </w:t>
      </w:r>
      <w:proofErr w:type="spellStart"/>
      <w:r w:rsidR="008973D5">
        <w:t>Bauchi</w:t>
      </w:r>
      <w:proofErr w:type="spellEnd"/>
      <w:r w:rsidR="008973D5">
        <w:t xml:space="preserve">, </w:t>
      </w:r>
      <w:proofErr w:type="spellStart"/>
      <w:r w:rsidR="008973D5">
        <w:t>Bayelsa</w:t>
      </w:r>
      <w:proofErr w:type="spellEnd"/>
      <w:r w:rsidR="008973D5">
        <w:t xml:space="preserve">, </w:t>
      </w:r>
      <w:proofErr w:type="spellStart"/>
      <w:r w:rsidR="008973D5">
        <w:t>Ebonyi</w:t>
      </w:r>
      <w:proofErr w:type="spellEnd"/>
      <w:r w:rsidR="008973D5">
        <w:t xml:space="preserve">, Kaduna, Niger, </w:t>
      </w:r>
      <w:proofErr w:type="spellStart"/>
      <w:r w:rsidR="008973D5">
        <w:t>Ogun</w:t>
      </w:r>
      <w:proofErr w:type="spellEnd"/>
      <w:r w:rsidR="008973D5">
        <w:t xml:space="preserve">, and </w:t>
      </w:r>
      <w:proofErr w:type="spellStart"/>
      <w:r w:rsidR="008973D5">
        <w:t>Zamfara</w:t>
      </w:r>
      <w:proofErr w:type="spellEnd"/>
      <w:r w:rsidR="008973D5">
        <w:t xml:space="preserve">. However, following security and accessibility challenges, assessors were unable to reach all four (4) facilities in some states like </w:t>
      </w:r>
      <w:r w:rsidR="008973D5" w:rsidRPr="00DF1F4F">
        <w:t>Bauchi</w:t>
      </w:r>
      <w:r w:rsidR="008973D5">
        <w:t xml:space="preserve">, Kaduna, Niger, </w:t>
      </w:r>
      <w:proofErr w:type="spellStart"/>
      <w:r w:rsidR="008973D5">
        <w:t>Ogun</w:t>
      </w:r>
      <w:proofErr w:type="spellEnd"/>
      <w:r w:rsidR="008973D5" w:rsidRPr="00DF1F4F">
        <w:t xml:space="preserve"> and </w:t>
      </w:r>
      <w:proofErr w:type="spellStart"/>
      <w:r w:rsidR="008973D5" w:rsidRPr="00DF1F4F">
        <w:t>Zamfara</w:t>
      </w:r>
      <w:proofErr w:type="spellEnd"/>
      <w:r w:rsidR="008A775B">
        <w:t xml:space="preserve">, hence </w:t>
      </w:r>
      <w:r w:rsidR="00791701">
        <w:t xml:space="preserve">respondents were </w:t>
      </w:r>
      <w:r w:rsidR="008A775B">
        <w:t xml:space="preserve">drawn </w:t>
      </w:r>
      <w:r w:rsidR="00791701">
        <w:t xml:space="preserve">from </w:t>
      </w:r>
      <w:r w:rsidR="008A775B">
        <w:t>only 29 PHC facilities out of the 37 participating facilities (See table 1)</w:t>
      </w:r>
      <w:r w:rsidR="003461F0">
        <w:t>. Respondents were</w:t>
      </w:r>
      <w:r w:rsidR="008973D5">
        <w:t xml:space="preserve"> pregnant women or nursing mothers who enrolled in the CCT </w:t>
      </w:r>
      <w:proofErr w:type="spellStart"/>
      <w:r w:rsidR="008973D5">
        <w:t>programme</w:t>
      </w:r>
      <w:proofErr w:type="spellEnd"/>
      <w:r w:rsidR="008973D5">
        <w:t xml:space="preserve"> </w:t>
      </w:r>
      <w:r w:rsidR="00791701">
        <w:t>during</w:t>
      </w:r>
      <w:r w:rsidR="008973D5">
        <w:t xml:space="preserve"> the pilot period from April, 2013 to May 2015 and who received cash incentives for meeting any of th</w:t>
      </w:r>
      <w:r w:rsidR="003461F0">
        <w:t>e four co- responsibilities</w:t>
      </w:r>
      <w:r w:rsidR="008973D5">
        <w:t xml:space="preserve">. </w:t>
      </w:r>
    </w:p>
    <w:p w:rsidR="009876D9" w:rsidRDefault="009876D9" w:rsidP="003461F0">
      <w:pPr>
        <w:pStyle w:val="BodyText"/>
      </w:pPr>
      <w:r>
        <w:rPr>
          <w:b/>
        </w:rPr>
        <w:t>Sampling</w:t>
      </w:r>
      <w:r>
        <w:t xml:space="preserve"> </w:t>
      </w:r>
    </w:p>
    <w:p w:rsidR="003461F0" w:rsidRDefault="009876D9" w:rsidP="003461F0">
      <w:pPr>
        <w:pStyle w:val="BodyText"/>
        <w:rPr>
          <w:b/>
        </w:rPr>
      </w:pPr>
      <w:r>
        <w:t>A</w:t>
      </w:r>
      <w:r w:rsidR="008973D5">
        <w:t xml:space="preserve"> list of all women who enrolled in the pilot </w:t>
      </w:r>
      <w:proofErr w:type="spellStart"/>
      <w:r w:rsidR="008973D5">
        <w:t>programme</w:t>
      </w:r>
      <w:proofErr w:type="spellEnd"/>
      <w:r w:rsidR="008973D5">
        <w:t xml:space="preserve"> with their telephone contacts served as the sampling frame</w:t>
      </w:r>
      <w:r w:rsidR="00D4565A">
        <w:t xml:space="preserve"> </w:t>
      </w:r>
      <w:r w:rsidR="0033669F">
        <w:t>from</w:t>
      </w:r>
      <w:r w:rsidR="00D4565A">
        <w:t xml:space="preserve"> which </w:t>
      </w:r>
      <w:r w:rsidR="008973D5">
        <w:t>a table of random</w:t>
      </w:r>
      <w:r w:rsidR="00D4565A">
        <w:t xml:space="preserve"> numbers was used to select</w:t>
      </w:r>
      <w:r w:rsidR="008973D5">
        <w:t xml:space="preserve"> participant</w:t>
      </w:r>
      <w:r w:rsidR="00D4565A">
        <w:t>s</w:t>
      </w:r>
      <w:r w:rsidR="008973D5">
        <w:t xml:space="preserve"> into the study</w:t>
      </w:r>
      <w:r w:rsidR="00E8018C">
        <w:t xml:space="preserve"> and</w:t>
      </w:r>
      <w:r w:rsidR="008973D5">
        <w:t xml:space="preserve"> participants who could not be reached on phone were replace</w:t>
      </w:r>
      <w:r w:rsidR="00D4565A">
        <w:t xml:space="preserve">d from the sampling frame by simply </w:t>
      </w:r>
      <w:r w:rsidR="008973D5">
        <w:t xml:space="preserve">repeating the table of random numbers. </w:t>
      </w:r>
      <w:r w:rsidR="00D4565A">
        <w:t xml:space="preserve">A total of 314 CCT primary </w:t>
      </w:r>
      <w:r w:rsidR="00D4565A">
        <w:lastRenderedPageBreak/>
        <w:t>beneficiaries were selected using a two-stage sampling technique and 30-33 respondents were allotted to each state and FCT-Abuja</w:t>
      </w:r>
      <w:r w:rsidR="00716A10" w:rsidRPr="00716A10">
        <w:rPr>
          <w:color w:val="FF0000"/>
        </w:rPr>
        <w:t>. (</w:t>
      </w:r>
      <w:r w:rsidR="007375FA">
        <w:rPr>
          <w:color w:val="FF0000"/>
        </w:rPr>
        <w:t xml:space="preserve">WHAT WAS OUR FORMULA FOR </w:t>
      </w:r>
      <w:r w:rsidR="00716A10" w:rsidRPr="00716A10">
        <w:rPr>
          <w:color w:val="FF0000"/>
        </w:rPr>
        <w:t>ARRIV</w:t>
      </w:r>
      <w:r w:rsidR="007375FA">
        <w:rPr>
          <w:color w:val="FF0000"/>
        </w:rPr>
        <w:t>ING</w:t>
      </w:r>
      <w:r w:rsidR="00716A10" w:rsidRPr="00716A10">
        <w:rPr>
          <w:color w:val="FF0000"/>
        </w:rPr>
        <w:t xml:space="preserve"> AT 314 BENEFICIARIES?)</w:t>
      </w:r>
    </w:p>
    <w:p w:rsidR="008973D5" w:rsidRDefault="008973D5" w:rsidP="008973D5">
      <w:pPr>
        <w:pStyle w:val="ImageCaption"/>
      </w:pPr>
    </w:p>
    <w:p w:rsidR="008973D5" w:rsidRDefault="008973D5" w:rsidP="008973D5">
      <w:pPr>
        <w:pStyle w:val="ImageCaption"/>
        <w:rPr>
          <w:b/>
        </w:rPr>
      </w:pPr>
      <w:r w:rsidRPr="00550879">
        <w:rPr>
          <w:b/>
        </w:rPr>
        <w:t>Figure 1- Map of CCT Pilot States depicting the sites surveyed</w:t>
      </w:r>
    </w:p>
    <w:p w:rsidR="008973D5" w:rsidRPr="00AA3D0E" w:rsidRDefault="008973D5" w:rsidP="008973D5">
      <w:pPr>
        <w:pStyle w:val="ImageCaption"/>
        <w:rPr>
          <w:b/>
          <w:i w:val="0"/>
          <w:iCs/>
        </w:rPr>
      </w:pPr>
      <w:r w:rsidRPr="00AA3D0E">
        <w:rPr>
          <w:b/>
          <w:i w:val="0"/>
        </w:rPr>
        <w:t xml:space="preserve">Table </w:t>
      </w:r>
      <w:r w:rsidRPr="00AA3D0E">
        <w:rPr>
          <w:b/>
          <w:i w:val="0"/>
          <w:iCs/>
        </w:rPr>
        <w:fldChar w:fldCharType="begin"/>
      </w:r>
      <w:r w:rsidRPr="00AA3D0E">
        <w:rPr>
          <w:b/>
          <w:i w:val="0"/>
        </w:rPr>
        <w:instrText xml:space="preserve"> SEQ Table \* ARABIC </w:instrText>
      </w:r>
      <w:r w:rsidRPr="00AA3D0E">
        <w:rPr>
          <w:b/>
          <w:i w:val="0"/>
          <w:iCs/>
        </w:rPr>
        <w:fldChar w:fldCharType="separate"/>
      </w:r>
      <w:r w:rsidR="000E11B2">
        <w:rPr>
          <w:b/>
          <w:i w:val="0"/>
          <w:noProof/>
        </w:rPr>
        <w:t>1</w:t>
      </w:r>
      <w:r w:rsidRPr="00AA3D0E">
        <w:rPr>
          <w:b/>
          <w:i w:val="0"/>
          <w:iCs/>
        </w:rPr>
        <w:fldChar w:fldCharType="end"/>
      </w:r>
      <w:r w:rsidRPr="00AA3D0E">
        <w:rPr>
          <w:b/>
          <w:i w:val="0"/>
        </w:rPr>
        <w:t xml:space="preserve"> - Distribution of primary respondents across the 8 Pilot States and FCT-</w:t>
      </w:r>
      <w:commentRangeStart w:id="6"/>
      <w:r w:rsidRPr="00AA3D0E">
        <w:rPr>
          <w:b/>
          <w:i w:val="0"/>
        </w:rPr>
        <w:t>Abuja</w:t>
      </w:r>
      <w:commentRangeEnd w:id="6"/>
      <w:r w:rsidR="00F73138">
        <w:rPr>
          <w:rStyle w:val="CommentReference"/>
          <w:i w:val="0"/>
        </w:rPr>
        <w:commentReference w:id="6"/>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3214"/>
        <w:gridCol w:w="2850"/>
      </w:tblGrid>
      <w:tr w:rsidR="008973D5" w:rsidRPr="009A54E2" w:rsidTr="00357CA7">
        <w:tc>
          <w:tcPr>
            <w:tcW w:w="3178" w:type="dxa"/>
          </w:tcPr>
          <w:p w:rsidR="008973D5" w:rsidRPr="009A54E2" w:rsidRDefault="008973D5" w:rsidP="00357CA7">
            <w:pPr>
              <w:jc w:val="both"/>
              <w:rPr>
                <w:rFonts w:cs="Times New Roman"/>
                <w:b/>
                <w:sz w:val="16"/>
                <w:szCs w:val="16"/>
              </w:rPr>
            </w:pPr>
            <w:r w:rsidRPr="009A54E2">
              <w:rPr>
                <w:rFonts w:cs="Times New Roman"/>
                <w:b/>
                <w:sz w:val="16"/>
                <w:szCs w:val="16"/>
              </w:rPr>
              <w:t>State/Clusters</w:t>
            </w:r>
          </w:p>
        </w:tc>
        <w:tc>
          <w:tcPr>
            <w:tcW w:w="3214" w:type="dxa"/>
          </w:tcPr>
          <w:p w:rsidR="008973D5" w:rsidRPr="009A54E2" w:rsidRDefault="008973D5" w:rsidP="00357CA7">
            <w:pPr>
              <w:jc w:val="both"/>
              <w:rPr>
                <w:rFonts w:cs="Times New Roman"/>
                <w:b/>
                <w:sz w:val="16"/>
                <w:szCs w:val="16"/>
              </w:rPr>
            </w:pPr>
            <w:r w:rsidRPr="009A54E2">
              <w:rPr>
                <w:rFonts w:cs="Times New Roman"/>
                <w:b/>
                <w:sz w:val="16"/>
                <w:szCs w:val="16"/>
              </w:rPr>
              <w:t>Health Facility</w:t>
            </w:r>
          </w:p>
        </w:tc>
        <w:tc>
          <w:tcPr>
            <w:tcW w:w="2850" w:type="dxa"/>
          </w:tcPr>
          <w:p w:rsidR="008973D5" w:rsidRPr="009A54E2" w:rsidRDefault="008973D5" w:rsidP="00357CA7">
            <w:pPr>
              <w:jc w:val="both"/>
              <w:rPr>
                <w:rFonts w:cs="Times New Roman"/>
                <w:b/>
                <w:sz w:val="16"/>
                <w:szCs w:val="16"/>
              </w:rPr>
            </w:pPr>
            <w:r w:rsidRPr="009A54E2">
              <w:rPr>
                <w:rFonts w:cs="Times New Roman"/>
                <w:b/>
                <w:sz w:val="16"/>
                <w:szCs w:val="16"/>
              </w:rPr>
              <w:t>No. Interviewed</w:t>
            </w:r>
          </w:p>
        </w:tc>
      </w:tr>
      <w:tr w:rsidR="008973D5" w:rsidRPr="009A54E2" w:rsidTr="00357CA7">
        <w:tc>
          <w:tcPr>
            <w:tcW w:w="3178" w:type="dxa"/>
            <w:vMerge w:val="restart"/>
          </w:tcPr>
          <w:p w:rsidR="008973D5" w:rsidRPr="009A54E2" w:rsidRDefault="008973D5" w:rsidP="00357CA7">
            <w:pPr>
              <w:jc w:val="both"/>
              <w:rPr>
                <w:rFonts w:cs="Times New Roman"/>
                <w:sz w:val="16"/>
                <w:szCs w:val="16"/>
              </w:rPr>
            </w:pPr>
            <w:r w:rsidRPr="009A54E2">
              <w:rPr>
                <w:rFonts w:cs="Times New Roman"/>
                <w:sz w:val="16"/>
                <w:szCs w:val="16"/>
              </w:rPr>
              <w:t>Anambra</w:t>
            </w:r>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Akwaeze</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10</w:t>
            </w:r>
          </w:p>
        </w:tc>
      </w:tr>
      <w:tr w:rsidR="008973D5" w:rsidRPr="009A54E2" w:rsidTr="00357CA7">
        <w:tc>
          <w:tcPr>
            <w:tcW w:w="3178" w:type="dxa"/>
            <w:vMerge/>
          </w:tcPr>
          <w:p w:rsidR="008973D5" w:rsidRPr="009A54E2" w:rsidRDefault="008973D5" w:rsidP="00357CA7">
            <w:pPr>
              <w:jc w:val="both"/>
              <w:rPr>
                <w:rFonts w:cs="Times New Roman"/>
                <w:sz w:val="16"/>
                <w:szCs w:val="16"/>
              </w:rPr>
            </w:pPr>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Awka-Etiti</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5</w:t>
            </w:r>
          </w:p>
        </w:tc>
      </w:tr>
      <w:tr w:rsidR="008973D5" w:rsidRPr="009A54E2" w:rsidTr="00357CA7">
        <w:tc>
          <w:tcPr>
            <w:tcW w:w="3178" w:type="dxa"/>
            <w:vMerge/>
          </w:tcPr>
          <w:p w:rsidR="008973D5" w:rsidRPr="009A54E2" w:rsidRDefault="008973D5" w:rsidP="00357CA7">
            <w:pPr>
              <w:jc w:val="both"/>
              <w:rPr>
                <w:rFonts w:cs="Times New Roman"/>
                <w:sz w:val="16"/>
                <w:szCs w:val="16"/>
              </w:rPr>
            </w:pPr>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EbenesiNnobi</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12</w:t>
            </w:r>
          </w:p>
        </w:tc>
      </w:tr>
      <w:tr w:rsidR="008973D5" w:rsidRPr="009A54E2" w:rsidTr="00357CA7">
        <w:tc>
          <w:tcPr>
            <w:tcW w:w="3178" w:type="dxa"/>
            <w:vMerge/>
          </w:tcPr>
          <w:p w:rsidR="008973D5" w:rsidRPr="009A54E2" w:rsidRDefault="008973D5" w:rsidP="00357CA7">
            <w:pPr>
              <w:jc w:val="both"/>
              <w:rPr>
                <w:rFonts w:cs="Times New Roman"/>
                <w:sz w:val="16"/>
                <w:szCs w:val="16"/>
              </w:rPr>
            </w:pPr>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Ora-Eri</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8</w:t>
            </w:r>
          </w:p>
        </w:tc>
      </w:tr>
      <w:tr w:rsidR="008973D5" w:rsidRPr="009A54E2" w:rsidTr="00357CA7">
        <w:tc>
          <w:tcPr>
            <w:tcW w:w="3178" w:type="dxa"/>
            <w:vMerge w:val="restart"/>
          </w:tcPr>
          <w:p w:rsidR="008973D5" w:rsidRPr="009A54E2" w:rsidRDefault="008973D5" w:rsidP="00357CA7">
            <w:pPr>
              <w:jc w:val="both"/>
              <w:rPr>
                <w:rFonts w:cs="Times New Roman"/>
                <w:sz w:val="16"/>
                <w:szCs w:val="16"/>
              </w:rPr>
            </w:pPr>
            <w:r w:rsidRPr="009A54E2">
              <w:rPr>
                <w:rFonts w:cs="Times New Roman"/>
                <w:sz w:val="16"/>
                <w:szCs w:val="16"/>
              </w:rPr>
              <w:t>Bauchi</w:t>
            </w:r>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Jalam</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16</w:t>
            </w:r>
          </w:p>
        </w:tc>
      </w:tr>
      <w:tr w:rsidR="008973D5" w:rsidRPr="009A54E2" w:rsidTr="00357CA7">
        <w:tc>
          <w:tcPr>
            <w:tcW w:w="3178" w:type="dxa"/>
            <w:vMerge/>
          </w:tcPr>
          <w:p w:rsidR="008973D5" w:rsidRPr="009A54E2" w:rsidRDefault="008973D5" w:rsidP="00357CA7">
            <w:pPr>
              <w:jc w:val="both"/>
              <w:rPr>
                <w:rFonts w:cs="Times New Roman"/>
                <w:sz w:val="16"/>
                <w:szCs w:val="16"/>
              </w:rPr>
            </w:pPr>
          </w:p>
        </w:tc>
        <w:tc>
          <w:tcPr>
            <w:tcW w:w="3214" w:type="dxa"/>
          </w:tcPr>
          <w:p w:rsidR="008973D5" w:rsidRPr="009A54E2" w:rsidRDefault="008973D5" w:rsidP="00357CA7">
            <w:pPr>
              <w:jc w:val="both"/>
              <w:rPr>
                <w:rFonts w:cs="Times New Roman"/>
                <w:sz w:val="16"/>
                <w:szCs w:val="16"/>
              </w:rPr>
            </w:pPr>
            <w:r w:rsidRPr="009A54E2">
              <w:rPr>
                <w:rFonts w:cs="Times New Roman"/>
                <w:sz w:val="16"/>
                <w:szCs w:val="16"/>
              </w:rPr>
              <w:t>Sade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14</w:t>
            </w:r>
          </w:p>
        </w:tc>
      </w:tr>
      <w:tr w:rsidR="008973D5" w:rsidRPr="009A54E2" w:rsidTr="00357CA7">
        <w:tc>
          <w:tcPr>
            <w:tcW w:w="3178" w:type="dxa"/>
            <w:vMerge w:val="restart"/>
          </w:tcPr>
          <w:p w:rsidR="008973D5" w:rsidRPr="009A54E2" w:rsidRDefault="008973D5" w:rsidP="00357CA7">
            <w:pPr>
              <w:jc w:val="both"/>
              <w:rPr>
                <w:rFonts w:cs="Times New Roman"/>
                <w:sz w:val="16"/>
                <w:szCs w:val="16"/>
              </w:rPr>
            </w:pPr>
            <w:proofErr w:type="spellStart"/>
            <w:r w:rsidRPr="009A54E2">
              <w:rPr>
                <w:rFonts w:cs="Times New Roman"/>
                <w:sz w:val="16"/>
                <w:szCs w:val="16"/>
              </w:rPr>
              <w:t>Bayelsa</w:t>
            </w:r>
            <w:proofErr w:type="spellEnd"/>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Famgbe</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6</w:t>
            </w:r>
          </w:p>
        </w:tc>
      </w:tr>
      <w:tr w:rsidR="008973D5" w:rsidRPr="009A54E2" w:rsidTr="00357CA7">
        <w:tc>
          <w:tcPr>
            <w:tcW w:w="3178" w:type="dxa"/>
            <w:vMerge/>
          </w:tcPr>
          <w:p w:rsidR="008973D5" w:rsidRPr="009A54E2" w:rsidRDefault="008973D5" w:rsidP="00357CA7">
            <w:pPr>
              <w:jc w:val="both"/>
              <w:rPr>
                <w:rFonts w:cs="Times New Roman"/>
                <w:sz w:val="16"/>
                <w:szCs w:val="16"/>
              </w:rPr>
            </w:pPr>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Kalaba</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10</w:t>
            </w:r>
          </w:p>
        </w:tc>
      </w:tr>
      <w:tr w:rsidR="008973D5" w:rsidRPr="009A54E2" w:rsidTr="00357CA7">
        <w:tc>
          <w:tcPr>
            <w:tcW w:w="3178" w:type="dxa"/>
            <w:vMerge/>
          </w:tcPr>
          <w:p w:rsidR="008973D5" w:rsidRPr="009A54E2" w:rsidRDefault="008973D5" w:rsidP="00357CA7">
            <w:pPr>
              <w:jc w:val="both"/>
              <w:rPr>
                <w:rFonts w:cs="Times New Roman"/>
                <w:sz w:val="16"/>
                <w:szCs w:val="16"/>
              </w:rPr>
            </w:pPr>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Koroama</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10</w:t>
            </w:r>
          </w:p>
        </w:tc>
      </w:tr>
      <w:tr w:rsidR="008973D5" w:rsidRPr="009A54E2" w:rsidTr="00357CA7">
        <w:tc>
          <w:tcPr>
            <w:tcW w:w="3178" w:type="dxa"/>
            <w:vMerge/>
          </w:tcPr>
          <w:p w:rsidR="008973D5" w:rsidRPr="009A54E2" w:rsidRDefault="008973D5" w:rsidP="00357CA7">
            <w:pPr>
              <w:jc w:val="both"/>
              <w:rPr>
                <w:rFonts w:cs="Times New Roman"/>
                <w:sz w:val="16"/>
                <w:szCs w:val="16"/>
              </w:rPr>
            </w:pPr>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Tombia</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8</w:t>
            </w:r>
          </w:p>
        </w:tc>
      </w:tr>
      <w:tr w:rsidR="008973D5" w:rsidRPr="009A54E2" w:rsidTr="00357CA7">
        <w:tc>
          <w:tcPr>
            <w:tcW w:w="3178" w:type="dxa"/>
            <w:vMerge w:val="restart"/>
          </w:tcPr>
          <w:p w:rsidR="008973D5" w:rsidRPr="009A54E2" w:rsidRDefault="008973D5" w:rsidP="00357CA7">
            <w:pPr>
              <w:jc w:val="both"/>
              <w:rPr>
                <w:rFonts w:cs="Times New Roman"/>
                <w:sz w:val="16"/>
                <w:szCs w:val="16"/>
              </w:rPr>
            </w:pPr>
            <w:proofErr w:type="spellStart"/>
            <w:r w:rsidRPr="009A54E2">
              <w:rPr>
                <w:rFonts w:cs="Times New Roman"/>
                <w:sz w:val="16"/>
                <w:szCs w:val="16"/>
              </w:rPr>
              <w:t>Ebonyi</w:t>
            </w:r>
            <w:proofErr w:type="spellEnd"/>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Amaeze</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13</w:t>
            </w:r>
          </w:p>
        </w:tc>
      </w:tr>
      <w:tr w:rsidR="008973D5" w:rsidRPr="009A54E2" w:rsidTr="00357CA7">
        <w:tc>
          <w:tcPr>
            <w:tcW w:w="3178" w:type="dxa"/>
            <w:vMerge/>
          </w:tcPr>
          <w:p w:rsidR="008973D5" w:rsidRPr="009A54E2" w:rsidRDefault="008973D5" w:rsidP="00357CA7">
            <w:pPr>
              <w:jc w:val="both"/>
              <w:rPr>
                <w:rFonts w:cs="Times New Roman"/>
                <w:sz w:val="16"/>
                <w:szCs w:val="16"/>
              </w:rPr>
            </w:pPr>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Iyioji</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12</w:t>
            </w:r>
          </w:p>
        </w:tc>
      </w:tr>
      <w:tr w:rsidR="008973D5" w:rsidRPr="009A54E2" w:rsidTr="00357CA7">
        <w:tc>
          <w:tcPr>
            <w:tcW w:w="3178" w:type="dxa"/>
            <w:vMerge/>
          </w:tcPr>
          <w:p w:rsidR="008973D5" w:rsidRPr="009A54E2" w:rsidRDefault="008973D5" w:rsidP="00357CA7">
            <w:pPr>
              <w:jc w:val="both"/>
              <w:rPr>
                <w:rFonts w:cs="Times New Roman"/>
                <w:sz w:val="16"/>
                <w:szCs w:val="16"/>
              </w:rPr>
            </w:pPr>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Ogwor</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8</w:t>
            </w:r>
          </w:p>
        </w:tc>
      </w:tr>
      <w:tr w:rsidR="008973D5" w:rsidRPr="009A54E2" w:rsidTr="00357CA7">
        <w:tc>
          <w:tcPr>
            <w:tcW w:w="3178" w:type="dxa"/>
            <w:vMerge/>
          </w:tcPr>
          <w:p w:rsidR="008973D5" w:rsidRPr="009A54E2" w:rsidRDefault="008973D5" w:rsidP="00357CA7">
            <w:pPr>
              <w:jc w:val="both"/>
              <w:rPr>
                <w:rFonts w:cs="Times New Roman"/>
                <w:sz w:val="16"/>
                <w:szCs w:val="16"/>
              </w:rPr>
            </w:pPr>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Okue</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2</w:t>
            </w:r>
          </w:p>
        </w:tc>
      </w:tr>
      <w:tr w:rsidR="008973D5" w:rsidRPr="009A54E2" w:rsidTr="00357CA7">
        <w:tc>
          <w:tcPr>
            <w:tcW w:w="3178" w:type="dxa"/>
            <w:vMerge w:val="restart"/>
          </w:tcPr>
          <w:p w:rsidR="008973D5" w:rsidRPr="009A54E2" w:rsidRDefault="008973D5" w:rsidP="00357CA7">
            <w:pPr>
              <w:jc w:val="both"/>
              <w:rPr>
                <w:rFonts w:cs="Times New Roman"/>
                <w:sz w:val="16"/>
                <w:szCs w:val="16"/>
              </w:rPr>
            </w:pPr>
            <w:r w:rsidRPr="009A54E2">
              <w:rPr>
                <w:rFonts w:cs="Times New Roman"/>
                <w:sz w:val="16"/>
                <w:szCs w:val="16"/>
              </w:rPr>
              <w:t>FCT-</w:t>
            </w:r>
            <w:proofErr w:type="spellStart"/>
            <w:r w:rsidRPr="009A54E2">
              <w:rPr>
                <w:rFonts w:cs="Times New Roman"/>
                <w:sz w:val="16"/>
                <w:szCs w:val="16"/>
              </w:rPr>
              <w:t>Bwari</w:t>
            </w:r>
            <w:proofErr w:type="spellEnd"/>
            <w:r w:rsidRPr="009A54E2">
              <w:rPr>
                <w:rFonts w:cs="Times New Roman"/>
                <w:sz w:val="16"/>
                <w:szCs w:val="16"/>
              </w:rPr>
              <w:t xml:space="preserve"> Cluster</w:t>
            </w:r>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Byazhin</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12</w:t>
            </w:r>
          </w:p>
        </w:tc>
      </w:tr>
      <w:tr w:rsidR="008973D5" w:rsidRPr="009A54E2" w:rsidTr="00357CA7">
        <w:tc>
          <w:tcPr>
            <w:tcW w:w="3178" w:type="dxa"/>
            <w:vMerge/>
          </w:tcPr>
          <w:p w:rsidR="008973D5" w:rsidRPr="009A54E2" w:rsidRDefault="008973D5" w:rsidP="00357CA7">
            <w:pPr>
              <w:jc w:val="both"/>
              <w:rPr>
                <w:rFonts w:cs="Times New Roman"/>
                <w:sz w:val="16"/>
                <w:szCs w:val="16"/>
              </w:rPr>
            </w:pPr>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Deidei</w:t>
            </w:r>
            <w:proofErr w:type="spellEnd"/>
            <w:r w:rsidRPr="009A54E2">
              <w:rPr>
                <w:rFonts w:cs="Times New Roman"/>
                <w:sz w:val="16"/>
                <w:szCs w:val="16"/>
              </w:rPr>
              <w:t xml:space="preserve"> CHC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10</w:t>
            </w:r>
          </w:p>
        </w:tc>
      </w:tr>
      <w:tr w:rsidR="008973D5" w:rsidRPr="009A54E2" w:rsidTr="00357CA7">
        <w:tc>
          <w:tcPr>
            <w:tcW w:w="3178" w:type="dxa"/>
            <w:vMerge/>
          </w:tcPr>
          <w:p w:rsidR="008973D5" w:rsidRPr="009A54E2" w:rsidRDefault="008973D5" w:rsidP="00357CA7">
            <w:pPr>
              <w:jc w:val="both"/>
              <w:rPr>
                <w:rFonts w:cs="Times New Roman"/>
                <w:sz w:val="16"/>
                <w:szCs w:val="16"/>
              </w:rPr>
            </w:pPr>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DutseAlhaji</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6</w:t>
            </w:r>
          </w:p>
        </w:tc>
      </w:tr>
      <w:tr w:rsidR="008973D5" w:rsidRPr="009A54E2" w:rsidTr="00357CA7">
        <w:tc>
          <w:tcPr>
            <w:tcW w:w="3178" w:type="dxa"/>
            <w:vMerge/>
          </w:tcPr>
          <w:p w:rsidR="008973D5" w:rsidRPr="009A54E2" w:rsidRDefault="008973D5" w:rsidP="00357CA7">
            <w:pPr>
              <w:jc w:val="both"/>
              <w:rPr>
                <w:rFonts w:cs="Times New Roman"/>
                <w:sz w:val="16"/>
                <w:szCs w:val="16"/>
              </w:rPr>
            </w:pPr>
          </w:p>
        </w:tc>
        <w:tc>
          <w:tcPr>
            <w:tcW w:w="3214" w:type="dxa"/>
          </w:tcPr>
          <w:p w:rsidR="008973D5" w:rsidRPr="009A54E2" w:rsidRDefault="008973D5" w:rsidP="00357CA7">
            <w:pPr>
              <w:jc w:val="both"/>
              <w:rPr>
                <w:rFonts w:cs="Times New Roman"/>
                <w:sz w:val="16"/>
                <w:szCs w:val="16"/>
              </w:rPr>
            </w:pPr>
            <w:r w:rsidRPr="009A54E2">
              <w:rPr>
                <w:rFonts w:cs="Times New Roman"/>
                <w:sz w:val="16"/>
                <w:szCs w:val="16"/>
              </w:rPr>
              <w:t xml:space="preserve">Old </w:t>
            </w:r>
            <w:proofErr w:type="spellStart"/>
            <w:r w:rsidRPr="009A54E2">
              <w:rPr>
                <w:rFonts w:cs="Times New Roman"/>
                <w:sz w:val="16"/>
                <w:szCs w:val="16"/>
              </w:rPr>
              <w:t>Deidei</w:t>
            </w:r>
            <w:proofErr w:type="spellEnd"/>
            <w:r w:rsidRPr="009A54E2">
              <w:rPr>
                <w:rFonts w:cs="Times New Roman"/>
                <w:sz w:val="16"/>
                <w:szCs w:val="16"/>
              </w:rPr>
              <w:t xml:space="preserve"> CHC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3</w:t>
            </w:r>
          </w:p>
        </w:tc>
      </w:tr>
      <w:tr w:rsidR="008973D5" w:rsidRPr="009A54E2" w:rsidTr="00357CA7">
        <w:tc>
          <w:tcPr>
            <w:tcW w:w="3178" w:type="dxa"/>
          </w:tcPr>
          <w:p w:rsidR="008973D5" w:rsidRPr="009A54E2" w:rsidRDefault="008973D5" w:rsidP="00357CA7">
            <w:pPr>
              <w:jc w:val="both"/>
              <w:rPr>
                <w:rFonts w:cs="Times New Roman"/>
                <w:sz w:val="16"/>
                <w:szCs w:val="16"/>
              </w:rPr>
            </w:pPr>
            <w:r w:rsidRPr="009A54E2">
              <w:rPr>
                <w:rFonts w:cs="Times New Roman"/>
                <w:sz w:val="16"/>
                <w:szCs w:val="16"/>
              </w:rPr>
              <w:t>FCT-</w:t>
            </w:r>
            <w:proofErr w:type="spellStart"/>
            <w:r w:rsidRPr="009A54E2">
              <w:rPr>
                <w:rFonts w:cs="Times New Roman"/>
                <w:sz w:val="16"/>
                <w:szCs w:val="16"/>
              </w:rPr>
              <w:t>Kuje</w:t>
            </w:r>
            <w:proofErr w:type="spellEnd"/>
            <w:r w:rsidRPr="009A54E2">
              <w:rPr>
                <w:rFonts w:cs="Times New Roman"/>
                <w:sz w:val="16"/>
                <w:szCs w:val="16"/>
              </w:rPr>
              <w:t xml:space="preserve"> Cluster</w:t>
            </w:r>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Kuje</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23</w:t>
            </w:r>
          </w:p>
        </w:tc>
      </w:tr>
      <w:tr w:rsidR="008973D5" w:rsidRPr="009A54E2" w:rsidTr="00357CA7">
        <w:tc>
          <w:tcPr>
            <w:tcW w:w="3178" w:type="dxa"/>
            <w:vMerge w:val="restart"/>
          </w:tcPr>
          <w:p w:rsidR="008973D5" w:rsidRPr="009A54E2" w:rsidRDefault="008973D5" w:rsidP="00357CA7">
            <w:pPr>
              <w:jc w:val="both"/>
              <w:rPr>
                <w:rFonts w:cs="Times New Roman"/>
                <w:sz w:val="16"/>
                <w:szCs w:val="16"/>
              </w:rPr>
            </w:pPr>
            <w:r w:rsidRPr="009A54E2">
              <w:rPr>
                <w:rFonts w:cs="Times New Roman"/>
                <w:sz w:val="16"/>
                <w:szCs w:val="16"/>
              </w:rPr>
              <w:t>Kaduna</w:t>
            </w:r>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FadanKamantan</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9</w:t>
            </w:r>
          </w:p>
        </w:tc>
      </w:tr>
      <w:tr w:rsidR="008973D5" w:rsidRPr="009A54E2" w:rsidTr="00357CA7">
        <w:tc>
          <w:tcPr>
            <w:tcW w:w="3178" w:type="dxa"/>
            <w:vMerge/>
          </w:tcPr>
          <w:p w:rsidR="008973D5" w:rsidRPr="009A54E2" w:rsidRDefault="008973D5" w:rsidP="00357CA7">
            <w:pPr>
              <w:jc w:val="both"/>
              <w:rPr>
                <w:rFonts w:cs="Times New Roman"/>
                <w:sz w:val="16"/>
                <w:szCs w:val="16"/>
              </w:rPr>
            </w:pPr>
          </w:p>
        </w:tc>
        <w:tc>
          <w:tcPr>
            <w:tcW w:w="3214" w:type="dxa"/>
          </w:tcPr>
          <w:p w:rsidR="008973D5" w:rsidRPr="009A54E2" w:rsidRDefault="008973D5" w:rsidP="00357CA7">
            <w:pPr>
              <w:jc w:val="both"/>
              <w:rPr>
                <w:rFonts w:cs="Times New Roman"/>
                <w:sz w:val="16"/>
                <w:szCs w:val="16"/>
              </w:rPr>
            </w:pPr>
            <w:r w:rsidRPr="009A54E2">
              <w:rPr>
                <w:rFonts w:cs="Times New Roman"/>
                <w:sz w:val="16"/>
                <w:szCs w:val="16"/>
              </w:rPr>
              <w:t>Paki I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8</w:t>
            </w:r>
          </w:p>
        </w:tc>
      </w:tr>
      <w:tr w:rsidR="008973D5" w:rsidRPr="009A54E2" w:rsidTr="00357CA7">
        <w:tc>
          <w:tcPr>
            <w:tcW w:w="3178" w:type="dxa"/>
            <w:vMerge/>
          </w:tcPr>
          <w:p w:rsidR="008973D5" w:rsidRPr="009A54E2" w:rsidRDefault="008973D5" w:rsidP="00357CA7">
            <w:pPr>
              <w:jc w:val="both"/>
              <w:rPr>
                <w:rFonts w:cs="Times New Roman"/>
                <w:sz w:val="16"/>
                <w:szCs w:val="16"/>
              </w:rPr>
            </w:pPr>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UngwanFari</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9</w:t>
            </w:r>
          </w:p>
        </w:tc>
      </w:tr>
      <w:tr w:rsidR="008973D5" w:rsidRPr="009A54E2" w:rsidTr="00357CA7">
        <w:tc>
          <w:tcPr>
            <w:tcW w:w="3178" w:type="dxa"/>
            <w:vMerge w:val="restart"/>
          </w:tcPr>
          <w:p w:rsidR="008973D5" w:rsidRPr="009A54E2" w:rsidRDefault="008973D5" w:rsidP="00357CA7">
            <w:pPr>
              <w:jc w:val="both"/>
              <w:rPr>
                <w:rFonts w:cs="Times New Roman"/>
                <w:sz w:val="16"/>
                <w:szCs w:val="16"/>
              </w:rPr>
            </w:pPr>
            <w:r w:rsidRPr="009A54E2">
              <w:rPr>
                <w:rFonts w:cs="Times New Roman"/>
                <w:sz w:val="16"/>
                <w:szCs w:val="16"/>
              </w:rPr>
              <w:t>Niger</w:t>
            </w:r>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Jaagi</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14</w:t>
            </w:r>
          </w:p>
        </w:tc>
      </w:tr>
      <w:tr w:rsidR="008973D5" w:rsidRPr="009A54E2" w:rsidTr="00357CA7">
        <w:tc>
          <w:tcPr>
            <w:tcW w:w="3178" w:type="dxa"/>
            <w:vMerge/>
          </w:tcPr>
          <w:p w:rsidR="008973D5" w:rsidRPr="009A54E2" w:rsidRDefault="008973D5" w:rsidP="00357CA7">
            <w:pPr>
              <w:jc w:val="both"/>
              <w:rPr>
                <w:rFonts w:cs="Times New Roman"/>
                <w:sz w:val="16"/>
                <w:szCs w:val="16"/>
              </w:rPr>
            </w:pPr>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Enagi</w:t>
            </w:r>
            <w:proofErr w:type="spellEnd"/>
            <w:r w:rsidRPr="009A54E2">
              <w:rPr>
                <w:rFonts w:cs="Times New Roman"/>
                <w:sz w:val="16"/>
                <w:szCs w:val="16"/>
              </w:rPr>
              <w:t xml:space="preserve"> CHC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20</w:t>
            </w:r>
          </w:p>
        </w:tc>
      </w:tr>
      <w:tr w:rsidR="008973D5" w:rsidRPr="009A54E2" w:rsidTr="00357CA7">
        <w:tc>
          <w:tcPr>
            <w:tcW w:w="3178" w:type="dxa"/>
            <w:vMerge w:val="restart"/>
          </w:tcPr>
          <w:p w:rsidR="008973D5" w:rsidRPr="009A54E2" w:rsidRDefault="008973D5" w:rsidP="00357CA7">
            <w:pPr>
              <w:jc w:val="both"/>
              <w:rPr>
                <w:rFonts w:cs="Times New Roman"/>
                <w:sz w:val="16"/>
                <w:szCs w:val="16"/>
              </w:rPr>
            </w:pPr>
            <w:r w:rsidRPr="009A54E2">
              <w:rPr>
                <w:rFonts w:cs="Times New Roman"/>
                <w:sz w:val="16"/>
                <w:szCs w:val="16"/>
              </w:rPr>
              <w:t>Ogun</w:t>
            </w:r>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Agosi</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10</w:t>
            </w:r>
          </w:p>
        </w:tc>
      </w:tr>
      <w:tr w:rsidR="008973D5" w:rsidRPr="009A54E2" w:rsidTr="00357CA7">
        <w:tc>
          <w:tcPr>
            <w:tcW w:w="3178" w:type="dxa"/>
            <w:vMerge/>
          </w:tcPr>
          <w:p w:rsidR="008973D5" w:rsidRPr="009A54E2" w:rsidRDefault="008973D5" w:rsidP="00357CA7">
            <w:pPr>
              <w:jc w:val="both"/>
              <w:rPr>
                <w:rFonts w:cs="Times New Roman"/>
                <w:sz w:val="16"/>
                <w:szCs w:val="16"/>
              </w:rPr>
            </w:pPr>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Ajuwon</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7</w:t>
            </w:r>
          </w:p>
        </w:tc>
      </w:tr>
      <w:tr w:rsidR="008973D5" w:rsidRPr="009A54E2" w:rsidTr="00357CA7">
        <w:tc>
          <w:tcPr>
            <w:tcW w:w="3178" w:type="dxa"/>
            <w:vMerge/>
          </w:tcPr>
          <w:p w:rsidR="008973D5" w:rsidRPr="009A54E2" w:rsidRDefault="008973D5" w:rsidP="00357CA7">
            <w:pPr>
              <w:jc w:val="both"/>
              <w:rPr>
                <w:rFonts w:cs="Times New Roman"/>
                <w:sz w:val="16"/>
                <w:szCs w:val="16"/>
              </w:rPr>
            </w:pPr>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Olose</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17</w:t>
            </w:r>
          </w:p>
        </w:tc>
      </w:tr>
      <w:tr w:rsidR="008973D5" w:rsidRPr="009A54E2" w:rsidTr="00357CA7">
        <w:tc>
          <w:tcPr>
            <w:tcW w:w="3178" w:type="dxa"/>
            <w:vMerge w:val="restart"/>
          </w:tcPr>
          <w:p w:rsidR="008973D5" w:rsidRPr="009A54E2" w:rsidRDefault="008973D5" w:rsidP="00357CA7">
            <w:pPr>
              <w:jc w:val="both"/>
              <w:rPr>
                <w:rFonts w:cs="Times New Roman"/>
                <w:sz w:val="16"/>
                <w:szCs w:val="16"/>
              </w:rPr>
            </w:pPr>
            <w:proofErr w:type="spellStart"/>
            <w:r w:rsidRPr="009A54E2">
              <w:rPr>
                <w:rFonts w:cs="Times New Roman"/>
                <w:sz w:val="16"/>
                <w:szCs w:val="16"/>
              </w:rPr>
              <w:t>Zamfara</w:t>
            </w:r>
            <w:proofErr w:type="spellEnd"/>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NasarawaGodel</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17</w:t>
            </w:r>
          </w:p>
        </w:tc>
      </w:tr>
      <w:tr w:rsidR="008973D5" w:rsidRPr="009A54E2" w:rsidTr="00357CA7">
        <w:tc>
          <w:tcPr>
            <w:tcW w:w="3178" w:type="dxa"/>
            <w:vMerge/>
          </w:tcPr>
          <w:p w:rsidR="008973D5" w:rsidRPr="009A54E2" w:rsidRDefault="008973D5" w:rsidP="00357CA7">
            <w:pPr>
              <w:jc w:val="both"/>
              <w:rPr>
                <w:rFonts w:cs="Times New Roman"/>
                <w:sz w:val="16"/>
                <w:szCs w:val="16"/>
              </w:rPr>
            </w:pPr>
          </w:p>
        </w:tc>
        <w:tc>
          <w:tcPr>
            <w:tcW w:w="3214" w:type="dxa"/>
          </w:tcPr>
          <w:p w:rsidR="008973D5" w:rsidRPr="009A54E2" w:rsidRDefault="008973D5" w:rsidP="00357CA7">
            <w:pPr>
              <w:jc w:val="both"/>
              <w:rPr>
                <w:rFonts w:cs="Times New Roman"/>
                <w:sz w:val="16"/>
                <w:szCs w:val="16"/>
              </w:rPr>
            </w:pPr>
            <w:proofErr w:type="spellStart"/>
            <w:r w:rsidRPr="009A54E2">
              <w:rPr>
                <w:rFonts w:cs="Times New Roman"/>
                <w:sz w:val="16"/>
                <w:szCs w:val="16"/>
              </w:rPr>
              <w:t>NasarawaMailayi</w:t>
            </w:r>
            <w:proofErr w:type="spellEnd"/>
            <w:r w:rsidRPr="009A54E2">
              <w:rPr>
                <w:rFonts w:cs="Times New Roman"/>
                <w:sz w:val="16"/>
                <w:szCs w:val="16"/>
              </w:rPr>
              <w:t xml:space="preserve"> PHC</w:t>
            </w:r>
          </w:p>
        </w:tc>
        <w:tc>
          <w:tcPr>
            <w:tcW w:w="2850" w:type="dxa"/>
          </w:tcPr>
          <w:p w:rsidR="008973D5" w:rsidRPr="009A54E2" w:rsidRDefault="008973D5" w:rsidP="00357CA7">
            <w:pPr>
              <w:jc w:val="both"/>
              <w:rPr>
                <w:rFonts w:cs="Times New Roman"/>
                <w:sz w:val="16"/>
                <w:szCs w:val="16"/>
              </w:rPr>
            </w:pPr>
            <w:r w:rsidRPr="009A54E2">
              <w:rPr>
                <w:rFonts w:cs="Times New Roman"/>
                <w:sz w:val="16"/>
                <w:szCs w:val="16"/>
              </w:rPr>
              <w:t>13</w:t>
            </w:r>
          </w:p>
        </w:tc>
      </w:tr>
      <w:tr w:rsidR="008973D5" w:rsidRPr="009A54E2" w:rsidTr="00357CA7">
        <w:tc>
          <w:tcPr>
            <w:tcW w:w="3178" w:type="dxa"/>
          </w:tcPr>
          <w:p w:rsidR="008973D5" w:rsidRPr="009A54E2" w:rsidRDefault="008973D5" w:rsidP="00357CA7">
            <w:pPr>
              <w:jc w:val="both"/>
              <w:rPr>
                <w:rFonts w:cs="Times New Roman"/>
                <w:b/>
                <w:sz w:val="16"/>
                <w:szCs w:val="16"/>
              </w:rPr>
            </w:pPr>
            <w:r w:rsidRPr="009A54E2">
              <w:rPr>
                <w:rFonts w:cs="Times New Roman"/>
                <w:b/>
                <w:sz w:val="16"/>
                <w:szCs w:val="16"/>
              </w:rPr>
              <w:t>Total</w:t>
            </w:r>
          </w:p>
        </w:tc>
        <w:tc>
          <w:tcPr>
            <w:tcW w:w="3214" w:type="dxa"/>
          </w:tcPr>
          <w:p w:rsidR="008973D5" w:rsidRPr="009A54E2" w:rsidRDefault="008973D5" w:rsidP="00357CA7">
            <w:pPr>
              <w:jc w:val="both"/>
              <w:rPr>
                <w:rFonts w:cs="Times New Roman"/>
                <w:b/>
                <w:sz w:val="16"/>
                <w:szCs w:val="16"/>
              </w:rPr>
            </w:pPr>
          </w:p>
        </w:tc>
        <w:tc>
          <w:tcPr>
            <w:tcW w:w="2850" w:type="dxa"/>
          </w:tcPr>
          <w:p w:rsidR="008973D5" w:rsidRPr="009A54E2" w:rsidRDefault="008973D5" w:rsidP="00357CA7">
            <w:pPr>
              <w:jc w:val="both"/>
              <w:rPr>
                <w:rFonts w:cs="Times New Roman"/>
                <w:b/>
                <w:sz w:val="16"/>
                <w:szCs w:val="16"/>
              </w:rPr>
            </w:pPr>
            <w:r w:rsidRPr="009A54E2">
              <w:rPr>
                <w:rFonts w:cs="Times New Roman"/>
                <w:b/>
                <w:sz w:val="16"/>
                <w:szCs w:val="16"/>
              </w:rPr>
              <w:t>314</w:t>
            </w:r>
          </w:p>
        </w:tc>
      </w:tr>
    </w:tbl>
    <w:p w:rsidR="008973D5" w:rsidRDefault="008973D5" w:rsidP="008973D5"/>
    <w:p w:rsidR="00E8018C" w:rsidRDefault="008973D5" w:rsidP="00E8018C">
      <w:pPr>
        <w:tabs>
          <w:tab w:val="left" w:pos="3780"/>
        </w:tabs>
      </w:pPr>
      <w:r>
        <w:rPr>
          <w:b/>
        </w:rPr>
        <w:t>Data collection process</w:t>
      </w:r>
      <w:r>
        <w:br/>
        <w:t xml:space="preserve">Data was collected between June-July 2015 (period when the CCT scheme had already ended) </w:t>
      </w:r>
      <w:r w:rsidR="0033669F">
        <w:t xml:space="preserve">and started </w:t>
      </w:r>
      <w:r>
        <w:t xml:space="preserve">with the recruitment of Study Assessors who were trained on the assessment’s purpose, scope and objectives, interview process, administration of data collection instrument and techniques for conducting effective focus group discussions. Demographic data was collected on sex, age, religion, ethnic group, marital status, educational status, employment status, number of children and number of pregnancy. </w:t>
      </w:r>
      <w:r w:rsidR="00E8018C">
        <w:t>Assessors combined English with local lang</w:t>
      </w:r>
      <w:r w:rsidR="00E8018C" w:rsidRPr="00F8025C">
        <w:t xml:space="preserve">uages </w:t>
      </w:r>
      <w:r w:rsidR="00E8018C">
        <w:t>to elicit responses from participants where</w:t>
      </w:r>
      <w:r w:rsidR="0033669F">
        <w:t xml:space="preserve"> and when</w:t>
      </w:r>
      <w:r w:rsidR="00E8018C">
        <w:t xml:space="preserve"> necessary.</w:t>
      </w:r>
    </w:p>
    <w:p w:rsidR="008973D5" w:rsidRPr="00467AE3" w:rsidRDefault="008973D5" w:rsidP="008973D5">
      <w:pPr>
        <w:pStyle w:val="BodyText"/>
        <w:rPr>
          <w:color w:val="FF0000"/>
        </w:rPr>
      </w:pPr>
      <w:r w:rsidRPr="00467AE3">
        <w:rPr>
          <w:b/>
          <w:color w:val="FF0000"/>
        </w:rPr>
        <w:t>Data management and analysis</w:t>
      </w:r>
      <w:r w:rsidRPr="00467AE3">
        <w:rPr>
          <w:color w:val="FF0000"/>
        </w:rPr>
        <w:br/>
      </w:r>
      <w:proofErr w:type="gramStart"/>
      <w:r w:rsidRPr="00467AE3">
        <w:rPr>
          <w:color w:val="FF0000"/>
        </w:rPr>
        <w:t>Each</w:t>
      </w:r>
      <w:proofErr w:type="gramEnd"/>
      <w:r w:rsidRPr="00467AE3">
        <w:rPr>
          <w:color w:val="FF0000"/>
        </w:rPr>
        <w:t xml:space="preserve"> of the answered questionnaires was coded and entered into a spreadsheet. The data collected was subjected to descriptive (i.e. mean, median and mode) and inferential (i.e. Chi-square and ANOVA) statistical treatment. Bivariate analysis and test of statistical significance were carried out using R version 3.1.2. Data from respondents were grouped into themes for analysis thus; CCT operations, CCTs pay- roll processes, CCTs pay- out events and perceived perception by beneficiaries. Finally, information obtained was summarized and presented in tables, charts and frequencies.</w:t>
      </w:r>
    </w:p>
    <w:p w:rsidR="008973D5" w:rsidRDefault="008973D5" w:rsidP="008973D5">
      <w:pPr>
        <w:pStyle w:val="BodyText"/>
      </w:pPr>
      <w:r>
        <w:rPr>
          <w:b/>
        </w:rPr>
        <w:t>Validity and reliability checks</w:t>
      </w:r>
      <w:r>
        <w:br/>
      </w:r>
      <w:proofErr w:type="gramStart"/>
      <w:r>
        <w:t>The</w:t>
      </w:r>
      <w:proofErr w:type="gramEnd"/>
      <w:r>
        <w:t xml:space="preserve"> data collection instruments was put through phased validity which involved pre-testing and field testing of the tools. First the tools were pre-tested and peer reviewed by internal and external colleagues to ensure internal consistency and validity. Then, a field testing of the questionnaires and survey methodology was </w:t>
      </w:r>
      <w:r w:rsidR="00467AE3">
        <w:t>done</w:t>
      </w:r>
      <w:r>
        <w:t xml:space="preserve"> in one of the non-participating CCT facilities in FCT-Abuja with all Assessors </w:t>
      </w:r>
      <w:r w:rsidR="00467AE3">
        <w:t>who were</w:t>
      </w:r>
      <w:r>
        <w:t xml:space="preserve"> part of the assessment training</w:t>
      </w:r>
      <w:r w:rsidR="00467AE3">
        <w:t>. F</w:t>
      </w:r>
      <w:r>
        <w:t xml:space="preserve">indings from the field-testing were incorporated </w:t>
      </w:r>
      <w:r w:rsidR="00467AE3">
        <w:t xml:space="preserve">and amended </w:t>
      </w:r>
      <w:r>
        <w:t>accordingly.</w:t>
      </w:r>
    </w:p>
    <w:p w:rsidR="008973D5" w:rsidRDefault="008973D5" w:rsidP="008973D5">
      <w:pPr>
        <w:pStyle w:val="BodyText"/>
        <w:rPr>
          <w:b/>
        </w:rPr>
      </w:pPr>
      <w:bookmarkStart w:id="7" w:name="results"/>
      <w:bookmarkEnd w:id="7"/>
    </w:p>
    <w:p w:rsidR="00BD4205" w:rsidRDefault="00D0220F" w:rsidP="00BD4205">
      <w:pPr>
        <w:pStyle w:val="Heading2"/>
      </w:pPr>
      <w:r>
        <w:t>D</w:t>
      </w:r>
      <w:r w:rsidR="00BD4205">
        <w:t xml:space="preserve">esk </w:t>
      </w:r>
      <w:r>
        <w:t>R</w:t>
      </w:r>
      <w:r w:rsidR="00BD4205">
        <w:t>eview</w:t>
      </w:r>
      <w:r w:rsidR="000C09B7">
        <w:t xml:space="preserve"> - Description of the SURE-P MCH CCT Pilot </w:t>
      </w:r>
      <w:proofErr w:type="spellStart"/>
      <w:r w:rsidR="000C09B7">
        <w:t>Programme</w:t>
      </w:r>
      <w:proofErr w:type="spellEnd"/>
      <w:r w:rsidR="000C09B7">
        <w:t xml:space="preserve"> </w:t>
      </w:r>
      <w:commentRangeStart w:id="8"/>
      <w:r w:rsidR="000C09B7">
        <w:t>in</w:t>
      </w:r>
      <w:commentRangeEnd w:id="8"/>
      <w:r w:rsidR="000254FE">
        <w:rPr>
          <w:rStyle w:val="CommentReference"/>
          <w:rFonts w:asciiTheme="minorHAnsi" w:eastAsiaTheme="minorHAnsi" w:hAnsiTheme="minorHAnsi" w:cstheme="minorBidi"/>
          <w:b w:val="0"/>
          <w:bCs w:val="0"/>
          <w:color w:val="auto"/>
        </w:rPr>
        <w:commentReference w:id="8"/>
      </w:r>
      <w:r w:rsidR="000C09B7">
        <w:t xml:space="preserve"> Nigeria</w:t>
      </w:r>
    </w:p>
    <w:p w:rsidR="00BD4205" w:rsidRDefault="00BD4205" w:rsidP="00BD4205">
      <w:pPr>
        <w:pStyle w:val="FirstParagraph"/>
      </w:pPr>
      <w:r>
        <w:t xml:space="preserve">The partial removal of fuel subsidies in January 2012 by Nigeria’s government culminated in the establishment of the Subsidy Reinvestment and Empowerment </w:t>
      </w:r>
      <w:proofErr w:type="spellStart"/>
      <w:r>
        <w:t>Programme</w:t>
      </w:r>
      <w:proofErr w:type="spellEnd"/>
      <w:r>
        <w:t xml:space="preserve"> (SURE–P) to efficiently manage all financial resources accruable from the policy [2</w:t>
      </w:r>
      <w:r w:rsidR="0066039F">
        <w:t>6</w:t>
      </w:r>
      <w:r>
        <w:t xml:space="preserve">]. The Federal Government’s portion of the subsidy savings were invested in social safety net interventions as well as infrastructural and human development </w:t>
      </w:r>
      <w:proofErr w:type="spellStart"/>
      <w:r>
        <w:t>programmes</w:t>
      </w:r>
      <w:proofErr w:type="spellEnd"/>
      <w:r>
        <w:t xml:space="preserve"> to stimulate Nigeria’s economy </w:t>
      </w:r>
      <w:r>
        <w:lastRenderedPageBreak/>
        <w:t xml:space="preserve">and alleviate poverty. With a focus on accelerating progress on the fourth and fifth Millennium Development Goals, the Federal Government of Nigeria invested part of the subsidy savings in improving maternal and child survival nationwide through the SURE-P Maternal and Child Health (MCH) [4]. This component of the SURE-P was implemented through a </w:t>
      </w:r>
      <w:proofErr w:type="spellStart"/>
      <w:r>
        <w:t>programme</w:t>
      </w:r>
      <w:proofErr w:type="spellEnd"/>
      <w:r>
        <w:t xml:space="preserve"> management unit (PIU) with headquarters in FCT-Abuja under the National Primary Health Care Development Agency and premised upon the already existing Midwives Service Scheme (MSS) of the agency [2</w:t>
      </w:r>
      <w:r w:rsidR="0066039F">
        <w:t>7</w:t>
      </w:r>
      <w:r>
        <w:t xml:space="preserve">]. MSS facilitated the deployment and redistribution of midwives to selected primary healthcare </w:t>
      </w:r>
      <w:proofErr w:type="spellStart"/>
      <w:r>
        <w:t>centres</w:t>
      </w:r>
      <w:proofErr w:type="spellEnd"/>
      <w:r>
        <w:t xml:space="preserve"> across the country to increase access to quality maternal and child health services [2</w:t>
      </w:r>
      <w:r w:rsidR="0066039F">
        <w:t>8</w:t>
      </w:r>
      <w:r>
        <w:t>]. However, the SURE-P MCH expanded the benefits of MSS by focusing on supply and demand sides interventions while creating new strategies to reach the most vulnerable and underserved populations in Nigeria with access to basic MNCH services.</w:t>
      </w:r>
    </w:p>
    <w:p w:rsidR="00BD4205" w:rsidRDefault="00BD4205" w:rsidP="00BD4205">
      <w:pPr>
        <w:pStyle w:val="BodyText"/>
      </w:pPr>
      <w:r>
        <w:t xml:space="preserve">Through the SURE-P MCH supply side interventions, trained midwives and Community Health Extension Workers (CHEWs) were deployed to designated facilities across Nigeria’s 36 states and the FCT, and skills sets of existing cadres of health staff across health </w:t>
      </w:r>
      <w:r w:rsidR="0066039F">
        <w:t>facilities were strengthened [28</w:t>
      </w:r>
      <w:r>
        <w:t xml:space="preserve">]. MNCH medicines, consumables, equipment were supplied and infrastructural developments such as renovation of primary health </w:t>
      </w:r>
      <w:proofErr w:type="spellStart"/>
      <w:r>
        <w:t>centres</w:t>
      </w:r>
      <w:proofErr w:type="spellEnd"/>
      <w:r>
        <w:t xml:space="preserve"> and provision of bore holes to enhance access to potable water were put in place. On the demand creation interventions, SURE-P MCH utilized the conditional cash transfer (CCT) </w:t>
      </w:r>
      <w:proofErr w:type="spellStart"/>
      <w:r>
        <w:t>programme</w:t>
      </w:r>
      <w:proofErr w:type="spellEnd"/>
      <w:r>
        <w:t xml:space="preserve"> as a key MNCH services demand booster to complement the huge supply-side interventions [2</w:t>
      </w:r>
      <w:r w:rsidR="0066039F">
        <w:t>9</w:t>
      </w:r>
      <w:r>
        <w:t xml:space="preserve">]. Nevertheless, the SURE-P MCH CCT </w:t>
      </w:r>
      <w:proofErr w:type="spellStart"/>
      <w:r>
        <w:t>programme</w:t>
      </w:r>
      <w:proofErr w:type="spellEnd"/>
      <w:r>
        <w:t xml:space="preserve"> was introduced to assess whether the added cash incentive would have a significant impact on the utilization of ante-natal care services and facility-based delivery </w:t>
      </w:r>
      <w:r w:rsidRPr="005D7258">
        <w:t>among pregnant women in SURE-P MCH</w:t>
      </w:r>
      <w:r>
        <w:t xml:space="preserve"> target </w:t>
      </w:r>
      <w:r w:rsidRPr="005D7258">
        <w:t>communities</w:t>
      </w:r>
      <w:r>
        <w:t xml:space="preserve">. Following a six-month proof of concept phase where the concept was fine-tuned in </w:t>
      </w:r>
      <w:proofErr w:type="spellStart"/>
      <w:r>
        <w:t>Kuje</w:t>
      </w:r>
      <w:proofErr w:type="spellEnd"/>
      <w:r>
        <w:t xml:space="preserve"> PHC and </w:t>
      </w:r>
      <w:proofErr w:type="spellStart"/>
      <w:r>
        <w:t>Karu</w:t>
      </w:r>
      <w:proofErr w:type="spellEnd"/>
      <w:r>
        <w:t xml:space="preserve"> PHC, both in FCT –Abuja, the SURE-MCH CCT pilot </w:t>
      </w:r>
      <w:proofErr w:type="spellStart"/>
      <w:r>
        <w:t>programme</w:t>
      </w:r>
      <w:proofErr w:type="spellEnd"/>
      <w:r>
        <w:t xml:space="preserve"> was officially launched on May 13, 2013 at </w:t>
      </w:r>
      <w:proofErr w:type="spellStart"/>
      <w:r>
        <w:t>Deidei</w:t>
      </w:r>
      <w:proofErr w:type="spellEnd"/>
      <w:r>
        <w:t xml:space="preserve"> Comprehensive Health Centre </w:t>
      </w:r>
      <w:proofErr w:type="spellStart"/>
      <w:r>
        <w:t>Bwari</w:t>
      </w:r>
      <w:proofErr w:type="spellEnd"/>
      <w:r>
        <w:t xml:space="preserve">, </w:t>
      </w:r>
      <w:proofErr w:type="spellStart"/>
      <w:r>
        <w:t>Bwari</w:t>
      </w:r>
      <w:proofErr w:type="spellEnd"/>
      <w:r>
        <w:t xml:space="preserve"> Area Council Abuja-FCT.   A cluster model was used to select four (4) Primary Health Care (PHC) facilities per state with the exception of FCT-ABUJA which had five (5) PHC facilities making a total of 37 participating primary health care (PHC) facilities in 10 CCT </w:t>
      </w:r>
      <w:r w:rsidRPr="0002097D">
        <w:t xml:space="preserve">clusters </w:t>
      </w:r>
      <w:r w:rsidR="0066039F" w:rsidRPr="0002097D">
        <w:t>[</w:t>
      </w:r>
      <w:r w:rsidRPr="0002097D">
        <w:t>30</w:t>
      </w:r>
      <w:r w:rsidR="00865D10" w:rsidRPr="0002097D">
        <w:t>, 31</w:t>
      </w:r>
      <w:r w:rsidRPr="0002097D">
        <w:t>].</w:t>
      </w:r>
    </w:p>
    <w:p w:rsidR="000C09B7" w:rsidRDefault="000C09B7" w:rsidP="00BD4205">
      <w:pPr>
        <w:pStyle w:val="Heading2"/>
      </w:pPr>
      <w:bookmarkStart w:id="9" w:name="sure-p-mch-cct-programme-design"/>
      <w:bookmarkStart w:id="10" w:name="sure-p-mch-cct-pilot-implementation"/>
      <w:bookmarkStart w:id="11" w:name="methods"/>
      <w:bookmarkEnd w:id="9"/>
      <w:bookmarkEnd w:id="10"/>
      <w:bookmarkEnd w:id="11"/>
    </w:p>
    <w:p w:rsidR="00BD4205" w:rsidRDefault="00BD4205" w:rsidP="00BD4205">
      <w:pPr>
        <w:pStyle w:val="Heading2"/>
      </w:pPr>
      <w:r>
        <w:t xml:space="preserve">Design of SURE-P MCH CCT </w:t>
      </w:r>
      <w:proofErr w:type="spellStart"/>
      <w:r>
        <w:t>Programme</w:t>
      </w:r>
      <w:proofErr w:type="spellEnd"/>
    </w:p>
    <w:p w:rsidR="00BD4205" w:rsidRDefault="00BD4205" w:rsidP="00BD4205">
      <w:pPr>
        <w:pStyle w:val="BodyText"/>
      </w:pPr>
      <w:proofErr w:type="spellStart"/>
      <w:r>
        <w:rPr>
          <w:b/>
        </w:rPr>
        <w:t>Programme</w:t>
      </w:r>
      <w:proofErr w:type="spellEnd"/>
      <w:r>
        <w:rPr>
          <w:b/>
        </w:rPr>
        <w:t xml:space="preserve"> Beneficiaries</w:t>
      </w:r>
      <w:r>
        <w:br/>
        <w:t xml:space="preserve">The primary beneficiaries of the CCT </w:t>
      </w:r>
      <w:proofErr w:type="spellStart"/>
      <w:r>
        <w:t>Programme</w:t>
      </w:r>
      <w:proofErr w:type="spellEnd"/>
      <w:r>
        <w:t xml:space="preserve"> were pregnant women who enrolled at designated SURE-P MCH CCT PHCs. However, secondary beneficiaries include their newborns, wider household (including existing children), as mothers contact with health services increased over the period and their husbands were relieved of some out-of-pocket expenses.</w:t>
      </w:r>
    </w:p>
    <w:p w:rsidR="00BD4205" w:rsidRDefault="00BD4205" w:rsidP="00BD4205">
      <w:pPr>
        <w:autoSpaceDE w:val="0"/>
        <w:autoSpaceDN w:val="0"/>
        <w:adjustRightInd w:val="0"/>
        <w:spacing w:after="0"/>
      </w:pPr>
      <w:r>
        <w:rPr>
          <w:b/>
        </w:rPr>
        <w:t xml:space="preserve">Eligibility </w:t>
      </w:r>
      <w:r>
        <w:br/>
        <w:t xml:space="preserve">All pregnant women whose pregnancy status were confirmed and booked in each participating facility and who were yet to benefit from the CCT program met the eligibility criteria. The CCT Pilot </w:t>
      </w:r>
      <w:proofErr w:type="spellStart"/>
      <w:r>
        <w:t>programme</w:t>
      </w:r>
      <w:proofErr w:type="spellEnd"/>
      <w:r>
        <w:t xml:space="preserve"> incentivized beneficiaries with a total of N5000 (approximately $30) cash support after fulfilling four set of co-responsibilities as detailed in </w:t>
      </w:r>
      <w:r w:rsidRPr="00A60C04">
        <w:rPr>
          <w:b/>
        </w:rPr>
        <w:t>figure 2</w:t>
      </w:r>
      <w:r>
        <w:t>.</w:t>
      </w:r>
    </w:p>
    <w:p w:rsidR="00BD4205" w:rsidRDefault="00BD4205" w:rsidP="00BD4205">
      <w:pPr>
        <w:autoSpaceDE w:val="0"/>
        <w:autoSpaceDN w:val="0"/>
        <w:adjustRightInd w:val="0"/>
        <w:spacing w:after="0"/>
      </w:pPr>
    </w:p>
    <w:p w:rsidR="00BD4205" w:rsidRDefault="00BD4205" w:rsidP="00BD4205">
      <w:pPr>
        <w:autoSpaceDE w:val="0"/>
        <w:autoSpaceDN w:val="0"/>
        <w:adjustRightInd w:val="0"/>
        <w:spacing w:after="0"/>
        <w:rPr>
          <w:b/>
        </w:rPr>
      </w:pPr>
      <w:r>
        <w:rPr>
          <w:b/>
        </w:rPr>
        <w:t>Cash Transfers</w:t>
      </w:r>
    </w:p>
    <w:p w:rsidR="00404583" w:rsidRDefault="00BD4205" w:rsidP="00BD4205">
      <w:pPr>
        <w:autoSpaceDE w:val="0"/>
        <w:autoSpaceDN w:val="0"/>
        <w:adjustRightInd w:val="0"/>
        <w:spacing w:after="0"/>
      </w:pPr>
      <w:r w:rsidRPr="00B72F38">
        <w:t xml:space="preserve">The </w:t>
      </w:r>
      <w:r>
        <w:t xml:space="preserve">cash disbursement was designed to be done in two tranches, where each woman receives the first disbursement of </w:t>
      </w:r>
      <w:r w:rsidRPr="00B72F38">
        <w:t>N1</w:t>
      </w:r>
      <w:proofErr w:type="gramStart"/>
      <w:r>
        <w:t>,</w:t>
      </w:r>
      <w:r w:rsidRPr="00B72F38">
        <w:t>000</w:t>
      </w:r>
      <w:proofErr w:type="gramEnd"/>
      <w:r>
        <w:t xml:space="preserve"> after</w:t>
      </w:r>
      <w:r w:rsidRPr="00B72F38">
        <w:t xml:space="preserve"> registration</w:t>
      </w:r>
      <w:r>
        <w:t xml:space="preserve"> at a participating PHC. T</w:t>
      </w:r>
      <w:r w:rsidRPr="00B72F38">
        <w:t>he</w:t>
      </w:r>
      <w:r>
        <w:t>n the</w:t>
      </w:r>
      <w:r w:rsidRPr="00B72F38">
        <w:t xml:space="preserve"> second and final disbursement</w:t>
      </w:r>
      <w:r>
        <w:t xml:space="preserve"> up to N4</w:t>
      </w:r>
      <w:proofErr w:type="gramStart"/>
      <w:r>
        <w:t>,000</w:t>
      </w:r>
      <w:proofErr w:type="gramEnd"/>
      <w:r>
        <w:t xml:space="preserve"> according to </w:t>
      </w:r>
      <w:r w:rsidRPr="00B72F38">
        <w:t>th</w:t>
      </w:r>
      <w:r>
        <w:t>e co-responsibilities completed for</w:t>
      </w:r>
      <w:r w:rsidRPr="00B72F38">
        <w:t xml:space="preserve"> ANC, delivery</w:t>
      </w:r>
      <w:r>
        <w:t xml:space="preserve"> with skilled birth attendant, </w:t>
      </w:r>
      <w:r w:rsidRPr="00B72F38">
        <w:t>postnatal care</w:t>
      </w:r>
      <w:r>
        <w:t xml:space="preserve">, neonate </w:t>
      </w:r>
      <w:r w:rsidRPr="00B72F38">
        <w:t>immunization</w:t>
      </w:r>
      <w:r>
        <w:t>, and family planning advice</w:t>
      </w:r>
      <w:r w:rsidRPr="00B72F38">
        <w:t>.</w:t>
      </w:r>
      <w:r>
        <w:t xml:space="preserve"> </w:t>
      </w:r>
    </w:p>
    <w:p w:rsidR="00404583" w:rsidRDefault="00404583" w:rsidP="00BD4205">
      <w:pPr>
        <w:autoSpaceDE w:val="0"/>
        <w:autoSpaceDN w:val="0"/>
        <w:adjustRightInd w:val="0"/>
        <w:spacing w:after="0"/>
      </w:pPr>
    </w:p>
    <w:p w:rsidR="006C7CCA" w:rsidRDefault="00404583" w:rsidP="00BD4205">
      <w:pPr>
        <w:autoSpaceDE w:val="0"/>
        <w:autoSpaceDN w:val="0"/>
        <w:adjustRightInd w:val="0"/>
        <w:spacing w:after="0"/>
        <w:rPr>
          <w:b/>
        </w:rPr>
      </w:pPr>
      <w:r w:rsidRPr="00CB1FCD">
        <w:rPr>
          <w:b/>
        </w:rPr>
        <w:t>Referral to General Hospital</w:t>
      </w:r>
    </w:p>
    <w:p w:rsidR="00404583" w:rsidRDefault="00404583" w:rsidP="00BD4205">
      <w:pPr>
        <w:autoSpaceDE w:val="0"/>
        <w:autoSpaceDN w:val="0"/>
        <w:adjustRightInd w:val="0"/>
        <w:spacing w:after="0"/>
      </w:pPr>
      <w:r>
        <w:t xml:space="preserve">Following the design of the CCT </w:t>
      </w:r>
      <w:proofErr w:type="spellStart"/>
      <w:r>
        <w:t>programme</w:t>
      </w:r>
      <w:proofErr w:type="spellEnd"/>
      <w:r>
        <w:t xml:space="preserve">, beneficiaries who enrolled in the CCT </w:t>
      </w:r>
      <w:proofErr w:type="spellStart"/>
      <w:r>
        <w:t>programme</w:t>
      </w:r>
      <w:proofErr w:type="spellEnd"/>
      <w:r>
        <w:t xml:space="preserve"> were entitled to free care at secondary health facility (general hospital) in their cluster when referred for elective or emergency obstetric treatment from their PHC. However, the desk review identified that beneficiaries who had complications and were referred to general hospitals faced a lot of hitches and no beneficiaries benefited from this service owing to programmatic challenges.</w:t>
      </w:r>
    </w:p>
    <w:p w:rsidR="00404583" w:rsidRDefault="00404583" w:rsidP="00BD4205">
      <w:pPr>
        <w:autoSpaceDE w:val="0"/>
        <w:autoSpaceDN w:val="0"/>
        <w:adjustRightInd w:val="0"/>
        <w:spacing w:after="0"/>
      </w:pPr>
    </w:p>
    <w:p w:rsidR="00BD4205" w:rsidRDefault="00BD4205" w:rsidP="00BD4205">
      <w:pPr>
        <w:pStyle w:val="ImageCaption"/>
      </w:pPr>
    </w:p>
    <w:p w:rsidR="00BD4205" w:rsidRPr="00550879" w:rsidRDefault="00BD4205" w:rsidP="00BD4205">
      <w:pPr>
        <w:pStyle w:val="ImageCaption"/>
        <w:rPr>
          <w:b/>
        </w:rPr>
      </w:pPr>
      <w:r w:rsidRPr="00550879">
        <w:rPr>
          <w:b/>
        </w:rPr>
        <w:t>Figure 2: SURE-P MCH CCT Co-Responsibilities and Benefits</w:t>
      </w:r>
    </w:p>
    <w:p w:rsidR="00BD4205" w:rsidRDefault="00BD4205" w:rsidP="00BD4205">
      <w:pPr>
        <w:pStyle w:val="ImageCaption"/>
      </w:pPr>
      <w:r>
        <w:t>Conversion rate (13/04/2013) $1=N166</w:t>
      </w:r>
    </w:p>
    <w:p w:rsidR="00BD4205" w:rsidRPr="008D5716" w:rsidRDefault="00BD4205" w:rsidP="00BD4205">
      <w:pPr>
        <w:autoSpaceDE w:val="0"/>
        <w:autoSpaceDN w:val="0"/>
        <w:adjustRightInd w:val="0"/>
        <w:spacing w:after="0"/>
        <w:rPr>
          <w:b/>
        </w:rPr>
      </w:pPr>
      <w:proofErr w:type="spellStart"/>
      <w:r w:rsidRPr="008D5716">
        <w:rPr>
          <w:b/>
        </w:rPr>
        <w:t>Programme</w:t>
      </w:r>
      <w:proofErr w:type="spellEnd"/>
      <w:r w:rsidRPr="008D5716">
        <w:rPr>
          <w:b/>
        </w:rPr>
        <w:t xml:space="preserve"> Administration and Operations</w:t>
      </w:r>
    </w:p>
    <w:p w:rsidR="00BD4205" w:rsidRDefault="00BD4205" w:rsidP="00BD4205">
      <w:pPr>
        <w:pStyle w:val="FirstParagraph"/>
      </w:pPr>
      <w:r>
        <w:t xml:space="preserve">Prior to the CCT implementation, a two-week State Readiness Assessment (SRA) was conducted across all participating states to create awareness and sensitize various stakeholders at the state, local government area (LGA) and ward levels on the SURE-P MCH CCT pilot </w:t>
      </w:r>
      <w:proofErr w:type="spellStart"/>
      <w:r>
        <w:t>programme</w:t>
      </w:r>
      <w:proofErr w:type="spellEnd"/>
      <w:r>
        <w:t xml:space="preserve"> and implementation plans.  In each state, one CCT Technical Officer, one Field Supervisor and two Field Officers were recruited and a State Steering Committee (SSC) comprising of the </w:t>
      </w:r>
      <w:proofErr w:type="spellStart"/>
      <w:r>
        <w:t>Honourable</w:t>
      </w:r>
      <w:proofErr w:type="spellEnd"/>
      <w:r>
        <w:t xml:space="preserve"> Commissioner State Ministry of Health, Ministry of Women Affairs, Ministry of Local Government and Chieftaincy Affairs including Traditional and Religious Leaders, State Director Primary Health Care, State MDGs Focal Person, MSS Focal Person, and SURE-P State CCT Technical Officer was inaugurated to guide the implementation of CCT in each state to ensure strong stakeholder collaboration.</w:t>
      </w:r>
    </w:p>
    <w:p w:rsidR="00BD4205" w:rsidRDefault="00BD4205" w:rsidP="00BD4205">
      <w:pPr>
        <w:pStyle w:val="BodyText"/>
      </w:pPr>
      <w:r>
        <w:t xml:space="preserve">Prior to CCT enrollment and registration of beneficiaries, service providers (Midwives, CHEWs and VHWs) were trained on </w:t>
      </w:r>
      <w:proofErr w:type="spellStart"/>
      <w:r>
        <w:t>programme</w:t>
      </w:r>
      <w:proofErr w:type="spellEnd"/>
      <w:r>
        <w:t xml:space="preserve"> implementation while WDC members in all designated PHCs who were either re-activated or newly formed were given an orientation on the </w:t>
      </w:r>
      <w:proofErr w:type="spellStart"/>
      <w:r>
        <w:t>programme</w:t>
      </w:r>
      <w:proofErr w:type="spellEnd"/>
      <w:r>
        <w:t xml:space="preserve"> processes and what their responsibilities would be. The CCT reporting tools including; Beneficiary Registration Card, CCT Facility Registers, CCT Personal Consultation Forms and CCT Referral Forms were developed and deployed to all participating health facilities prior registration and enrollment of pregnant women.</w:t>
      </w:r>
    </w:p>
    <w:p w:rsidR="00BD4205" w:rsidRDefault="00BD4205" w:rsidP="00BD4205">
      <w:pPr>
        <w:pStyle w:val="BodyText"/>
      </w:pPr>
      <w:r w:rsidRPr="008D5716">
        <w:rPr>
          <w:b/>
        </w:rPr>
        <w:t>CCT pay–roll processes</w:t>
      </w:r>
      <w:r>
        <w:br/>
        <w:t xml:space="preserve">Pay-rolls were usually generated from a spreadsheet containing list of eligible beneficiaries, their registration numbers and the amount of cash support qualified based on pre-conditions met. Prior to pay-out events, SSC, WDC and OICs of health facilities were duly informed about </w:t>
      </w:r>
      <w:r>
        <w:lastRenderedPageBreak/>
        <w:t>the dates. The pay-roll containing the payment schedule of beneficiaries was usually displayed at the notice board of the health facility to notify eligible beneficiaries about their qualification to receive the cash incentives. Additionally, the CCT technical staff would contact all qualified beneficiaries by telephone and inform them about the proposed pay-out day and also mobilize them for the event. CCT Pay-out information was also sent to the community through the village health workers (VHW) who inform the women about the date  and time for the cash disbursements. The pay-roll was used on pay-out days to invite beneficiaries for their cash disbursements. However several challenges such as omission of eligible participants’ names from the pay-roll and irregularities on the pay-roll negatively affected the pay-roll processes.</w:t>
      </w:r>
    </w:p>
    <w:p w:rsidR="00BD4205" w:rsidRPr="002342D9" w:rsidRDefault="00BD4205" w:rsidP="00BD4205">
      <w:pPr>
        <w:pStyle w:val="BodyText"/>
      </w:pPr>
      <w:r w:rsidRPr="008D5716">
        <w:rPr>
          <w:b/>
        </w:rPr>
        <w:t>Pay-out events</w:t>
      </w:r>
      <w:r>
        <w:br/>
        <w:t xml:space="preserve">The CCT pay-out event was the climax of the CCT </w:t>
      </w:r>
      <w:proofErr w:type="spellStart"/>
      <w:r>
        <w:t>programme</w:t>
      </w:r>
      <w:proofErr w:type="spellEnd"/>
      <w:r>
        <w:t xml:space="preserve"> because that was the day beneficiaries received their cash disbursements and was usually a one-day event but with possible spill-over into the next day. The pay-out event venues were usually organized with different stations in a linear manner to allow benefiting women move in a chronological manner for accreditation and validation before receiving their cash support. Thereafter, the CCT beneficiary receives their accrued cash support from bank cashiers who were present at the venues and working with the support of CCT operational staff. When a woman receives a total of N5000 ($30) cash support having fulfilled all four co-responsibilities, the CCT registration card was retrieved from her and archived with the project. </w:t>
      </w:r>
      <w:r w:rsidRPr="002342D9">
        <w:t xml:space="preserve">However, following the </w:t>
      </w:r>
      <w:r>
        <w:t>deviation of the cash disbursements from two installments to</w:t>
      </w:r>
      <w:r w:rsidRPr="002342D9">
        <w:t xml:space="preserve"> single </w:t>
      </w:r>
      <w:r>
        <w:t xml:space="preserve">payment </w:t>
      </w:r>
      <w:r w:rsidRPr="002342D9">
        <w:t>for several beneficiaries, the CCT pay-out events attracted high numbers of women who are qualified to receive their cash</w:t>
      </w:r>
      <w:r>
        <w:t xml:space="preserve"> at the same time</w:t>
      </w:r>
      <w:r w:rsidRPr="002342D9">
        <w:t xml:space="preserve"> and </w:t>
      </w:r>
      <w:r>
        <w:t xml:space="preserve">consequently, </w:t>
      </w:r>
      <w:r w:rsidRPr="002342D9">
        <w:t>resulting in the over-crowding of pay out events</w:t>
      </w:r>
      <w:r>
        <w:t xml:space="preserve"> and resulting in long waiting times for beneficiaries</w:t>
      </w:r>
      <w:r w:rsidRPr="002342D9">
        <w:t>.</w:t>
      </w:r>
    </w:p>
    <w:p w:rsidR="00BD4205" w:rsidRDefault="00BD4205" w:rsidP="008973D5">
      <w:pPr>
        <w:pStyle w:val="Heading2"/>
      </w:pPr>
    </w:p>
    <w:p w:rsidR="008973D5" w:rsidRDefault="006663FD" w:rsidP="008973D5">
      <w:pPr>
        <w:pStyle w:val="Heading2"/>
      </w:pPr>
      <w:r>
        <w:t>FINDINGS</w:t>
      </w:r>
      <w:r w:rsidR="009B6A7C">
        <w:t xml:space="preserve"> </w:t>
      </w:r>
      <w:r>
        <w:t>FROM BENEFICIARIE</w:t>
      </w:r>
      <w:r w:rsidR="009B6A7C">
        <w:t>S SURVEY</w:t>
      </w:r>
    </w:p>
    <w:p w:rsidR="00776883" w:rsidRDefault="00776883" w:rsidP="00776883">
      <w:pPr>
        <w:pStyle w:val="Compact"/>
        <w:spacing w:line="360" w:lineRule="auto"/>
        <w:rPr>
          <w:b/>
          <w:i/>
        </w:rPr>
      </w:pPr>
    </w:p>
    <w:p w:rsidR="00776883" w:rsidRPr="0026240D" w:rsidRDefault="00776883" w:rsidP="00776883">
      <w:pPr>
        <w:pStyle w:val="Compact"/>
        <w:spacing w:line="360" w:lineRule="auto"/>
        <w:rPr>
          <w:b/>
          <w:i/>
          <w:color w:val="FF0000"/>
        </w:rPr>
      </w:pPr>
      <w:r w:rsidRPr="00F205FD">
        <w:rPr>
          <w:b/>
          <w:i/>
        </w:rPr>
        <w:t xml:space="preserve">Figure </w:t>
      </w:r>
      <w:r w:rsidR="00B2434B" w:rsidRPr="00F205FD">
        <w:rPr>
          <w:b/>
          <w:i/>
        </w:rPr>
        <w:t>3</w:t>
      </w:r>
      <w:r w:rsidRPr="00F205FD">
        <w:rPr>
          <w:b/>
          <w:i/>
        </w:rPr>
        <w:t xml:space="preserve">: Beneficiaries’ </w:t>
      </w:r>
      <w:commentRangeStart w:id="12"/>
      <w:r w:rsidRPr="00F205FD">
        <w:rPr>
          <w:b/>
          <w:i/>
        </w:rPr>
        <w:t>Demographics</w:t>
      </w:r>
      <w:commentRangeEnd w:id="12"/>
      <w:r w:rsidR="005B05ED">
        <w:rPr>
          <w:rStyle w:val="CommentReference"/>
        </w:rPr>
        <w:commentReference w:id="12"/>
      </w:r>
    </w:p>
    <w:p w:rsidR="00776883" w:rsidRDefault="00776883" w:rsidP="00DD5E64">
      <w:pPr>
        <w:pStyle w:val="BodyText"/>
      </w:pPr>
      <w:r>
        <w:t>31.5% of beneficiaries were unemployed (i.e. housewives), 30.5% traders and 75% had a personal income equal to or less than N10</w:t>
      </w:r>
      <w:proofErr w:type="gramStart"/>
      <w:r>
        <w:t>,000</w:t>
      </w:r>
      <w:proofErr w:type="gramEnd"/>
      <w:r>
        <w:t xml:space="preserve"> monthly </w:t>
      </w:r>
      <w:r w:rsidRPr="000C2450">
        <w:rPr>
          <w:i/>
        </w:rPr>
        <w:t xml:space="preserve">(Figure </w:t>
      </w:r>
      <w:r w:rsidR="00DD5E64">
        <w:rPr>
          <w:i/>
        </w:rPr>
        <w:t>3</w:t>
      </w:r>
      <w:r w:rsidRPr="000C2450">
        <w:rPr>
          <w:i/>
        </w:rPr>
        <w:t>).</w:t>
      </w:r>
    </w:p>
    <w:p w:rsidR="008973D5" w:rsidRPr="002342D9" w:rsidRDefault="008973D5" w:rsidP="008973D5">
      <w:pPr>
        <w:pStyle w:val="FirstParagraph"/>
      </w:pPr>
    </w:p>
    <w:p w:rsidR="008973D5" w:rsidRDefault="008973D5" w:rsidP="00112C15">
      <w:pPr>
        <w:pStyle w:val="BodyText"/>
      </w:pPr>
      <w:r w:rsidRPr="001A156D">
        <w:rPr>
          <w:b/>
          <w:sz w:val="28"/>
          <w:szCs w:val="28"/>
        </w:rPr>
        <w:t>CCT Operations</w:t>
      </w:r>
      <w:r w:rsidRPr="001A156D">
        <w:rPr>
          <w:sz w:val="28"/>
          <w:szCs w:val="28"/>
        </w:rPr>
        <w:br/>
      </w:r>
      <w:r w:rsidR="00112C15">
        <w:t>About 22.6% of b</w:t>
      </w:r>
      <w:r>
        <w:t xml:space="preserve">eneficiaries reported </w:t>
      </w:r>
      <w:r w:rsidR="000619DF">
        <w:t>that they</w:t>
      </w:r>
      <w:r>
        <w:t xml:space="preserve"> heard about the </w:t>
      </w:r>
      <w:r w:rsidR="00112C15">
        <w:t xml:space="preserve">CCT </w:t>
      </w:r>
      <w:proofErr w:type="spellStart"/>
      <w:r>
        <w:t>pr</w:t>
      </w:r>
      <w:r w:rsidR="000619DF">
        <w:t>ogramme</w:t>
      </w:r>
      <w:proofErr w:type="spellEnd"/>
      <w:r w:rsidR="000619DF">
        <w:t xml:space="preserve"> from family and friends </w:t>
      </w:r>
      <w:r w:rsidR="00112C15">
        <w:t xml:space="preserve">while 43% heard from village health workers (VHWs), 18.2% heard from community health extension workers (CHEWs) and 11.1% heard from ward development committee (WDC) members. </w:t>
      </w:r>
      <w:r>
        <w:t xml:space="preserve">The data </w:t>
      </w:r>
      <w:r w:rsidR="00112C15">
        <w:t>was statistically</w:t>
      </w:r>
      <w:r>
        <w:t xml:space="preserve"> significantly across the various pilot states (p &lt; 0.001)</w:t>
      </w:r>
      <w:r w:rsidR="00112C15">
        <w:t>.</w:t>
      </w:r>
    </w:p>
    <w:p w:rsidR="008973D5" w:rsidRPr="00550879" w:rsidRDefault="008973D5" w:rsidP="008973D5">
      <w:pPr>
        <w:pStyle w:val="BodyText"/>
        <w:rPr>
          <w:b/>
          <w:i/>
        </w:rPr>
      </w:pPr>
      <w:r w:rsidRPr="00550879">
        <w:rPr>
          <w:b/>
          <w:i/>
          <w:noProof/>
        </w:rPr>
        <w:t xml:space="preserve">Figure </w:t>
      </w:r>
      <w:r w:rsidR="00B2434B">
        <w:rPr>
          <w:b/>
          <w:i/>
          <w:noProof/>
        </w:rPr>
        <w:t>4</w:t>
      </w:r>
      <w:r w:rsidRPr="00550879">
        <w:rPr>
          <w:b/>
          <w:i/>
          <w:noProof/>
        </w:rPr>
        <w:t xml:space="preserve">: Where benefiaries first heard about </w:t>
      </w:r>
      <w:commentRangeStart w:id="13"/>
      <w:r w:rsidRPr="00550879">
        <w:rPr>
          <w:b/>
          <w:i/>
          <w:noProof/>
        </w:rPr>
        <w:t>CCT</w:t>
      </w:r>
      <w:commentRangeEnd w:id="13"/>
      <w:r w:rsidR="005B05ED">
        <w:rPr>
          <w:rStyle w:val="CommentReference"/>
        </w:rPr>
        <w:commentReference w:id="13"/>
      </w:r>
    </w:p>
    <w:tbl>
      <w:tblPr>
        <w:tblW w:w="5000" w:type="pct"/>
        <w:tblLook w:val="04A0" w:firstRow="1" w:lastRow="0" w:firstColumn="1" w:lastColumn="0" w:noHBand="0" w:noVBand="1"/>
      </w:tblPr>
      <w:tblGrid>
        <w:gridCol w:w="9576"/>
      </w:tblGrid>
      <w:tr w:rsidR="008973D5" w:rsidTr="00357CA7">
        <w:tc>
          <w:tcPr>
            <w:tcW w:w="5000" w:type="pct"/>
          </w:tcPr>
          <w:p w:rsidR="008973D5" w:rsidRDefault="008973D5" w:rsidP="00357CA7">
            <w:pPr>
              <w:pStyle w:val="BodyText"/>
            </w:pPr>
          </w:p>
        </w:tc>
      </w:tr>
    </w:tbl>
    <w:p w:rsidR="008973D5" w:rsidRDefault="008973D5" w:rsidP="008973D5">
      <w:pPr>
        <w:pStyle w:val="BodyText"/>
        <w:rPr>
          <w:b/>
        </w:rPr>
      </w:pPr>
    </w:p>
    <w:p w:rsidR="008973D5" w:rsidRDefault="008973D5" w:rsidP="008973D5">
      <w:pPr>
        <w:pStyle w:val="BodyText"/>
      </w:pPr>
      <w:r>
        <w:rPr>
          <w:b/>
        </w:rPr>
        <w:t>Table 2: Pregnancy Stage at CCT Enrolment</w:t>
      </w:r>
    </w:p>
    <w:tbl>
      <w:tblPr>
        <w:tblW w:w="0" w:type="pct"/>
        <w:tblLook w:val="07E0" w:firstRow="1" w:lastRow="1" w:firstColumn="1" w:lastColumn="1" w:noHBand="1" w:noVBand="1"/>
      </w:tblPr>
      <w:tblGrid>
        <w:gridCol w:w="2085"/>
        <w:gridCol w:w="1328"/>
      </w:tblGrid>
      <w:tr w:rsidR="008973D5" w:rsidTr="00357CA7">
        <w:tc>
          <w:tcPr>
            <w:tcW w:w="0" w:type="auto"/>
            <w:tcBorders>
              <w:bottom w:val="single" w:sz="0" w:space="0" w:color="auto"/>
            </w:tcBorders>
            <w:vAlign w:val="bottom"/>
          </w:tcPr>
          <w:p w:rsidR="008973D5" w:rsidRDefault="008973D5" w:rsidP="00357CA7">
            <w:pPr>
              <w:pStyle w:val="Compact"/>
            </w:pPr>
            <w:r>
              <w:t>Stage at Enrolment</w:t>
            </w:r>
          </w:p>
        </w:tc>
        <w:tc>
          <w:tcPr>
            <w:tcW w:w="0" w:type="auto"/>
            <w:tcBorders>
              <w:bottom w:val="single" w:sz="0" w:space="0" w:color="auto"/>
            </w:tcBorders>
            <w:vAlign w:val="bottom"/>
          </w:tcPr>
          <w:p w:rsidR="008973D5" w:rsidRDefault="008973D5" w:rsidP="00357CA7">
            <w:pPr>
              <w:pStyle w:val="Compact"/>
            </w:pPr>
            <w:r>
              <w:t>No. (%)</w:t>
            </w:r>
          </w:p>
        </w:tc>
      </w:tr>
      <w:tr w:rsidR="008973D5" w:rsidTr="00357CA7">
        <w:tc>
          <w:tcPr>
            <w:tcW w:w="0" w:type="auto"/>
          </w:tcPr>
          <w:p w:rsidR="008973D5" w:rsidRDefault="008973D5" w:rsidP="00357CA7">
            <w:pPr>
              <w:pStyle w:val="Compact"/>
            </w:pPr>
            <w:r>
              <w:t>1st Trimester</w:t>
            </w:r>
          </w:p>
        </w:tc>
        <w:tc>
          <w:tcPr>
            <w:tcW w:w="0" w:type="auto"/>
          </w:tcPr>
          <w:p w:rsidR="008973D5" w:rsidRDefault="008973D5" w:rsidP="00357CA7">
            <w:pPr>
              <w:pStyle w:val="Compact"/>
            </w:pPr>
            <w:r>
              <w:t>122 (40)</w:t>
            </w:r>
          </w:p>
        </w:tc>
      </w:tr>
      <w:tr w:rsidR="008973D5" w:rsidTr="00357CA7">
        <w:tc>
          <w:tcPr>
            <w:tcW w:w="0" w:type="auto"/>
          </w:tcPr>
          <w:p w:rsidR="008973D5" w:rsidRDefault="008973D5" w:rsidP="00357CA7">
            <w:pPr>
              <w:pStyle w:val="Compact"/>
            </w:pPr>
            <w:r>
              <w:t>2nd Trimester</w:t>
            </w:r>
          </w:p>
        </w:tc>
        <w:tc>
          <w:tcPr>
            <w:tcW w:w="0" w:type="auto"/>
          </w:tcPr>
          <w:p w:rsidR="008973D5" w:rsidRDefault="008973D5" w:rsidP="00357CA7">
            <w:pPr>
              <w:pStyle w:val="Compact"/>
            </w:pPr>
            <w:r>
              <w:t>163 (53.44)</w:t>
            </w:r>
          </w:p>
        </w:tc>
      </w:tr>
      <w:tr w:rsidR="008973D5" w:rsidTr="00357CA7">
        <w:tc>
          <w:tcPr>
            <w:tcW w:w="0" w:type="auto"/>
          </w:tcPr>
          <w:p w:rsidR="008973D5" w:rsidRDefault="008973D5" w:rsidP="00357CA7">
            <w:pPr>
              <w:pStyle w:val="Compact"/>
            </w:pPr>
            <w:r>
              <w:t>3rd Trimester</w:t>
            </w:r>
          </w:p>
        </w:tc>
        <w:tc>
          <w:tcPr>
            <w:tcW w:w="0" w:type="auto"/>
          </w:tcPr>
          <w:p w:rsidR="008973D5" w:rsidRDefault="008973D5" w:rsidP="00357CA7">
            <w:pPr>
              <w:pStyle w:val="Compact"/>
            </w:pPr>
            <w:r>
              <w:t>19 (6.23)</w:t>
            </w:r>
          </w:p>
        </w:tc>
      </w:tr>
      <w:tr w:rsidR="008973D5" w:rsidTr="00357CA7">
        <w:tc>
          <w:tcPr>
            <w:tcW w:w="0" w:type="auto"/>
          </w:tcPr>
          <w:p w:rsidR="008973D5" w:rsidRDefault="008973D5" w:rsidP="00357CA7">
            <w:pPr>
              <w:pStyle w:val="Compact"/>
            </w:pPr>
            <w:r>
              <w:t>At Delivery</w:t>
            </w:r>
          </w:p>
        </w:tc>
        <w:tc>
          <w:tcPr>
            <w:tcW w:w="0" w:type="auto"/>
          </w:tcPr>
          <w:p w:rsidR="008973D5" w:rsidRDefault="008973D5" w:rsidP="00357CA7">
            <w:pPr>
              <w:pStyle w:val="Compact"/>
            </w:pPr>
            <w:r>
              <w:t>1 (.33)</w:t>
            </w:r>
          </w:p>
        </w:tc>
      </w:tr>
    </w:tbl>
    <w:p w:rsidR="008973D5" w:rsidRDefault="008973D5" w:rsidP="008973D5">
      <w:pPr>
        <w:pStyle w:val="BodyText"/>
      </w:pPr>
      <w:r>
        <w:t>Most beneficiaries</w:t>
      </w:r>
      <w:r w:rsidR="0080516A">
        <w:t xml:space="preserve"> (93%) </w:t>
      </w:r>
      <w:r>
        <w:t xml:space="preserve">enrolled within the first 2 trimesters of their pregnancies and they reported that adequate information about the four set of co-responsibilities was given to them at enrolment and they generally attested to the regularity of their CCT records (see Figures 4 </w:t>
      </w:r>
      <w:commentRangeStart w:id="14"/>
      <w:r>
        <w:t>and</w:t>
      </w:r>
      <w:commentRangeEnd w:id="14"/>
      <w:r w:rsidR="005B05ED">
        <w:rPr>
          <w:rStyle w:val="CommentReference"/>
        </w:rPr>
        <w:commentReference w:id="14"/>
      </w:r>
      <w:r>
        <w:t xml:space="preserve"> 5).</w:t>
      </w:r>
    </w:p>
    <w:p w:rsidR="008973D5" w:rsidRDefault="008973D5" w:rsidP="008973D5">
      <w:pPr>
        <w:pStyle w:val="BodyText"/>
      </w:pPr>
    </w:p>
    <w:p w:rsidR="008973D5" w:rsidRPr="00550879" w:rsidRDefault="008973D5" w:rsidP="008973D5">
      <w:pPr>
        <w:rPr>
          <w:b/>
          <w:i/>
        </w:rPr>
      </w:pPr>
      <w:r w:rsidRPr="00550879">
        <w:rPr>
          <w:b/>
          <w:i/>
        </w:rPr>
        <w:t xml:space="preserve">Figure </w:t>
      </w:r>
      <w:r w:rsidR="00B2434B">
        <w:rPr>
          <w:b/>
          <w:i/>
        </w:rPr>
        <w:t>5</w:t>
      </w:r>
      <w:r w:rsidRPr="00550879">
        <w:rPr>
          <w:b/>
          <w:i/>
        </w:rPr>
        <w:t xml:space="preserve">: Adequate information on co-responsibilities </w:t>
      </w:r>
      <w:commentRangeStart w:id="15"/>
      <w:r w:rsidRPr="00550879">
        <w:rPr>
          <w:b/>
          <w:i/>
        </w:rPr>
        <w:t>given</w:t>
      </w:r>
      <w:commentRangeEnd w:id="15"/>
      <w:r w:rsidR="005B05ED">
        <w:rPr>
          <w:rStyle w:val="CommentReference"/>
        </w:rPr>
        <w:commentReference w:id="15"/>
      </w:r>
    </w:p>
    <w:p w:rsidR="008973D5" w:rsidRDefault="008973D5" w:rsidP="008973D5">
      <w:pPr>
        <w:pStyle w:val="BodyText"/>
      </w:pPr>
    </w:p>
    <w:p w:rsidR="008973D5" w:rsidRPr="00550879" w:rsidRDefault="008973D5" w:rsidP="008973D5">
      <w:pPr>
        <w:rPr>
          <w:b/>
          <w:i/>
        </w:rPr>
      </w:pPr>
      <w:r w:rsidRPr="00550879">
        <w:rPr>
          <w:b/>
          <w:i/>
        </w:rPr>
        <w:t xml:space="preserve">Figure </w:t>
      </w:r>
      <w:r w:rsidR="00B2434B">
        <w:rPr>
          <w:b/>
          <w:i/>
        </w:rPr>
        <w:t>6</w:t>
      </w:r>
      <w:r w:rsidRPr="00550879">
        <w:rPr>
          <w:b/>
          <w:i/>
        </w:rPr>
        <w:t xml:space="preserve">: </w:t>
      </w:r>
      <w:r>
        <w:rPr>
          <w:b/>
          <w:i/>
        </w:rPr>
        <w:t xml:space="preserve">Record on CCT cards same as that in facility </w:t>
      </w:r>
      <w:commentRangeStart w:id="16"/>
      <w:r>
        <w:rPr>
          <w:b/>
          <w:i/>
        </w:rPr>
        <w:t>register</w:t>
      </w:r>
      <w:commentRangeEnd w:id="16"/>
      <w:r w:rsidR="005B05ED">
        <w:rPr>
          <w:rStyle w:val="CommentReference"/>
        </w:rPr>
        <w:commentReference w:id="16"/>
      </w:r>
    </w:p>
    <w:p w:rsidR="008973D5" w:rsidRDefault="008973D5" w:rsidP="008973D5">
      <w:pPr>
        <w:pStyle w:val="BodyText"/>
      </w:pPr>
    </w:p>
    <w:p w:rsidR="008973D5" w:rsidRDefault="008973D5" w:rsidP="008973D5">
      <w:pPr>
        <w:pStyle w:val="BodyText"/>
      </w:pPr>
      <w:r>
        <w:t xml:space="preserve">Eighty six percent (86%) of respondents stated that they had no complaints about the CCT </w:t>
      </w:r>
      <w:proofErr w:type="spellStart"/>
      <w:r>
        <w:t>programme</w:t>
      </w:r>
      <w:proofErr w:type="spellEnd"/>
      <w:r>
        <w:t xml:space="preserve"> at enrolment and majority of the women (88.7%) still reported finding the CCT process to be easy – from enrolment to pay-out.</w:t>
      </w:r>
    </w:p>
    <w:p w:rsidR="008973D5" w:rsidRDefault="008973D5" w:rsidP="008973D5">
      <w:pPr>
        <w:pStyle w:val="BodyText"/>
      </w:pPr>
    </w:p>
    <w:p w:rsidR="008973D5" w:rsidRDefault="008973D5" w:rsidP="008973D5">
      <w:pPr>
        <w:pStyle w:val="BodyText"/>
        <w:rPr>
          <w:b/>
          <w:i/>
        </w:rPr>
      </w:pPr>
      <w:r w:rsidRPr="00550879">
        <w:rPr>
          <w:b/>
          <w:i/>
        </w:rPr>
        <w:t xml:space="preserve">Figure </w:t>
      </w:r>
      <w:r w:rsidR="00B2434B">
        <w:rPr>
          <w:b/>
          <w:i/>
        </w:rPr>
        <w:t>7</w:t>
      </w:r>
      <w:r w:rsidRPr="00550879">
        <w:rPr>
          <w:b/>
          <w:i/>
        </w:rPr>
        <w:t xml:space="preserve">: </w:t>
      </w:r>
      <w:r>
        <w:rPr>
          <w:b/>
          <w:i/>
        </w:rPr>
        <w:t>Complaints on CCT enrollment</w:t>
      </w:r>
    </w:p>
    <w:p w:rsidR="008973D5" w:rsidRDefault="008973D5" w:rsidP="008973D5">
      <w:pPr>
        <w:pStyle w:val="BodyText"/>
      </w:pPr>
    </w:p>
    <w:p w:rsidR="008973D5" w:rsidRDefault="008973D5" w:rsidP="008973D5">
      <w:pPr>
        <w:pStyle w:val="BodyText"/>
        <w:rPr>
          <w:b/>
        </w:rPr>
      </w:pPr>
      <w:r>
        <w:rPr>
          <w:b/>
        </w:rPr>
        <w:t>CCT Pay-roll and payout events</w:t>
      </w:r>
    </w:p>
    <w:p w:rsidR="008973D5" w:rsidRDefault="008973D5" w:rsidP="008973D5">
      <w:pPr>
        <w:pStyle w:val="BodyText"/>
        <w:rPr>
          <w:b/>
          <w:i/>
        </w:rPr>
      </w:pPr>
      <w:r w:rsidRPr="00A00872">
        <w:rPr>
          <w:b/>
          <w:i/>
        </w:rPr>
        <w:t xml:space="preserve">Figure </w:t>
      </w:r>
      <w:r w:rsidR="00B2434B">
        <w:rPr>
          <w:b/>
          <w:i/>
        </w:rPr>
        <w:t>8</w:t>
      </w:r>
      <w:r w:rsidRPr="00A00872">
        <w:rPr>
          <w:b/>
          <w:i/>
        </w:rPr>
        <w:t xml:space="preserve">: Perception on CCT </w:t>
      </w:r>
      <w:commentRangeStart w:id="17"/>
      <w:r w:rsidRPr="00A00872">
        <w:rPr>
          <w:b/>
          <w:i/>
        </w:rPr>
        <w:t>Process</w:t>
      </w:r>
      <w:commentRangeEnd w:id="17"/>
      <w:r w:rsidR="00052615">
        <w:rPr>
          <w:rStyle w:val="CommentReference"/>
        </w:rPr>
        <w:commentReference w:id="17"/>
      </w:r>
    </w:p>
    <w:p w:rsidR="008973D5" w:rsidRPr="00A00872" w:rsidRDefault="008973D5" w:rsidP="008973D5">
      <w:pPr>
        <w:pStyle w:val="BodyText"/>
        <w:rPr>
          <w:b/>
          <w:i/>
        </w:rPr>
      </w:pPr>
    </w:p>
    <w:p w:rsidR="008973D5" w:rsidRDefault="00F506CA" w:rsidP="008973D5">
      <w:pPr>
        <w:pStyle w:val="BodyText"/>
        <w:rPr>
          <w:b/>
        </w:rPr>
      </w:pPr>
      <w:r>
        <w:t>Beneficiaries were informed about pay-o</w:t>
      </w:r>
      <w:r w:rsidR="008973D5">
        <w:t xml:space="preserve">ut </w:t>
      </w:r>
      <w:r>
        <w:t>e</w:t>
      </w:r>
      <w:r w:rsidR="008973D5">
        <w:t>vents</w:t>
      </w:r>
      <w:r>
        <w:t xml:space="preserve"> from </w:t>
      </w:r>
      <w:r w:rsidR="008973D5">
        <w:t xml:space="preserve">the health facility (34.2%), VHW/CHEW (21.1%) and WDC (9.1%). </w:t>
      </w:r>
      <w:proofErr w:type="spellStart"/>
      <w:r>
        <w:t>Furthemore</w:t>
      </w:r>
      <w:proofErr w:type="spellEnd"/>
      <w:r w:rsidR="008973D5">
        <w:t xml:space="preserve">, </w:t>
      </w:r>
      <w:r>
        <w:t>12.1% of respondents were informed through</w:t>
      </w:r>
      <w:r w:rsidR="008973D5">
        <w:t xml:space="preserve"> phone calls from SURE-P CCT </w:t>
      </w:r>
      <w:r>
        <w:t xml:space="preserve">field officers. </w:t>
      </w:r>
    </w:p>
    <w:p w:rsidR="008973D5" w:rsidRDefault="008973D5" w:rsidP="008973D5">
      <w:pPr>
        <w:pStyle w:val="BodyText"/>
      </w:pPr>
      <w:r>
        <w:rPr>
          <w:b/>
        </w:rPr>
        <w:t>Table 3: How Beneficiaries Heard About Pay-Out Events</w:t>
      </w:r>
    </w:p>
    <w:tbl>
      <w:tblPr>
        <w:tblW w:w="0" w:type="pct"/>
        <w:tblLook w:val="07E0" w:firstRow="1" w:lastRow="1" w:firstColumn="1" w:lastColumn="1" w:noHBand="1" w:noVBand="1"/>
      </w:tblPr>
      <w:tblGrid>
        <w:gridCol w:w="2745"/>
        <w:gridCol w:w="1207"/>
      </w:tblGrid>
      <w:tr w:rsidR="008973D5" w:rsidTr="00357CA7">
        <w:tc>
          <w:tcPr>
            <w:tcW w:w="0" w:type="auto"/>
            <w:tcBorders>
              <w:bottom w:val="single" w:sz="0" w:space="0" w:color="auto"/>
            </w:tcBorders>
            <w:vAlign w:val="bottom"/>
          </w:tcPr>
          <w:p w:rsidR="008973D5" w:rsidRDefault="008973D5" w:rsidP="00357CA7">
            <w:pPr>
              <w:pStyle w:val="Compact"/>
            </w:pPr>
            <w:r>
              <w:lastRenderedPageBreak/>
              <w:t>Source</w:t>
            </w:r>
          </w:p>
        </w:tc>
        <w:tc>
          <w:tcPr>
            <w:tcW w:w="0" w:type="auto"/>
            <w:tcBorders>
              <w:bottom w:val="single" w:sz="0" w:space="0" w:color="auto"/>
            </w:tcBorders>
            <w:vAlign w:val="bottom"/>
          </w:tcPr>
          <w:p w:rsidR="008973D5" w:rsidRDefault="008973D5" w:rsidP="00357CA7">
            <w:pPr>
              <w:pStyle w:val="Compact"/>
            </w:pPr>
            <w:r>
              <w:t>No. (%)</w:t>
            </w:r>
          </w:p>
        </w:tc>
      </w:tr>
      <w:tr w:rsidR="008973D5" w:rsidTr="00357CA7">
        <w:tc>
          <w:tcPr>
            <w:tcW w:w="0" w:type="auto"/>
          </w:tcPr>
          <w:p w:rsidR="008973D5" w:rsidRDefault="008973D5" w:rsidP="00357CA7">
            <w:pPr>
              <w:pStyle w:val="Compact"/>
            </w:pPr>
            <w:r>
              <w:t>From PHC</w:t>
            </w:r>
          </w:p>
        </w:tc>
        <w:tc>
          <w:tcPr>
            <w:tcW w:w="0" w:type="auto"/>
          </w:tcPr>
          <w:p w:rsidR="008973D5" w:rsidRDefault="008973D5" w:rsidP="00357CA7">
            <w:pPr>
              <w:pStyle w:val="Compact"/>
            </w:pPr>
            <w:r>
              <w:t>102 (34.2)</w:t>
            </w:r>
          </w:p>
        </w:tc>
      </w:tr>
      <w:tr w:rsidR="008973D5" w:rsidTr="00357CA7">
        <w:tc>
          <w:tcPr>
            <w:tcW w:w="0" w:type="auto"/>
          </w:tcPr>
          <w:p w:rsidR="008973D5" w:rsidRDefault="008973D5" w:rsidP="00357CA7">
            <w:pPr>
              <w:pStyle w:val="Compact"/>
            </w:pPr>
            <w:r>
              <w:t>VHW/CHEW</w:t>
            </w:r>
          </w:p>
        </w:tc>
        <w:tc>
          <w:tcPr>
            <w:tcW w:w="0" w:type="auto"/>
          </w:tcPr>
          <w:p w:rsidR="008973D5" w:rsidRDefault="008973D5" w:rsidP="00357CA7">
            <w:pPr>
              <w:pStyle w:val="Compact"/>
            </w:pPr>
            <w:r>
              <w:t>63 (21.1)</w:t>
            </w:r>
          </w:p>
        </w:tc>
      </w:tr>
      <w:tr w:rsidR="008973D5" w:rsidTr="00357CA7">
        <w:tc>
          <w:tcPr>
            <w:tcW w:w="0" w:type="auto"/>
          </w:tcPr>
          <w:p w:rsidR="008973D5" w:rsidRDefault="008973D5" w:rsidP="00357CA7">
            <w:pPr>
              <w:pStyle w:val="Compact"/>
            </w:pPr>
            <w:r>
              <w:t>Phone Call</w:t>
            </w:r>
          </w:p>
        </w:tc>
        <w:tc>
          <w:tcPr>
            <w:tcW w:w="0" w:type="auto"/>
          </w:tcPr>
          <w:p w:rsidR="008973D5" w:rsidRDefault="008973D5" w:rsidP="00357CA7">
            <w:pPr>
              <w:pStyle w:val="Compact"/>
            </w:pPr>
            <w:r>
              <w:t>36 (12.1)</w:t>
            </w:r>
          </w:p>
        </w:tc>
      </w:tr>
      <w:tr w:rsidR="008973D5" w:rsidTr="00357CA7">
        <w:tc>
          <w:tcPr>
            <w:tcW w:w="0" w:type="auto"/>
          </w:tcPr>
          <w:p w:rsidR="008973D5" w:rsidRDefault="008973D5" w:rsidP="00357CA7">
            <w:pPr>
              <w:pStyle w:val="Compact"/>
            </w:pPr>
            <w:r>
              <w:t>WDC/Community Leaders</w:t>
            </w:r>
          </w:p>
        </w:tc>
        <w:tc>
          <w:tcPr>
            <w:tcW w:w="0" w:type="auto"/>
          </w:tcPr>
          <w:p w:rsidR="008973D5" w:rsidRDefault="008973D5" w:rsidP="00357CA7">
            <w:pPr>
              <w:pStyle w:val="Compact"/>
            </w:pPr>
            <w:r>
              <w:t>27 (9.1)</w:t>
            </w:r>
          </w:p>
        </w:tc>
      </w:tr>
      <w:tr w:rsidR="008973D5" w:rsidTr="00357CA7">
        <w:tc>
          <w:tcPr>
            <w:tcW w:w="0" w:type="auto"/>
          </w:tcPr>
          <w:p w:rsidR="008973D5" w:rsidRDefault="008973D5" w:rsidP="00357CA7">
            <w:pPr>
              <w:pStyle w:val="Compact"/>
            </w:pPr>
            <w:r>
              <w:t>Community members</w:t>
            </w:r>
          </w:p>
        </w:tc>
        <w:tc>
          <w:tcPr>
            <w:tcW w:w="0" w:type="auto"/>
          </w:tcPr>
          <w:p w:rsidR="008973D5" w:rsidRDefault="008973D5" w:rsidP="00357CA7">
            <w:pPr>
              <w:pStyle w:val="Compact"/>
            </w:pPr>
            <w:r>
              <w:t>13 (4.4)</w:t>
            </w:r>
          </w:p>
        </w:tc>
      </w:tr>
      <w:tr w:rsidR="008973D5" w:rsidTr="00357CA7">
        <w:tc>
          <w:tcPr>
            <w:tcW w:w="0" w:type="auto"/>
          </w:tcPr>
          <w:p w:rsidR="008973D5" w:rsidRDefault="008973D5" w:rsidP="00357CA7">
            <w:pPr>
              <w:pStyle w:val="Compact"/>
            </w:pPr>
            <w:r>
              <w:t>Text messages</w:t>
            </w:r>
          </w:p>
        </w:tc>
        <w:tc>
          <w:tcPr>
            <w:tcW w:w="0" w:type="auto"/>
          </w:tcPr>
          <w:p w:rsidR="008973D5" w:rsidRDefault="008973D5" w:rsidP="00357CA7">
            <w:pPr>
              <w:pStyle w:val="Compact"/>
            </w:pPr>
            <w:r>
              <w:t>10 (3.4)</w:t>
            </w:r>
          </w:p>
        </w:tc>
      </w:tr>
      <w:tr w:rsidR="008973D5" w:rsidTr="00357CA7">
        <w:tc>
          <w:tcPr>
            <w:tcW w:w="0" w:type="auto"/>
          </w:tcPr>
          <w:p w:rsidR="008973D5" w:rsidRDefault="008973D5" w:rsidP="00357CA7">
            <w:pPr>
              <w:pStyle w:val="Compact"/>
            </w:pPr>
            <w:r>
              <w:t>Mosque/Church</w:t>
            </w:r>
          </w:p>
        </w:tc>
        <w:tc>
          <w:tcPr>
            <w:tcW w:w="0" w:type="auto"/>
          </w:tcPr>
          <w:p w:rsidR="008973D5" w:rsidRDefault="008973D5" w:rsidP="00357CA7">
            <w:pPr>
              <w:pStyle w:val="Compact"/>
            </w:pPr>
            <w:r>
              <w:t>8 (2.7)</w:t>
            </w:r>
          </w:p>
        </w:tc>
      </w:tr>
      <w:tr w:rsidR="008973D5" w:rsidTr="00357CA7">
        <w:tc>
          <w:tcPr>
            <w:tcW w:w="0" w:type="auto"/>
          </w:tcPr>
          <w:p w:rsidR="008973D5" w:rsidRDefault="008973D5" w:rsidP="00357CA7">
            <w:pPr>
              <w:pStyle w:val="Compact"/>
            </w:pPr>
            <w:r>
              <w:t>Not informed</w:t>
            </w:r>
          </w:p>
        </w:tc>
        <w:tc>
          <w:tcPr>
            <w:tcW w:w="0" w:type="auto"/>
          </w:tcPr>
          <w:p w:rsidR="008973D5" w:rsidRDefault="008973D5" w:rsidP="00357CA7">
            <w:pPr>
              <w:pStyle w:val="Compact"/>
            </w:pPr>
            <w:r>
              <w:t>39 (13.1)</w:t>
            </w:r>
          </w:p>
        </w:tc>
      </w:tr>
    </w:tbl>
    <w:p w:rsidR="008973D5" w:rsidRDefault="008973D5" w:rsidP="008973D5">
      <w:pPr>
        <w:pStyle w:val="BodyText"/>
      </w:pPr>
    </w:p>
    <w:p w:rsidR="008973D5" w:rsidRDefault="008973D5" w:rsidP="008973D5">
      <w:pPr>
        <w:pStyle w:val="BodyText"/>
      </w:pPr>
      <w:r w:rsidRPr="00550879">
        <w:rPr>
          <w:b/>
          <w:i/>
        </w:rPr>
        <w:t xml:space="preserve">Figure </w:t>
      </w:r>
      <w:r w:rsidR="00B2434B">
        <w:rPr>
          <w:b/>
          <w:i/>
        </w:rPr>
        <w:t>9</w:t>
      </w:r>
      <w:r>
        <w:rPr>
          <w:b/>
          <w:i/>
        </w:rPr>
        <w:t xml:space="preserve">: Were Pay-Outs According to </w:t>
      </w:r>
      <w:commentRangeStart w:id="18"/>
      <w:r>
        <w:rPr>
          <w:b/>
          <w:i/>
        </w:rPr>
        <w:t>Schedule</w:t>
      </w:r>
      <w:commentRangeEnd w:id="18"/>
      <w:r w:rsidR="00052615">
        <w:rPr>
          <w:rStyle w:val="CommentReference"/>
        </w:rPr>
        <w:commentReference w:id="18"/>
      </w:r>
      <w:r>
        <w:rPr>
          <w:b/>
          <w:i/>
        </w:rPr>
        <w:t>?</w:t>
      </w:r>
    </w:p>
    <w:p w:rsidR="000D75C6" w:rsidRDefault="000D75C6" w:rsidP="000D75C6">
      <w:pPr>
        <w:pStyle w:val="BodyText"/>
      </w:pPr>
      <w:r>
        <w:t>95% of respondents stated that the information about pay-out events was timely and 84.8% stated that the pay-out events held as scheduled.</w:t>
      </w:r>
    </w:p>
    <w:p w:rsidR="008973D5" w:rsidRDefault="008973D5" w:rsidP="008973D5">
      <w:pPr>
        <w:pStyle w:val="BodyText"/>
      </w:pPr>
      <w:r w:rsidRPr="00550879">
        <w:rPr>
          <w:b/>
          <w:i/>
        </w:rPr>
        <w:t xml:space="preserve">Figure </w:t>
      </w:r>
      <w:r w:rsidR="00B2434B">
        <w:rPr>
          <w:b/>
          <w:i/>
        </w:rPr>
        <w:t>10</w:t>
      </w:r>
      <w:r>
        <w:rPr>
          <w:b/>
          <w:i/>
        </w:rPr>
        <w:t xml:space="preserve">: Amount Paid to </w:t>
      </w:r>
      <w:commentRangeStart w:id="19"/>
      <w:r>
        <w:rPr>
          <w:b/>
          <w:i/>
        </w:rPr>
        <w:t>Beneficiaries</w:t>
      </w:r>
      <w:commentRangeEnd w:id="19"/>
      <w:r w:rsidR="00052615">
        <w:rPr>
          <w:rStyle w:val="CommentReference"/>
        </w:rPr>
        <w:commentReference w:id="19"/>
      </w:r>
    </w:p>
    <w:p w:rsidR="003F208C" w:rsidRDefault="000D75C6" w:rsidP="000D75C6">
      <w:pPr>
        <w:pStyle w:val="BodyText"/>
      </w:pPr>
      <w:r>
        <w:t xml:space="preserve">Only </w:t>
      </w:r>
      <w:r w:rsidR="003F208C">
        <w:t xml:space="preserve">39.8% </w:t>
      </w:r>
      <w:r>
        <w:t>of eligible beneficiaries received the full N5</w:t>
      </w:r>
      <w:proofErr w:type="gramStart"/>
      <w:r>
        <w:t>,000</w:t>
      </w:r>
      <w:proofErr w:type="gramEnd"/>
      <w:r>
        <w:t xml:space="preserve"> cash incentive while 28.1% received only N1,000 and others received either N2000, N3000 or N4000. </w:t>
      </w:r>
    </w:p>
    <w:p w:rsidR="008973D5" w:rsidRDefault="008973D5" w:rsidP="008973D5">
      <w:pPr>
        <w:pStyle w:val="BodyText"/>
      </w:pPr>
    </w:p>
    <w:p w:rsidR="008973D5" w:rsidRPr="0078448A" w:rsidRDefault="00B2434B" w:rsidP="008973D5">
      <w:pPr>
        <w:pStyle w:val="BodyText"/>
        <w:rPr>
          <w:b/>
          <w:i/>
        </w:rPr>
      </w:pPr>
      <w:r>
        <w:rPr>
          <w:b/>
          <w:i/>
        </w:rPr>
        <w:t>Figure 11</w:t>
      </w:r>
      <w:r w:rsidR="008973D5" w:rsidRPr="0078448A">
        <w:rPr>
          <w:b/>
          <w:i/>
        </w:rPr>
        <w:t xml:space="preserve">: Amount Paid Out Vs. Payments Made Per </w:t>
      </w:r>
      <w:commentRangeStart w:id="20"/>
      <w:r w:rsidR="008973D5" w:rsidRPr="0078448A">
        <w:rPr>
          <w:b/>
          <w:i/>
        </w:rPr>
        <w:t>Beneficiary</w:t>
      </w:r>
      <w:commentRangeEnd w:id="20"/>
      <w:r w:rsidR="00052615">
        <w:rPr>
          <w:rStyle w:val="CommentReference"/>
        </w:rPr>
        <w:commentReference w:id="20"/>
      </w:r>
    </w:p>
    <w:p w:rsidR="003F208C" w:rsidRDefault="003F208C" w:rsidP="008973D5">
      <w:pPr>
        <w:pStyle w:val="BodyText"/>
      </w:pPr>
      <w:r>
        <w:t xml:space="preserve">There was a statistically significant variation (p &lt; .001) among CCT Pilot States of the amount received by the beneficiaries; the highest proportion of those that collected N5,000 were from FCT (30.4%) followed by Ogun State while 38.4% of those that collected only N1,000.00, were from Niger State. </w:t>
      </w:r>
    </w:p>
    <w:p w:rsidR="003F208C" w:rsidRDefault="003F208C" w:rsidP="008973D5">
      <w:pPr>
        <w:pStyle w:val="BodyText"/>
        <w:rPr>
          <w:b/>
          <w:i/>
        </w:rPr>
      </w:pPr>
    </w:p>
    <w:p w:rsidR="008973D5" w:rsidRPr="0078448A" w:rsidRDefault="008973D5" w:rsidP="008973D5">
      <w:pPr>
        <w:pStyle w:val="BodyText"/>
        <w:rPr>
          <w:b/>
          <w:i/>
        </w:rPr>
      </w:pPr>
      <w:r w:rsidRPr="0078448A">
        <w:rPr>
          <w:b/>
          <w:i/>
        </w:rPr>
        <w:t>Figure 1</w:t>
      </w:r>
      <w:r w:rsidR="00B2434B">
        <w:rPr>
          <w:b/>
          <w:i/>
        </w:rPr>
        <w:t>2</w:t>
      </w:r>
      <w:r w:rsidRPr="0078448A">
        <w:rPr>
          <w:b/>
          <w:i/>
        </w:rPr>
        <w:t xml:space="preserve">: Amount </w:t>
      </w:r>
      <w:r>
        <w:rPr>
          <w:b/>
          <w:i/>
        </w:rPr>
        <w:t xml:space="preserve">Received Across the Pilot </w:t>
      </w:r>
      <w:commentRangeStart w:id="21"/>
      <w:r>
        <w:rPr>
          <w:b/>
          <w:i/>
        </w:rPr>
        <w:t>States</w:t>
      </w:r>
      <w:commentRangeEnd w:id="21"/>
      <w:r w:rsidR="00052615">
        <w:rPr>
          <w:rStyle w:val="CommentReference"/>
        </w:rPr>
        <w:commentReference w:id="21"/>
      </w:r>
    </w:p>
    <w:p w:rsidR="008973D5" w:rsidRDefault="008973D5" w:rsidP="008973D5">
      <w:pPr>
        <w:pStyle w:val="BodyText"/>
      </w:pPr>
    </w:p>
    <w:p w:rsidR="008973D5" w:rsidRPr="0078448A" w:rsidRDefault="008973D5" w:rsidP="008973D5">
      <w:pPr>
        <w:pStyle w:val="BodyText"/>
        <w:rPr>
          <w:b/>
          <w:i/>
        </w:rPr>
      </w:pPr>
      <w:r w:rsidRPr="0078448A">
        <w:rPr>
          <w:b/>
          <w:i/>
        </w:rPr>
        <w:t>Figure 1</w:t>
      </w:r>
      <w:r w:rsidR="00B2434B">
        <w:rPr>
          <w:b/>
          <w:i/>
        </w:rPr>
        <w:t>3</w:t>
      </w:r>
      <w:r w:rsidRPr="0078448A">
        <w:rPr>
          <w:b/>
          <w:i/>
        </w:rPr>
        <w:t xml:space="preserve">: </w:t>
      </w:r>
      <w:r>
        <w:rPr>
          <w:b/>
          <w:i/>
        </w:rPr>
        <w:t>Beneficiaries given reason for non-payment</w:t>
      </w:r>
    </w:p>
    <w:p w:rsidR="003F208C" w:rsidRDefault="003F208C" w:rsidP="003F208C">
      <w:pPr>
        <w:pStyle w:val="BodyText"/>
      </w:pPr>
      <w:r>
        <w:t xml:space="preserve">Out of the CCT enrollees that were not given any money, about an equal number were or were not given any reasons why they were not paid (50.7% and 49.3%, respectively). When analyzed on a State-by-State basis, 90%, 75% and 53% of the respondents in Bauchi, FCT and Kaduna Pilot States, respectively, said they were not given any reasons for non-payment. In contrast, beneficiaries from </w:t>
      </w:r>
      <w:proofErr w:type="spellStart"/>
      <w:r>
        <w:t>Zamfara</w:t>
      </w:r>
      <w:proofErr w:type="spellEnd"/>
      <w:r>
        <w:t xml:space="preserve">, </w:t>
      </w:r>
      <w:proofErr w:type="spellStart"/>
      <w:r>
        <w:t>Ebonyi</w:t>
      </w:r>
      <w:proofErr w:type="spellEnd"/>
      <w:r>
        <w:t xml:space="preserve"> and </w:t>
      </w:r>
      <w:proofErr w:type="spellStart"/>
      <w:r>
        <w:t>Anambra</w:t>
      </w:r>
      <w:proofErr w:type="spellEnd"/>
      <w:r>
        <w:t xml:space="preserve"> Pilot States scored CCT high (83.3%, 80% and 60%) in conveying to them any reason for their non-payment (Fig. 12)</w:t>
      </w:r>
    </w:p>
    <w:p w:rsidR="008973D5" w:rsidRDefault="008973D5" w:rsidP="008973D5">
      <w:pPr>
        <w:pStyle w:val="BodyText"/>
        <w:rPr>
          <w:b/>
          <w:i/>
        </w:rPr>
      </w:pPr>
      <w:r w:rsidRPr="0078448A">
        <w:rPr>
          <w:b/>
          <w:i/>
        </w:rPr>
        <w:t>Figure 1</w:t>
      </w:r>
      <w:r w:rsidR="00B2434B">
        <w:rPr>
          <w:b/>
          <w:i/>
        </w:rPr>
        <w:t>4</w:t>
      </w:r>
      <w:r w:rsidRPr="0078448A">
        <w:rPr>
          <w:b/>
          <w:i/>
        </w:rPr>
        <w:t>:</w:t>
      </w:r>
      <w:r>
        <w:rPr>
          <w:b/>
          <w:i/>
        </w:rPr>
        <w:t xml:space="preserve"> Description of Pay-Out Events in Pilot </w:t>
      </w:r>
      <w:commentRangeStart w:id="22"/>
      <w:r>
        <w:rPr>
          <w:b/>
          <w:i/>
        </w:rPr>
        <w:t>States</w:t>
      </w:r>
      <w:commentRangeEnd w:id="22"/>
      <w:r w:rsidR="00052615">
        <w:rPr>
          <w:rStyle w:val="CommentReference"/>
        </w:rPr>
        <w:commentReference w:id="22"/>
      </w:r>
      <w:r w:rsidRPr="0078448A">
        <w:rPr>
          <w:b/>
          <w:i/>
        </w:rPr>
        <w:t xml:space="preserve"> </w:t>
      </w:r>
    </w:p>
    <w:p w:rsidR="003F208C" w:rsidRDefault="003F208C" w:rsidP="003F208C">
      <w:pPr>
        <w:pStyle w:val="BodyText"/>
      </w:pPr>
      <w:r>
        <w:lastRenderedPageBreak/>
        <w:t>Pay-out events were largely perceived by the beneficiaries to be orderly and well-</w:t>
      </w:r>
      <w:proofErr w:type="spellStart"/>
      <w:r>
        <w:t>organised</w:t>
      </w:r>
      <w:proofErr w:type="spellEnd"/>
      <w:r>
        <w:t xml:space="preserve"> (65.2%, p&lt;.001); most complaints about the way Pay-Out events were organized came from </w:t>
      </w:r>
      <w:proofErr w:type="spellStart"/>
      <w:r>
        <w:t>Bauchi</w:t>
      </w:r>
      <w:proofErr w:type="spellEnd"/>
      <w:r>
        <w:t xml:space="preserve">, </w:t>
      </w:r>
      <w:proofErr w:type="spellStart"/>
      <w:r>
        <w:t>Ebonyi</w:t>
      </w:r>
      <w:proofErr w:type="spellEnd"/>
      <w:r>
        <w:t>, and FCT, but statistical significance was not tested because some of the assumptions for the sample could not be met.</w:t>
      </w:r>
    </w:p>
    <w:p w:rsidR="00FE2EC2" w:rsidRDefault="00FE2EC2" w:rsidP="003F208C">
      <w:pPr>
        <w:pStyle w:val="BodyText"/>
      </w:pPr>
    </w:p>
    <w:p w:rsidR="00FE2EC2" w:rsidRPr="00434359" w:rsidRDefault="00FE2EC2" w:rsidP="00FE2EC2">
      <w:pPr>
        <w:pStyle w:val="Compact"/>
        <w:spacing w:line="360" w:lineRule="auto"/>
        <w:rPr>
          <w:b/>
          <w:i/>
        </w:rPr>
      </w:pPr>
      <w:r w:rsidRPr="00434359">
        <w:rPr>
          <w:b/>
          <w:i/>
        </w:rPr>
        <w:t>Figure 1</w:t>
      </w:r>
      <w:r w:rsidR="00B2434B">
        <w:rPr>
          <w:b/>
          <w:i/>
        </w:rPr>
        <w:t>5</w:t>
      </w:r>
      <w:r w:rsidRPr="00434359">
        <w:rPr>
          <w:b/>
          <w:i/>
        </w:rPr>
        <w:t xml:space="preserve">: Payment for PHC </w:t>
      </w:r>
      <w:commentRangeStart w:id="23"/>
      <w:r w:rsidRPr="00434359">
        <w:rPr>
          <w:b/>
          <w:i/>
        </w:rPr>
        <w:t>Services</w:t>
      </w:r>
      <w:commentRangeEnd w:id="23"/>
      <w:r w:rsidR="00052615">
        <w:rPr>
          <w:rStyle w:val="CommentReference"/>
        </w:rPr>
        <w:commentReference w:id="23"/>
      </w:r>
    </w:p>
    <w:p w:rsidR="00434359" w:rsidRDefault="00434359" w:rsidP="00434359">
      <w:pPr>
        <w:pStyle w:val="Compact"/>
        <w:spacing w:line="360" w:lineRule="auto"/>
      </w:pPr>
      <w:r>
        <w:t xml:space="preserve">Precisely 69.9% of respondents reported that they did not pay for routine PHC services, while another 30.1% admitted paying for PHC services. The services that was mostly paid for was routine ANC medicines (61.1% of respondents – Fig. 14). </w:t>
      </w:r>
    </w:p>
    <w:p w:rsidR="00434359" w:rsidRDefault="00434359" w:rsidP="00434359">
      <w:pPr>
        <w:pStyle w:val="Compact"/>
        <w:spacing w:line="360" w:lineRule="auto"/>
        <w:rPr>
          <w:b/>
          <w:i/>
        </w:rPr>
      </w:pPr>
    </w:p>
    <w:p w:rsidR="00434359" w:rsidRPr="00434359" w:rsidRDefault="00B2434B" w:rsidP="00434359">
      <w:pPr>
        <w:pStyle w:val="Compact"/>
        <w:spacing w:line="360" w:lineRule="auto"/>
        <w:rPr>
          <w:b/>
          <w:i/>
        </w:rPr>
      </w:pPr>
      <w:r>
        <w:rPr>
          <w:b/>
          <w:i/>
        </w:rPr>
        <w:t>Figure 16</w:t>
      </w:r>
      <w:r w:rsidR="00434359" w:rsidRPr="00434359">
        <w:rPr>
          <w:b/>
          <w:i/>
        </w:rPr>
        <w:t xml:space="preserve">: Payment for PHC Services by </w:t>
      </w:r>
      <w:commentRangeStart w:id="24"/>
      <w:r w:rsidR="00434359" w:rsidRPr="00434359">
        <w:rPr>
          <w:b/>
          <w:i/>
        </w:rPr>
        <w:t>State</w:t>
      </w:r>
      <w:commentRangeEnd w:id="24"/>
      <w:r w:rsidR="00052615">
        <w:rPr>
          <w:rStyle w:val="CommentReference"/>
        </w:rPr>
        <w:commentReference w:id="24"/>
      </w:r>
    </w:p>
    <w:p w:rsidR="00434359" w:rsidRDefault="00434359" w:rsidP="00434359">
      <w:pPr>
        <w:pStyle w:val="Compact"/>
        <w:spacing w:line="360" w:lineRule="auto"/>
      </w:pPr>
      <w:r>
        <w:t xml:space="preserve">There was a statistically significant relationship between pilot states and payment for services (p&lt;.001) (Fig.15) with highest occurrences in Anambra (32.6%), Niger (28.3%), </w:t>
      </w:r>
      <w:proofErr w:type="spellStart"/>
      <w:r>
        <w:t>Ebonyi</w:t>
      </w:r>
      <w:proofErr w:type="spellEnd"/>
      <w:r>
        <w:t xml:space="preserve"> (12%) and FCT (10.9%).</w:t>
      </w:r>
    </w:p>
    <w:p w:rsidR="00D50225" w:rsidRDefault="00D50225" w:rsidP="008973D5">
      <w:pPr>
        <w:pStyle w:val="BodyText"/>
        <w:rPr>
          <w:b/>
        </w:rPr>
      </w:pPr>
    </w:p>
    <w:p w:rsidR="008973D5" w:rsidRPr="0007491B" w:rsidRDefault="008973D5" w:rsidP="008973D5">
      <w:pPr>
        <w:pStyle w:val="BodyText"/>
        <w:rPr>
          <w:b/>
        </w:rPr>
      </w:pPr>
      <w:r w:rsidRPr="0007491B">
        <w:rPr>
          <w:b/>
        </w:rPr>
        <w:t>Table 4: Strength, Weaknesses, Opportunities, Threat (SWOT) Analysis</w:t>
      </w:r>
    </w:p>
    <w:tbl>
      <w:tblPr>
        <w:tblW w:w="5246" w:type="pct"/>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5715"/>
        <w:gridCol w:w="4332"/>
      </w:tblGrid>
      <w:tr w:rsidR="008973D5" w:rsidTr="006C55E8">
        <w:trPr>
          <w:trHeight w:val="362"/>
        </w:trPr>
        <w:tc>
          <w:tcPr>
            <w:tcW w:w="2844" w:type="pct"/>
            <w:vAlign w:val="bottom"/>
          </w:tcPr>
          <w:p w:rsidR="008973D5" w:rsidRPr="0007491B" w:rsidRDefault="008973D5" w:rsidP="00357CA7">
            <w:pPr>
              <w:pStyle w:val="Compact"/>
              <w:rPr>
                <w:b/>
              </w:rPr>
            </w:pPr>
            <w:r w:rsidRPr="0007491B">
              <w:rPr>
                <w:b/>
              </w:rPr>
              <w:t>STRENGTHS</w:t>
            </w:r>
          </w:p>
        </w:tc>
        <w:tc>
          <w:tcPr>
            <w:tcW w:w="2156" w:type="pct"/>
            <w:vAlign w:val="bottom"/>
          </w:tcPr>
          <w:p w:rsidR="008973D5" w:rsidRPr="0007491B" w:rsidRDefault="008973D5" w:rsidP="00357CA7">
            <w:pPr>
              <w:pStyle w:val="Compact"/>
              <w:rPr>
                <w:b/>
              </w:rPr>
            </w:pPr>
            <w:r w:rsidRPr="0007491B">
              <w:rPr>
                <w:b/>
              </w:rPr>
              <w:t>WEAKNESSES</w:t>
            </w:r>
          </w:p>
        </w:tc>
      </w:tr>
      <w:tr w:rsidR="008973D5" w:rsidTr="006C55E8">
        <w:trPr>
          <w:trHeight w:val="1539"/>
        </w:trPr>
        <w:tc>
          <w:tcPr>
            <w:tcW w:w="2844" w:type="pct"/>
          </w:tcPr>
          <w:p w:rsidR="008973D5" w:rsidRDefault="008973D5" w:rsidP="009C2D18">
            <w:pPr>
              <w:pStyle w:val="Compact"/>
            </w:pPr>
            <w:r w:rsidRPr="0007491B">
              <w:rPr>
                <w:b/>
              </w:rPr>
              <w:t>Improved Health Facility attendance</w:t>
            </w:r>
            <w:r>
              <w:t>: The</w:t>
            </w:r>
            <w:r w:rsidR="00582064">
              <w:t xml:space="preserve"> 93% beneficiaries’ enrollment within first 2 trimesters indicates that the</w:t>
            </w:r>
            <w:r>
              <w:t xml:space="preserve"> CCT </w:t>
            </w:r>
            <w:proofErr w:type="spellStart"/>
            <w:r>
              <w:t>programme</w:t>
            </w:r>
            <w:proofErr w:type="spellEnd"/>
            <w:r>
              <w:t xml:space="preserve"> encouraged women to register and </w:t>
            </w:r>
            <w:r w:rsidR="00372C2F">
              <w:t>attend</w:t>
            </w:r>
            <w:r>
              <w:t xml:space="preserve"> antenatal visit (ANC) and Skilled Birth delivery.</w:t>
            </w:r>
            <w:r w:rsidR="00372C2F">
              <w:t xml:space="preserve"> Early results from the CCT </w:t>
            </w:r>
            <w:proofErr w:type="spellStart"/>
            <w:r w:rsidR="00372C2F">
              <w:t>Programme</w:t>
            </w:r>
            <w:proofErr w:type="spellEnd"/>
            <w:r w:rsidR="00372C2F">
              <w:t xml:space="preserve"> pilot phase was highly positive in terms of before-and-after comparisons of facility attendance in the selected clusters, and feedback from facility staff and women accessing the </w:t>
            </w:r>
            <w:proofErr w:type="spellStart"/>
            <w:r w:rsidR="00372C2F">
              <w:t>programme</w:t>
            </w:r>
            <w:proofErr w:type="spellEnd"/>
            <w:r w:rsidR="00372C2F">
              <w:t xml:space="preserve"> [5].</w:t>
            </w:r>
          </w:p>
        </w:tc>
        <w:tc>
          <w:tcPr>
            <w:tcW w:w="2156" w:type="pct"/>
          </w:tcPr>
          <w:p w:rsidR="008973D5" w:rsidRDefault="008973D5" w:rsidP="00D42111">
            <w:pPr>
              <w:pStyle w:val="Compact"/>
            </w:pPr>
            <w:r w:rsidRPr="0007491B">
              <w:rPr>
                <w:b/>
              </w:rPr>
              <w:t>Irregular and Inconsistent pay out</w:t>
            </w:r>
            <w:r w:rsidR="00B5749E">
              <w:rPr>
                <w:b/>
              </w:rPr>
              <w:t xml:space="preserve"> event</w:t>
            </w:r>
            <w:r w:rsidRPr="0007491B">
              <w:rPr>
                <w:b/>
              </w:rPr>
              <w:t>s</w:t>
            </w:r>
            <w:r>
              <w:t xml:space="preserve">: The pay-outs were highly inconsistent and irregular </w:t>
            </w:r>
            <w:r w:rsidR="00D42111">
              <w:t xml:space="preserve">following delayed release of funds from federal government. This </w:t>
            </w:r>
            <w:r>
              <w:t>result</w:t>
            </w:r>
            <w:r w:rsidR="00D42111">
              <w:t>ed in large crowds during pay-out</w:t>
            </w:r>
            <w:r>
              <w:t xml:space="preserve"> events </w:t>
            </w:r>
            <w:r w:rsidR="00B5749E">
              <w:t>and long waiting times for beneficiaries</w:t>
            </w:r>
            <w:r>
              <w:t>.</w:t>
            </w:r>
          </w:p>
        </w:tc>
      </w:tr>
      <w:tr w:rsidR="008973D5" w:rsidTr="006C55E8">
        <w:trPr>
          <w:trHeight w:val="2240"/>
        </w:trPr>
        <w:tc>
          <w:tcPr>
            <w:tcW w:w="2844" w:type="pct"/>
          </w:tcPr>
          <w:p w:rsidR="008973D5" w:rsidRDefault="00FE2EC2" w:rsidP="00357CA7">
            <w:pPr>
              <w:pStyle w:val="Compact"/>
            </w:pPr>
            <w:r w:rsidRPr="00D42111">
              <w:rPr>
                <w:b/>
              </w:rPr>
              <w:t>Supply-side intervention</w:t>
            </w:r>
            <w:r w:rsidR="008973D5" w:rsidRPr="00D42111">
              <w:rPr>
                <w:b/>
              </w:rPr>
              <w:t>:</w:t>
            </w:r>
            <w:r w:rsidR="008973D5">
              <w:t xml:space="preserve"> The </w:t>
            </w:r>
            <w:r>
              <w:t xml:space="preserve">combination of the </w:t>
            </w:r>
            <w:r w:rsidR="008973D5">
              <w:t xml:space="preserve">CCT </w:t>
            </w:r>
            <w:proofErr w:type="spellStart"/>
            <w:r w:rsidR="008973D5">
              <w:t>programme</w:t>
            </w:r>
            <w:proofErr w:type="spellEnd"/>
            <w:r w:rsidR="008973D5">
              <w:t xml:space="preserve"> </w:t>
            </w:r>
            <w:r>
              <w:t xml:space="preserve">with supply-side interventions </w:t>
            </w:r>
            <w:r w:rsidR="00D42111">
              <w:t xml:space="preserve">where 69.9% of respondents </w:t>
            </w:r>
            <w:r w:rsidR="009C2D18">
              <w:t>reported</w:t>
            </w:r>
            <w:r w:rsidR="00D42111">
              <w:t xml:space="preserve"> not pay</w:t>
            </w:r>
            <w:r w:rsidR="009C2D18">
              <w:t>ing</w:t>
            </w:r>
            <w:r w:rsidR="00D42111">
              <w:t xml:space="preserve"> for PHC services </w:t>
            </w:r>
            <w:r w:rsidR="008973D5">
              <w:t xml:space="preserve">motivated more women to seek health services and </w:t>
            </w:r>
            <w:r w:rsidR="009C2D18">
              <w:t xml:space="preserve">utilize </w:t>
            </w:r>
            <w:r w:rsidR="008973D5">
              <w:t>other free medical services provided at SURE-P supported PHCs.</w:t>
            </w:r>
          </w:p>
          <w:p w:rsidR="008973D5" w:rsidRPr="00283A03" w:rsidRDefault="008973D5" w:rsidP="00357CA7"/>
        </w:tc>
        <w:tc>
          <w:tcPr>
            <w:tcW w:w="2156" w:type="pct"/>
          </w:tcPr>
          <w:p w:rsidR="008973D5" w:rsidRPr="00D237E1" w:rsidRDefault="008973D5" w:rsidP="009C2D18">
            <w:pPr>
              <w:pStyle w:val="Compact"/>
            </w:pPr>
            <w:r w:rsidRPr="0007491B">
              <w:rPr>
                <w:b/>
              </w:rPr>
              <w:t>Non-Payment of Cash Incentives</w:t>
            </w:r>
            <w:r w:rsidR="00D50225">
              <w:rPr>
                <w:b/>
              </w:rPr>
              <w:t xml:space="preserve"> </w:t>
            </w:r>
            <w:r w:rsidR="00D50225" w:rsidRPr="00D50225">
              <w:rPr>
                <w:b/>
              </w:rPr>
              <w:t xml:space="preserve">in </w:t>
            </w:r>
            <w:r w:rsidR="00DA28AA">
              <w:rPr>
                <w:b/>
              </w:rPr>
              <w:t>two installment</w:t>
            </w:r>
            <w:r w:rsidR="00D50225" w:rsidRPr="00D50225">
              <w:rPr>
                <w:b/>
              </w:rPr>
              <w:t>s</w:t>
            </w:r>
            <w:r w:rsidRPr="00D50225">
              <w:rPr>
                <w:b/>
              </w:rPr>
              <w:t>:</w:t>
            </w:r>
            <w:r>
              <w:t xml:space="preserve"> Some </w:t>
            </w:r>
            <w:r w:rsidR="00D50225">
              <w:t xml:space="preserve">respondents </w:t>
            </w:r>
            <w:r>
              <w:t xml:space="preserve">reported </w:t>
            </w:r>
            <w:r w:rsidR="00D237E1">
              <w:t xml:space="preserve">that they were </w:t>
            </w:r>
            <w:r>
              <w:t xml:space="preserve">not paid their </w:t>
            </w:r>
            <w:r w:rsidR="00D50225">
              <w:t xml:space="preserve">full </w:t>
            </w:r>
            <w:r w:rsidR="009C2D18">
              <w:t>entitlement. O</w:t>
            </w:r>
            <w:r w:rsidR="00D50225">
              <w:t>nly 39.8% of eligible beneficiaries received the full N5</w:t>
            </w:r>
            <w:proofErr w:type="gramStart"/>
            <w:r w:rsidR="00D50225">
              <w:t>,000</w:t>
            </w:r>
            <w:proofErr w:type="gramEnd"/>
            <w:r w:rsidR="00D50225">
              <w:t>. Many</w:t>
            </w:r>
            <w:r>
              <w:t xml:space="preserve"> others who</w:t>
            </w:r>
            <w:r w:rsidR="00D237E1">
              <w:t xml:space="preserve"> </w:t>
            </w:r>
            <w:r>
              <w:t>received their first installment were yet to receive the second installment.</w:t>
            </w:r>
          </w:p>
        </w:tc>
      </w:tr>
      <w:tr w:rsidR="00FC56D3" w:rsidTr="006C55E8">
        <w:trPr>
          <w:trHeight w:val="1502"/>
        </w:trPr>
        <w:tc>
          <w:tcPr>
            <w:tcW w:w="2844" w:type="pct"/>
          </w:tcPr>
          <w:p w:rsidR="00FC56D3" w:rsidRDefault="004B3E97" w:rsidP="00C90B36">
            <w:pPr>
              <w:pStyle w:val="Compact"/>
              <w:rPr>
                <w:b/>
              </w:rPr>
            </w:pPr>
            <w:r>
              <w:rPr>
                <w:b/>
              </w:rPr>
              <w:lastRenderedPageBreak/>
              <w:t xml:space="preserve">Robust design of the CCT </w:t>
            </w:r>
            <w:proofErr w:type="spellStart"/>
            <w:r>
              <w:rPr>
                <w:b/>
              </w:rPr>
              <w:t>programme</w:t>
            </w:r>
            <w:proofErr w:type="spellEnd"/>
            <w:r w:rsidRPr="00D42111">
              <w:rPr>
                <w:b/>
              </w:rPr>
              <w:t>:</w:t>
            </w:r>
            <w:r>
              <w:rPr>
                <w:b/>
              </w:rPr>
              <w:t xml:space="preserve"> </w:t>
            </w:r>
            <w:r w:rsidRPr="004B3E97">
              <w:t>The desk review showed that the CCT was designed with novel approaches drawn from</w:t>
            </w:r>
            <w:r>
              <w:t xml:space="preserve"> similar schemes around the world. These include </w:t>
            </w:r>
            <w:r w:rsidR="00C90B36">
              <w:t>adequately co</w:t>
            </w:r>
            <w:r w:rsidR="009C2D18">
              <w:t xml:space="preserve">nceptualized </w:t>
            </w:r>
            <w:r w:rsidR="00C90B36">
              <w:t>strategic plan</w:t>
            </w:r>
            <w:r w:rsidR="009C2D18">
              <w:t xml:space="preserve"> and implementation manual</w:t>
            </w:r>
            <w:r w:rsidR="00C90B36">
              <w:t>,</w:t>
            </w:r>
            <w:r>
              <w:t xml:space="preserve"> clear co-responsibilities</w:t>
            </w:r>
            <w:r w:rsidR="00EC0B9C">
              <w:t xml:space="preserve"> for eligibility</w:t>
            </w:r>
            <w:r>
              <w:t>, two installment payment plans to facilitate prompt payments</w:t>
            </w:r>
            <w:r w:rsidR="00EC0B9C">
              <w:t xml:space="preserve">, </w:t>
            </w:r>
            <w:r w:rsidR="009C2D18">
              <w:t>etc.</w:t>
            </w:r>
          </w:p>
        </w:tc>
        <w:tc>
          <w:tcPr>
            <w:tcW w:w="2156" w:type="pct"/>
          </w:tcPr>
          <w:p w:rsidR="00FC56D3" w:rsidRPr="0007491B" w:rsidRDefault="00FC56D3" w:rsidP="00C77914">
            <w:pPr>
              <w:pStyle w:val="Compact"/>
              <w:rPr>
                <w:b/>
              </w:rPr>
            </w:pPr>
            <w:r w:rsidRPr="00CB1FCD">
              <w:rPr>
                <w:b/>
              </w:rPr>
              <w:t>Referral to General Hospital</w:t>
            </w:r>
            <w:r>
              <w:t xml:space="preserve">: </w:t>
            </w:r>
            <w:r w:rsidR="00C77914">
              <w:t>B</w:t>
            </w:r>
            <w:r>
              <w:t xml:space="preserve">eneficiaries </w:t>
            </w:r>
            <w:r w:rsidR="00C77914">
              <w:t>with</w:t>
            </w:r>
            <w:r>
              <w:t xml:space="preserve"> complications </w:t>
            </w:r>
            <w:r w:rsidR="00C77914">
              <w:t>were unable to access the services of g</w:t>
            </w:r>
            <w:r>
              <w:t xml:space="preserve">eneral hospitals </w:t>
            </w:r>
            <w:r w:rsidR="00C77914">
              <w:t>at no cost,</w:t>
            </w:r>
            <w:r>
              <w:t xml:space="preserve"> owing to programmatic challenges.</w:t>
            </w:r>
            <w:r w:rsidR="00422C72">
              <w:t xml:space="preserve"> The referral loop was problematic and deprived beneficiaries from utilizing the service</w:t>
            </w:r>
            <w:r w:rsidR="0015605F">
              <w:t>.</w:t>
            </w:r>
            <w:r w:rsidR="00422C72">
              <w:t xml:space="preserve"> </w:t>
            </w:r>
          </w:p>
        </w:tc>
      </w:tr>
      <w:tr w:rsidR="008973D5" w:rsidTr="006C55E8">
        <w:trPr>
          <w:trHeight w:val="1841"/>
        </w:trPr>
        <w:tc>
          <w:tcPr>
            <w:tcW w:w="2844" w:type="pct"/>
          </w:tcPr>
          <w:p w:rsidR="008973D5" w:rsidRDefault="008973D5" w:rsidP="00C90B36">
            <w:pPr>
              <w:pStyle w:val="BodyText"/>
            </w:pPr>
            <w:r w:rsidRPr="0007491B">
              <w:rPr>
                <w:b/>
              </w:rPr>
              <w:t>Beneficiary retention</w:t>
            </w:r>
            <w:r>
              <w:t xml:space="preserve">: The CCT </w:t>
            </w:r>
            <w:proofErr w:type="spellStart"/>
            <w:r>
              <w:t>Programme</w:t>
            </w:r>
            <w:proofErr w:type="spellEnd"/>
            <w:r>
              <w:t xml:space="preserve"> contributed immensely in sustaining beneficiary retention throughout the continuum of care as </w:t>
            </w:r>
            <w:r w:rsidR="00C90B36">
              <w:t xml:space="preserve">about 88.7% of respondents followed the </w:t>
            </w:r>
            <w:proofErr w:type="spellStart"/>
            <w:r w:rsidR="00C90B36">
              <w:t>programme</w:t>
            </w:r>
            <w:proofErr w:type="spellEnd"/>
            <w:r w:rsidR="00C90B36">
              <w:t xml:space="preserve"> from enrolment to pay-out and fulfilled</w:t>
            </w:r>
            <w:r>
              <w:t xml:space="preserve"> </w:t>
            </w:r>
            <w:r w:rsidR="00C90B36">
              <w:t>their</w:t>
            </w:r>
            <w:r>
              <w:t xml:space="preserve"> </w:t>
            </w:r>
            <w:r w:rsidR="00C90B36">
              <w:t>four</w:t>
            </w:r>
            <w:r>
              <w:t xml:space="preserve"> co-responsibilities.</w:t>
            </w:r>
          </w:p>
        </w:tc>
        <w:tc>
          <w:tcPr>
            <w:tcW w:w="2156" w:type="pct"/>
          </w:tcPr>
          <w:p w:rsidR="008973D5" w:rsidRDefault="008973D5" w:rsidP="00357CA7">
            <w:pPr>
              <w:pStyle w:val="Compact"/>
            </w:pPr>
            <w:r w:rsidRPr="0007491B">
              <w:rPr>
                <w:b/>
              </w:rPr>
              <w:t>State Steering Committees (SSC)</w:t>
            </w:r>
            <w:r>
              <w:t xml:space="preserve">: The </w:t>
            </w:r>
            <w:r w:rsidR="00AE3292">
              <w:t xml:space="preserve">desk review showed that the </w:t>
            </w:r>
            <w:r>
              <w:t>SSC meetings were</w:t>
            </w:r>
            <w:r w:rsidR="00AE3292">
              <w:t xml:space="preserve"> irregular. However,</w:t>
            </w:r>
            <w:r>
              <w:t xml:space="preserve"> as a result of unavailability of </w:t>
            </w:r>
            <w:proofErr w:type="spellStart"/>
            <w:r>
              <w:t>imprest</w:t>
            </w:r>
            <w:proofErr w:type="spellEnd"/>
            <w:r w:rsidR="00D237E1">
              <w:t xml:space="preserve"> account</w:t>
            </w:r>
            <w:r>
              <w:t xml:space="preserve"> to fund such meetings</w:t>
            </w:r>
            <w:r w:rsidR="00AE3292">
              <w:t>, the SSC may not be sustainable</w:t>
            </w:r>
            <w:r>
              <w:t>.</w:t>
            </w:r>
          </w:p>
          <w:p w:rsidR="008973D5" w:rsidRPr="00283A03" w:rsidRDefault="008973D5" w:rsidP="00357CA7">
            <w:pPr>
              <w:tabs>
                <w:tab w:val="left" w:pos="2085"/>
              </w:tabs>
              <w:ind w:firstLine="720"/>
            </w:pPr>
            <w:r>
              <w:tab/>
            </w:r>
          </w:p>
        </w:tc>
      </w:tr>
      <w:tr w:rsidR="008973D5" w:rsidTr="006C55E8">
        <w:trPr>
          <w:trHeight w:val="1539"/>
        </w:trPr>
        <w:tc>
          <w:tcPr>
            <w:tcW w:w="2844" w:type="pct"/>
          </w:tcPr>
          <w:p w:rsidR="00276FC7" w:rsidRDefault="009E26BA" w:rsidP="000E2C56">
            <w:pPr>
              <w:pStyle w:val="BodyText"/>
            </w:pPr>
            <w:r>
              <w:rPr>
                <w:b/>
              </w:rPr>
              <w:t>Staffing</w:t>
            </w:r>
            <w:r w:rsidR="00276FC7">
              <w:rPr>
                <w:b/>
              </w:rPr>
              <w:t xml:space="preserve"> and Capacity Building</w:t>
            </w:r>
            <w:r w:rsidR="008973D5">
              <w:t xml:space="preserve">: The CCT </w:t>
            </w:r>
            <w:proofErr w:type="spellStart"/>
            <w:r w:rsidR="008973D5">
              <w:t>Programme</w:t>
            </w:r>
            <w:proofErr w:type="spellEnd"/>
            <w:r w:rsidR="008973D5">
              <w:t xml:space="preserve"> </w:t>
            </w:r>
            <w:r>
              <w:t xml:space="preserve">was adequately staffed at all levels </w:t>
            </w:r>
            <w:r w:rsidR="00207E63">
              <w:t xml:space="preserve">from the PIU to field offices </w:t>
            </w:r>
            <w:r>
              <w:t xml:space="preserve">and </w:t>
            </w:r>
            <w:r w:rsidR="00276FC7">
              <w:t>all stakeholders were trained prior to the implementation. T</w:t>
            </w:r>
            <w:r>
              <w:t>his facilitated the smooth roll</w:t>
            </w:r>
            <w:r w:rsidR="00207E63">
              <w:t xml:space="preserve">-out of the </w:t>
            </w:r>
            <w:proofErr w:type="spellStart"/>
            <w:r w:rsidR="00207E63">
              <w:t>pr</w:t>
            </w:r>
            <w:r w:rsidR="00276FC7">
              <w:t>ogramme</w:t>
            </w:r>
            <w:proofErr w:type="spellEnd"/>
            <w:r w:rsidR="00276FC7">
              <w:t xml:space="preserve"> and </w:t>
            </w:r>
            <w:r w:rsidR="00207E63">
              <w:t xml:space="preserve">contributed to the 86% respondents who had no complaints about the CCT </w:t>
            </w:r>
            <w:proofErr w:type="spellStart"/>
            <w:r w:rsidR="00207E63">
              <w:t>programme</w:t>
            </w:r>
            <w:proofErr w:type="spellEnd"/>
            <w:r w:rsidR="00207E63">
              <w:t xml:space="preserve"> at enrolment and 88.7% who found the operational process to be easy – from enrolment to pay-out.</w:t>
            </w:r>
          </w:p>
        </w:tc>
        <w:tc>
          <w:tcPr>
            <w:tcW w:w="2156" w:type="pct"/>
          </w:tcPr>
          <w:p w:rsidR="008973D5" w:rsidRDefault="008973D5" w:rsidP="0015605F">
            <w:pPr>
              <w:pStyle w:val="Compact"/>
            </w:pPr>
            <w:r w:rsidRPr="0007491B">
              <w:rPr>
                <w:b/>
              </w:rPr>
              <w:t>Security</w:t>
            </w:r>
            <w:r>
              <w:t xml:space="preserve">: </w:t>
            </w:r>
            <w:r w:rsidR="005B6C5C">
              <w:t>The desk review indicated that s</w:t>
            </w:r>
            <w:r>
              <w:t xml:space="preserve">ecurity </w:t>
            </w:r>
            <w:r w:rsidR="00D237E1">
              <w:t>during</w:t>
            </w:r>
            <w:r>
              <w:t xml:space="preserve"> CCT pay-out events </w:t>
            </w:r>
            <w:r w:rsidR="00D237E1">
              <w:t xml:space="preserve">was inadequate </w:t>
            </w:r>
            <w:r>
              <w:t xml:space="preserve">and this </w:t>
            </w:r>
            <w:r w:rsidR="00D237E1">
              <w:t xml:space="preserve">raised a lot of security concerns for </w:t>
            </w:r>
            <w:r>
              <w:t>the cash</w:t>
            </w:r>
            <w:r w:rsidR="00D237E1">
              <w:t xml:space="preserve"> </w:t>
            </w:r>
            <w:r w:rsidR="005B6C5C">
              <w:t xml:space="preserve">being disbursed </w:t>
            </w:r>
            <w:r w:rsidR="00D237E1">
              <w:t xml:space="preserve">at the venue by officers </w:t>
            </w:r>
            <w:r w:rsidR="0015605F">
              <w:t xml:space="preserve">that </w:t>
            </w:r>
            <w:r w:rsidR="00D237E1">
              <w:t>mak</w:t>
            </w:r>
            <w:r w:rsidR="0015605F">
              <w:t>e</w:t>
            </w:r>
            <w:r w:rsidR="00D237E1">
              <w:t xml:space="preserve"> the payments</w:t>
            </w:r>
            <w:r>
              <w:t>.</w:t>
            </w:r>
          </w:p>
        </w:tc>
      </w:tr>
      <w:tr w:rsidR="008973D5" w:rsidTr="006C55E8">
        <w:trPr>
          <w:trHeight w:val="1252"/>
        </w:trPr>
        <w:tc>
          <w:tcPr>
            <w:tcW w:w="2844" w:type="pct"/>
          </w:tcPr>
          <w:p w:rsidR="008973D5" w:rsidRDefault="00207E63" w:rsidP="006C55E8">
            <w:pPr>
              <w:pStyle w:val="BodyText"/>
            </w:pPr>
            <w:r w:rsidRPr="00207E63">
              <w:rPr>
                <w:b/>
              </w:rPr>
              <w:t>Documentation</w:t>
            </w:r>
            <w:r w:rsidR="00276FC7">
              <w:rPr>
                <w:b/>
              </w:rPr>
              <w:t xml:space="preserve"> and reporting tools</w:t>
            </w:r>
            <w:r w:rsidRPr="00207E63">
              <w:rPr>
                <w:b/>
              </w:rPr>
              <w:t>:</w:t>
            </w:r>
            <w:r>
              <w:t xml:space="preserve"> </w:t>
            </w:r>
            <w:r w:rsidR="00276FC7">
              <w:t>The timely provision of the CCT reporting tools such as</w:t>
            </w:r>
            <w:r w:rsidR="008F3B12">
              <w:t>;</w:t>
            </w:r>
            <w:r w:rsidR="00276FC7">
              <w:t xml:space="preserve"> Beneficiary Registration Card, CCT Facility Registers, CCT Personal Consultation Forms and CCT Referral Forms </w:t>
            </w:r>
            <w:r>
              <w:t>CCT Tools</w:t>
            </w:r>
            <w:r w:rsidR="00276FC7">
              <w:t>, prior to registration and enrollment of pregnant women helped seamless documentation and easy information retrieval.</w:t>
            </w:r>
          </w:p>
        </w:tc>
        <w:tc>
          <w:tcPr>
            <w:tcW w:w="2156" w:type="pct"/>
          </w:tcPr>
          <w:p w:rsidR="008973D5" w:rsidRDefault="008973D5" w:rsidP="00D237E1">
            <w:pPr>
              <w:pStyle w:val="Compact"/>
            </w:pPr>
            <w:r w:rsidRPr="0007491B">
              <w:rPr>
                <w:b/>
              </w:rPr>
              <w:t>M &amp; E Framework</w:t>
            </w:r>
            <w:r>
              <w:t xml:space="preserve">: </w:t>
            </w:r>
            <w:r w:rsidR="00D237E1">
              <w:t xml:space="preserve">There was no clear </w:t>
            </w:r>
            <w:r>
              <w:t>M</w:t>
            </w:r>
            <w:r w:rsidR="00D237E1">
              <w:t xml:space="preserve"> and E framework </w:t>
            </w:r>
            <w:r>
              <w:t>f</w:t>
            </w:r>
            <w:r w:rsidR="00D237E1">
              <w:t>or</w:t>
            </w:r>
            <w:r>
              <w:t xml:space="preserve"> the CCT </w:t>
            </w:r>
            <w:proofErr w:type="spellStart"/>
            <w:r>
              <w:t>programme</w:t>
            </w:r>
            <w:proofErr w:type="spellEnd"/>
            <w:r>
              <w:t xml:space="preserve"> and particularly </w:t>
            </w:r>
            <w:r w:rsidR="00D237E1">
              <w:t xml:space="preserve">for </w:t>
            </w:r>
            <w:r>
              <w:t xml:space="preserve">the Pay-out events </w:t>
            </w:r>
            <w:r w:rsidR="00D237E1">
              <w:t>and this</w:t>
            </w:r>
            <w:r>
              <w:t xml:space="preserve"> </w:t>
            </w:r>
            <w:r w:rsidR="00D237E1">
              <w:t xml:space="preserve">resulted in non-implementation of </w:t>
            </w:r>
            <w:r>
              <w:t xml:space="preserve">programmatic </w:t>
            </w:r>
            <w:r w:rsidR="00D237E1">
              <w:t>recommendations</w:t>
            </w:r>
            <w:r>
              <w:t>.</w:t>
            </w:r>
          </w:p>
        </w:tc>
      </w:tr>
      <w:tr w:rsidR="008973D5" w:rsidTr="006C55E8">
        <w:trPr>
          <w:trHeight w:val="377"/>
        </w:trPr>
        <w:tc>
          <w:tcPr>
            <w:tcW w:w="2844" w:type="pct"/>
            <w:vAlign w:val="bottom"/>
          </w:tcPr>
          <w:p w:rsidR="008973D5" w:rsidRPr="0007491B" w:rsidRDefault="008973D5" w:rsidP="00357CA7">
            <w:pPr>
              <w:pStyle w:val="Compact"/>
              <w:rPr>
                <w:b/>
              </w:rPr>
            </w:pPr>
            <w:r w:rsidRPr="0007491B">
              <w:rPr>
                <w:b/>
              </w:rPr>
              <w:t>OPPORTUNITIES</w:t>
            </w:r>
          </w:p>
        </w:tc>
        <w:tc>
          <w:tcPr>
            <w:tcW w:w="2156" w:type="pct"/>
            <w:vAlign w:val="bottom"/>
          </w:tcPr>
          <w:p w:rsidR="008973D5" w:rsidRPr="0007491B" w:rsidRDefault="008973D5" w:rsidP="00357CA7">
            <w:pPr>
              <w:pStyle w:val="Compact"/>
              <w:rPr>
                <w:b/>
              </w:rPr>
            </w:pPr>
            <w:r w:rsidRPr="0007491B">
              <w:rPr>
                <w:b/>
              </w:rPr>
              <w:t>THREATS</w:t>
            </w:r>
          </w:p>
        </w:tc>
      </w:tr>
      <w:tr w:rsidR="008973D5" w:rsidTr="006C55E8">
        <w:trPr>
          <w:trHeight w:val="1524"/>
        </w:trPr>
        <w:tc>
          <w:tcPr>
            <w:tcW w:w="2844" w:type="pct"/>
          </w:tcPr>
          <w:p w:rsidR="008973D5" w:rsidRDefault="00EE0C2F" w:rsidP="00747098">
            <w:pPr>
              <w:pStyle w:val="Compact"/>
            </w:pPr>
            <w:r>
              <w:rPr>
                <w:b/>
              </w:rPr>
              <w:t>CCT a</w:t>
            </w:r>
            <w:r w:rsidR="008973D5" w:rsidRPr="0007491B">
              <w:rPr>
                <w:b/>
              </w:rPr>
              <w:t>wareness</w:t>
            </w:r>
            <w:r>
              <w:rPr>
                <w:b/>
              </w:rPr>
              <w:t xml:space="preserve"> increased patronage for the PHCs</w:t>
            </w:r>
            <w:r w:rsidR="008973D5">
              <w:t xml:space="preserve">: </w:t>
            </w:r>
            <w:r w:rsidR="00783DBE">
              <w:t>Respondents reported hearing about the CCT from</w:t>
            </w:r>
            <w:r w:rsidR="008A4573">
              <w:t xml:space="preserve"> family and friends</w:t>
            </w:r>
            <w:r w:rsidR="00783DBE">
              <w:t xml:space="preserve">, </w:t>
            </w:r>
            <w:r w:rsidR="008A4573">
              <w:t xml:space="preserve">village health workers (VHWs), community health extension workers (CHEWs) and ward development committee (WDC) </w:t>
            </w:r>
            <w:r w:rsidR="00783DBE">
              <w:t xml:space="preserve">members. </w:t>
            </w:r>
            <w:r w:rsidR="008973D5">
              <w:t>Th</w:t>
            </w:r>
            <w:r w:rsidR="00783DBE">
              <w:t>is led to a</w:t>
            </w:r>
            <w:r w:rsidR="008973D5">
              <w:t xml:space="preserve"> massive awareness of the CCT </w:t>
            </w:r>
            <w:proofErr w:type="spellStart"/>
            <w:r w:rsidR="008973D5">
              <w:t>programme</w:t>
            </w:r>
            <w:proofErr w:type="spellEnd"/>
            <w:r w:rsidR="008973D5">
              <w:t xml:space="preserve"> within the communities and huge </w:t>
            </w:r>
            <w:r w:rsidR="00783DBE">
              <w:t xml:space="preserve">patronage </w:t>
            </w:r>
            <w:r w:rsidR="00747098">
              <w:t>f</w:t>
            </w:r>
            <w:r w:rsidR="00783DBE">
              <w:t>o</w:t>
            </w:r>
            <w:r w:rsidR="00747098">
              <w:t>r</w:t>
            </w:r>
            <w:r w:rsidR="00783DBE">
              <w:t xml:space="preserve"> the</w:t>
            </w:r>
            <w:r w:rsidR="008973D5">
              <w:t xml:space="preserve"> primary health facilit</w:t>
            </w:r>
            <w:r w:rsidR="00783DBE">
              <w:t>ies</w:t>
            </w:r>
            <w:r w:rsidR="008973D5">
              <w:t>.</w:t>
            </w:r>
          </w:p>
        </w:tc>
        <w:tc>
          <w:tcPr>
            <w:tcW w:w="2156" w:type="pct"/>
          </w:tcPr>
          <w:p w:rsidR="008973D5" w:rsidRDefault="00B601D4" w:rsidP="00B601D4">
            <w:pPr>
              <w:pStyle w:val="Compact"/>
            </w:pPr>
            <w:r>
              <w:rPr>
                <w:b/>
              </w:rPr>
              <w:t>Lack of a sustainability plan</w:t>
            </w:r>
            <w:r w:rsidR="008973D5">
              <w:t xml:space="preserve">: </w:t>
            </w:r>
            <w:r>
              <w:t>The</w:t>
            </w:r>
            <w:r w:rsidR="008973D5">
              <w:t xml:space="preserve"> CCT </w:t>
            </w:r>
            <w:r>
              <w:t>intervention was designed with an apparent lack of a sustainability plan</w:t>
            </w:r>
            <w:r w:rsidR="008973D5">
              <w:t>.</w:t>
            </w:r>
          </w:p>
        </w:tc>
      </w:tr>
      <w:tr w:rsidR="008973D5" w:rsidTr="006C55E8">
        <w:trPr>
          <w:trHeight w:val="1584"/>
        </w:trPr>
        <w:tc>
          <w:tcPr>
            <w:tcW w:w="2844" w:type="pct"/>
          </w:tcPr>
          <w:p w:rsidR="008973D5" w:rsidRDefault="008973D5" w:rsidP="00794EB6">
            <w:pPr>
              <w:pStyle w:val="Compact"/>
            </w:pPr>
            <w:r w:rsidRPr="0007491B">
              <w:rPr>
                <w:b/>
              </w:rPr>
              <w:lastRenderedPageBreak/>
              <w:t>Availability of Skilled Health work force at the PHCs</w:t>
            </w:r>
            <w:r>
              <w:t xml:space="preserve">: The </w:t>
            </w:r>
            <w:r w:rsidR="00794EB6">
              <w:t xml:space="preserve">supply side </w:t>
            </w:r>
            <w:r w:rsidR="00747098">
              <w:t xml:space="preserve">component </w:t>
            </w:r>
            <w:r w:rsidR="00794EB6">
              <w:t>of the SURE-P MCH provided trained midwives and Community Health Extension Workers (CHEWs) at the PHCs who offered quality care to CCT enrollees and</w:t>
            </w:r>
            <w:r>
              <w:t xml:space="preserve"> stimulated the smooth operation of the CCT</w:t>
            </w:r>
            <w:r w:rsidR="00747098">
              <w:t xml:space="preserve"> operations</w:t>
            </w:r>
            <w:r>
              <w:t>.</w:t>
            </w:r>
          </w:p>
        </w:tc>
        <w:tc>
          <w:tcPr>
            <w:tcW w:w="2156" w:type="pct"/>
          </w:tcPr>
          <w:p w:rsidR="008973D5" w:rsidRDefault="008973D5" w:rsidP="004158DF">
            <w:pPr>
              <w:pStyle w:val="Compact"/>
            </w:pPr>
            <w:r w:rsidRPr="0007491B">
              <w:rPr>
                <w:b/>
              </w:rPr>
              <w:t xml:space="preserve">Unsustainability of the SURE-P MCH </w:t>
            </w:r>
            <w:proofErr w:type="spellStart"/>
            <w:r w:rsidRPr="0007491B">
              <w:rPr>
                <w:b/>
              </w:rPr>
              <w:t>Programme</w:t>
            </w:r>
            <w:proofErr w:type="spellEnd"/>
            <w:r>
              <w:t xml:space="preserve">: Continuation of the CCT </w:t>
            </w:r>
            <w:proofErr w:type="spellStart"/>
            <w:r>
              <w:t>programme</w:t>
            </w:r>
            <w:proofErr w:type="spellEnd"/>
            <w:r>
              <w:t xml:space="preserve"> largely depends on the SURE-P MCH project which was </w:t>
            </w:r>
            <w:r w:rsidR="004158DF">
              <w:t xml:space="preserve">largely </w:t>
            </w:r>
            <w:r>
              <w:t>politically motivated, therefore a regime change threaten</w:t>
            </w:r>
            <w:r w:rsidR="004158DF">
              <w:t>ed</w:t>
            </w:r>
            <w:r>
              <w:t xml:space="preserve"> its continuation.</w:t>
            </w:r>
          </w:p>
        </w:tc>
      </w:tr>
      <w:tr w:rsidR="008973D5" w:rsidTr="006C55E8">
        <w:trPr>
          <w:trHeight w:val="1252"/>
        </w:trPr>
        <w:tc>
          <w:tcPr>
            <w:tcW w:w="2844" w:type="pct"/>
          </w:tcPr>
          <w:p w:rsidR="008973D5" w:rsidRDefault="008973D5" w:rsidP="00747098">
            <w:pPr>
              <w:pStyle w:val="Compact"/>
            </w:pPr>
            <w:r w:rsidRPr="0007491B">
              <w:rPr>
                <w:b/>
              </w:rPr>
              <w:t>Availability of other supply side incentives</w:t>
            </w:r>
            <w:r>
              <w:t xml:space="preserve"> such as ‘Mama Kits’</w:t>
            </w:r>
            <w:r w:rsidR="00747098">
              <w:t xml:space="preserve"> which contained</w:t>
            </w:r>
            <w:r w:rsidR="00794EB6">
              <w:t xml:space="preserve"> delivery items for mother and baby</w:t>
            </w:r>
            <w:r>
              <w:t xml:space="preserve">, free medicines </w:t>
            </w:r>
            <w:proofErr w:type="spellStart"/>
            <w:r>
              <w:t>etc</w:t>
            </w:r>
            <w:proofErr w:type="spellEnd"/>
            <w:r>
              <w:t xml:space="preserve"> further </w:t>
            </w:r>
            <w:r w:rsidR="00747098">
              <w:t>attracted</w:t>
            </w:r>
            <w:r>
              <w:t xml:space="preserve"> women to register for the CCT.</w:t>
            </w:r>
          </w:p>
        </w:tc>
        <w:tc>
          <w:tcPr>
            <w:tcW w:w="2156" w:type="pct"/>
          </w:tcPr>
          <w:p w:rsidR="008973D5" w:rsidRDefault="008973D5" w:rsidP="00357CA7">
            <w:pPr>
              <w:pStyle w:val="Compact"/>
            </w:pPr>
            <w:r w:rsidRPr="0007491B">
              <w:rPr>
                <w:b/>
              </w:rPr>
              <w:t>Unavailability of CCT funds at the PIU</w:t>
            </w:r>
            <w:r>
              <w:t>: Funds budgeted for CCT pay-outs were largely unavailable from the federal government on schedule. This hampered the funds disbursement plans.</w:t>
            </w:r>
          </w:p>
        </w:tc>
      </w:tr>
      <w:tr w:rsidR="008973D5" w:rsidTr="006C55E8">
        <w:trPr>
          <w:trHeight w:val="1252"/>
        </w:trPr>
        <w:tc>
          <w:tcPr>
            <w:tcW w:w="2844" w:type="pct"/>
          </w:tcPr>
          <w:p w:rsidR="008973D5" w:rsidRDefault="00D11A0F" w:rsidP="00357CA7">
            <w:pPr>
              <w:pStyle w:val="Compact"/>
            </w:pPr>
            <w:r w:rsidRPr="0007491B">
              <w:rPr>
                <w:b/>
              </w:rPr>
              <w:t>Huge Potential</w:t>
            </w:r>
            <w:r>
              <w:t xml:space="preserve">: The design of the CCT </w:t>
            </w:r>
            <w:proofErr w:type="spellStart"/>
            <w:r>
              <w:t>Programme</w:t>
            </w:r>
            <w:proofErr w:type="spellEnd"/>
            <w:r>
              <w:t xml:space="preserve"> to support other supply side interventions helped entrench health seeking </w:t>
            </w:r>
            <w:proofErr w:type="spellStart"/>
            <w:r>
              <w:t>behaviours</w:t>
            </w:r>
            <w:proofErr w:type="spellEnd"/>
            <w:r>
              <w:t xml:space="preserve"> within communities.</w:t>
            </w:r>
          </w:p>
        </w:tc>
        <w:tc>
          <w:tcPr>
            <w:tcW w:w="2156" w:type="pct"/>
          </w:tcPr>
          <w:p w:rsidR="008973D5" w:rsidRDefault="008973D5" w:rsidP="004158DF">
            <w:pPr>
              <w:pStyle w:val="Compact"/>
            </w:pPr>
            <w:r w:rsidRPr="0007491B">
              <w:rPr>
                <w:b/>
              </w:rPr>
              <w:t>Discontinuation</w:t>
            </w:r>
            <w:r>
              <w:t xml:space="preserve">: A sudden discontinuation of the </w:t>
            </w:r>
            <w:proofErr w:type="spellStart"/>
            <w:r>
              <w:t>programme</w:t>
            </w:r>
            <w:proofErr w:type="spellEnd"/>
            <w:r>
              <w:t xml:space="preserve"> result</w:t>
            </w:r>
            <w:r w:rsidR="004158DF">
              <w:t>ed</w:t>
            </w:r>
            <w:r>
              <w:t xml:space="preserve"> in thwarting the numerous gains made and reverse</w:t>
            </w:r>
            <w:r w:rsidR="004158DF">
              <w:t>d</w:t>
            </w:r>
            <w:r>
              <w:t xml:space="preserve"> the positive trends achieved so far.</w:t>
            </w:r>
          </w:p>
        </w:tc>
      </w:tr>
      <w:tr w:rsidR="008973D5" w:rsidTr="006C55E8">
        <w:trPr>
          <w:trHeight w:val="1252"/>
        </w:trPr>
        <w:tc>
          <w:tcPr>
            <w:tcW w:w="2844" w:type="pct"/>
          </w:tcPr>
          <w:p w:rsidR="008973D5" w:rsidRDefault="00F108F1" w:rsidP="007E6C6D">
            <w:pPr>
              <w:pStyle w:val="BodyText"/>
            </w:pPr>
            <w:r>
              <w:rPr>
                <w:b/>
              </w:rPr>
              <w:t>Access to health services</w:t>
            </w:r>
            <w:r w:rsidR="00D11A0F">
              <w:rPr>
                <w:b/>
              </w:rPr>
              <w:t xml:space="preserve">: </w:t>
            </w:r>
            <w:r w:rsidR="00D11A0F" w:rsidRPr="00D11A0F">
              <w:t xml:space="preserve">The </w:t>
            </w:r>
            <w:r w:rsidR="00D11A0F">
              <w:t>use of the CCT</w:t>
            </w:r>
            <w:r>
              <w:t xml:space="preserve"> to boost demand for MNCH services create</w:t>
            </w:r>
            <w:r w:rsidR="007E6C6D">
              <w:t>d</w:t>
            </w:r>
            <w:r>
              <w:t xml:space="preserve"> </w:t>
            </w:r>
            <w:r w:rsidR="007E6C6D">
              <w:t xml:space="preserve">more space for </w:t>
            </w:r>
            <w:r w:rsidR="00B601D4">
              <w:t>clients’</w:t>
            </w:r>
            <w:r w:rsidR="007E6C6D">
              <w:t xml:space="preserve"> interaction with service providers at the </w:t>
            </w:r>
            <w:r>
              <w:t xml:space="preserve">health </w:t>
            </w:r>
            <w:r w:rsidR="007E6C6D">
              <w:t>facilities.</w:t>
            </w:r>
          </w:p>
        </w:tc>
        <w:tc>
          <w:tcPr>
            <w:tcW w:w="2156" w:type="pct"/>
          </w:tcPr>
          <w:p w:rsidR="008973D5" w:rsidRDefault="008973D5" w:rsidP="005B1029">
            <w:pPr>
              <w:pStyle w:val="Compact"/>
            </w:pPr>
            <w:r w:rsidRPr="0007491B">
              <w:rPr>
                <w:b/>
              </w:rPr>
              <w:t>Distrust for Government</w:t>
            </w:r>
            <w:r>
              <w:t xml:space="preserve">: Stoppage of the CCT </w:t>
            </w:r>
            <w:proofErr w:type="spellStart"/>
            <w:r>
              <w:t>programme</w:t>
            </w:r>
            <w:proofErr w:type="spellEnd"/>
            <w:r>
              <w:t xml:space="preserve"> </w:t>
            </w:r>
            <w:r w:rsidR="005B1029">
              <w:t>led</w:t>
            </w:r>
            <w:r>
              <w:t xml:space="preserve"> to strong distrust/lack of confi</w:t>
            </w:r>
            <w:r w:rsidR="005B1029">
              <w:t xml:space="preserve">dence for government </w:t>
            </w:r>
            <w:proofErr w:type="spellStart"/>
            <w:r w:rsidR="005B1029">
              <w:t>programmes</w:t>
            </w:r>
            <w:proofErr w:type="spellEnd"/>
            <w:r>
              <w:t>.</w:t>
            </w:r>
          </w:p>
        </w:tc>
      </w:tr>
    </w:tbl>
    <w:p w:rsidR="008973D5" w:rsidRDefault="008973D5" w:rsidP="008973D5">
      <w:pPr>
        <w:pStyle w:val="BodyText"/>
      </w:pPr>
    </w:p>
    <w:p w:rsidR="008973D5" w:rsidRPr="0007491B" w:rsidRDefault="008973D5" w:rsidP="008973D5">
      <w:pPr>
        <w:pStyle w:val="BodyText"/>
        <w:rPr>
          <w:b/>
        </w:rPr>
      </w:pPr>
      <w:r w:rsidRPr="0007491B">
        <w:rPr>
          <w:b/>
        </w:rPr>
        <w:t>Table 5: KEY CHALLENGES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8973D5" w:rsidTr="003F208C">
        <w:tc>
          <w:tcPr>
            <w:tcW w:w="5000" w:type="pct"/>
          </w:tcPr>
          <w:p w:rsidR="008973D5" w:rsidRDefault="008973D5" w:rsidP="00357CA7">
            <w:pPr>
              <w:pStyle w:val="Compact"/>
            </w:pPr>
            <w:r>
              <w:t xml:space="preserve">1. </w:t>
            </w:r>
            <w:r w:rsidRPr="0007491B">
              <w:rPr>
                <w:b/>
              </w:rPr>
              <w:t>Irregular and Inconsistent Pay-Out Events</w:t>
            </w:r>
            <w:r>
              <w:t>: The CCT pay-out events were highly inconsistent and irregular resulting in large crowds which posed a big challenge for crowd control and management. Owing to the large crowds, women were kept for longer than necessary just to receive their cash support. It was gathered that this problem was as a result of delay in releasing funds to the SURE P MCH Unit by the federal government.</w:t>
            </w:r>
          </w:p>
        </w:tc>
      </w:tr>
      <w:tr w:rsidR="008973D5" w:rsidTr="003F208C">
        <w:tc>
          <w:tcPr>
            <w:tcW w:w="5000" w:type="pct"/>
          </w:tcPr>
          <w:p w:rsidR="008973D5" w:rsidRDefault="008973D5" w:rsidP="00943D81">
            <w:pPr>
              <w:pStyle w:val="Compact"/>
            </w:pPr>
            <w:r>
              <w:t xml:space="preserve">2. </w:t>
            </w:r>
            <w:r w:rsidRPr="0007491B">
              <w:rPr>
                <w:b/>
              </w:rPr>
              <w:t>Security for Cash Disbursements</w:t>
            </w:r>
            <w:r>
              <w:t>: Adequate security was not provided for the CCT pay-out events and this compromised the safety of the cash being disbursed and p</w:t>
            </w:r>
            <w:r w:rsidR="00943D81">
              <w:t>ut the personnel making the payments</w:t>
            </w:r>
            <w:r>
              <w:t xml:space="preserve"> at high risk of being attacked.</w:t>
            </w:r>
          </w:p>
        </w:tc>
      </w:tr>
      <w:tr w:rsidR="008973D5" w:rsidTr="003F208C">
        <w:tc>
          <w:tcPr>
            <w:tcW w:w="5000" w:type="pct"/>
          </w:tcPr>
          <w:p w:rsidR="008973D5" w:rsidRDefault="008973D5" w:rsidP="00AB714F">
            <w:pPr>
              <w:pStyle w:val="Compact"/>
            </w:pPr>
            <w:r>
              <w:t xml:space="preserve">3. </w:t>
            </w:r>
            <w:r w:rsidRPr="0007491B">
              <w:rPr>
                <w:b/>
              </w:rPr>
              <w:t>Non-Payment of Cash Incentives</w:t>
            </w:r>
            <w:r w:rsidR="00DA28AA">
              <w:rPr>
                <w:b/>
              </w:rPr>
              <w:t xml:space="preserve"> in two installment</w:t>
            </w:r>
            <w:r w:rsidR="00DA28AA" w:rsidRPr="00D50225">
              <w:rPr>
                <w:b/>
              </w:rPr>
              <w:t>s</w:t>
            </w:r>
            <w:r>
              <w:t xml:space="preserve">: Several </w:t>
            </w:r>
            <w:r w:rsidR="00AB714F">
              <w:t>responde</w:t>
            </w:r>
            <w:r w:rsidR="00DA28AA">
              <w:t>n</w:t>
            </w:r>
            <w:r w:rsidR="00AB714F">
              <w:t>ts</w:t>
            </w:r>
            <w:r>
              <w:t xml:space="preserve"> reported not being paid their entitlement and others who received their first instalment were yet to receive their second instalment</w:t>
            </w:r>
            <w:r w:rsidR="00AB714F">
              <w:t xml:space="preserve"> as at the time of study</w:t>
            </w:r>
            <w:r>
              <w:t xml:space="preserve">. </w:t>
            </w:r>
          </w:p>
        </w:tc>
      </w:tr>
      <w:tr w:rsidR="008973D5" w:rsidTr="003F208C">
        <w:tc>
          <w:tcPr>
            <w:tcW w:w="5000" w:type="pct"/>
          </w:tcPr>
          <w:p w:rsidR="008973D5" w:rsidRDefault="008973D5" w:rsidP="00AB714F">
            <w:pPr>
              <w:pStyle w:val="Compact"/>
            </w:pPr>
            <w:r>
              <w:t xml:space="preserve">4. </w:t>
            </w:r>
            <w:r w:rsidRPr="0007491B">
              <w:rPr>
                <w:b/>
              </w:rPr>
              <w:t>State Steering Committees</w:t>
            </w:r>
            <w:r>
              <w:t xml:space="preserve">: The SSC meetings were not sustainable as a result of unavailability of </w:t>
            </w:r>
            <w:proofErr w:type="spellStart"/>
            <w:r>
              <w:t>imprest</w:t>
            </w:r>
            <w:proofErr w:type="spellEnd"/>
            <w:r>
              <w:t xml:space="preserve"> to fund such meetings and this impacted negatively on the SSC as most of them were inactive</w:t>
            </w:r>
            <w:r w:rsidR="00AB714F">
              <w:t xml:space="preserve"> and never practically carried out their</w:t>
            </w:r>
            <w:r>
              <w:t xml:space="preserve"> assigned role.</w:t>
            </w:r>
          </w:p>
        </w:tc>
      </w:tr>
      <w:tr w:rsidR="008973D5" w:rsidTr="003F208C">
        <w:tc>
          <w:tcPr>
            <w:tcW w:w="5000" w:type="pct"/>
          </w:tcPr>
          <w:p w:rsidR="008973D5" w:rsidRDefault="008973D5" w:rsidP="00357CA7">
            <w:pPr>
              <w:pStyle w:val="Compact"/>
            </w:pPr>
            <w:r>
              <w:t xml:space="preserve">5. </w:t>
            </w:r>
            <w:r w:rsidRPr="0007491B">
              <w:rPr>
                <w:b/>
              </w:rPr>
              <w:t>Monitoring and Evaluation</w:t>
            </w:r>
            <w:r>
              <w:t>: Monitoring of the CCT Pay-out events were limited which delayed relevant programmatic interventions.</w:t>
            </w:r>
          </w:p>
        </w:tc>
      </w:tr>
      <w:tr w:rsidR="008973D5" w:rsidTr="003F208C">
        <w:tc>
          <w:tcPr>
            <w:tcW w:w="5000" w:type="pct"/>
          </w:tcPr>
          <w:p w:rsidR="008973D5" w:rsidRDefault="008973D5" w:rsidP="00357CA7">
            <w:pPr>
              <w:pStyle w:val="Compact"/>
            </w:pPr>
            <w:r>
              <w:lastRenderedPageBreak/>
              <w:t xml:space="preserve">6. </w:t>
            </w:r>
            <w:r w:rsidRPr="0007491B">
              <w:rPr>
                <w:b/>
              </w:rPr>
              <w:t>Additional Data Collection</w:t>
            </w:r>
            <w:r>
              <w:rPr>
                <w:b/>
              </w:rPr>
              <w:t xml:space="preserve"> Workload</w:t>
            </w:r>
            <w:r>
              <w:t xml:space="preserve">: The additional demand generated by the CCT </w:t>
            </w:r>
            <w:proofErr w:type="spellStart"/>
            <w:r>
              <w:t>Programme</w:t>
            </w:r>
            <w:proofErr w:type="spellEnd"/>
            <w:r>
              <w:t xml:space="preserve"> and CCT reporting tools created additional workload for service providers in the participating facilities, which had varying levels of capacity to handle the work.</w:t>
            </w:r>
          </w:p>
        </w:tc>
      </w:tr>
      <w:tr w:rsidR="008973D5" w:rsidTr="003F208C">
        <w:tc>
          <w:tcPr>
            <w:tcW w:w="5000" w:type="pct"/>
          </w:tcPr>
          <w:p w:rsidR="008973D5" w:rsidRDefault="008973D5" w:rsidP="00AB714F">
            <w:pPr>
              <w:pStyle w:val="Compact"/>
            </w:pPr>
            <w:r>
              <w:t xml:space="preserve">7. </w:t>
            </w:r>
            <w:r w:rsidRPr="0007491B">
              <w:rPr>
                <w:b/>
              </w:rPr>
              <w:t>Referrals</w:t>
            </w:r>
            <w:r>
              <w:t xml:space="preserve">: Initially the CCT </w:t>
            </w:r>
            <w:proofErr w:type="spellStart"/>
            <w:r>
              <w:t>Programme</w:t>
            </w:r>
            <w:proofErr w:type="spellEnd"/>
            <w:r>
              <w:t xml:space="preserve"> was designed to take care of women who had complicat</w:t>
            </w:r>
            <w:r w:rsidR="00AB714F">
              <w:t>ions and had to be referred to g</w:t>
            </w:r>
            <w:r>
              <w:t xml:space="preserve">eneral </w:t>
            </w:r>
            <w:r w:rsidR="00AB714F">
              <w:t>h</w:t>
            </w:r>
            <w:r>
              <w:t>ospitals but this strategy was marred with a lot of hitches as beneficiaries lamented their frustrations in assessing that level of care</w:t>
            </w:r>
            <w:r w:rsidR="00AB714F">
              <w:t xml:space="preserve"> as none of the beneficiaries benefitted from this particular intervention</w:t>
            </w:r>
            <w:r>
              <w:t>.</w:t>
            </w:r>
          </w:p>
        </w:tc>
      </w:tr>
    </w:tbl>
    <w:p w:rsidR="008973D5" w:rsidRDefault="008973D5" w:rsidP="008973D5">
      <w:pPr>
        <w:pStyle w:val="Heading2"/>
      </w:pPr>
      <w:bookmarkStart w:id="25" w:name="discussion"/>
      <w:bookmarkEnd w:id="25"/>
      <w:r>
        <w:t>DISCUSSION</w:t>
      </w:r>
    </w:p>
    <w:p w:rsidR="009D7DEC" w:rsidRDefault="008973D5" w:rsidP="004C15ED">
      <w:pPr>
        <w:autoSpaceDE w:val="0"/>
        <w:autoSpaceDN w:val="0"/>
        <w:adjustRightInd w:val="0"/>
        <w:spacing w:after="0"/>
      </w:pPr>
      <w:r>
        <w:t>S</w:t>
      </w:r>
      <w:r w:rsidRPr="00FF3619">
        <w:t>ocial transfers</w:t>
      </w:r>
      <w:r>
        <w:t xml:space="preserve"> such as CCTs are usually</w:t>
      </w:r>
      <w:r w:rsidRPr="00FF3619">
        <w:t xml:space="preserve"> associated with various errors</w:t>
      </w:r>
      <w:r>
        <w:t xml:space="preserve"> including design and</w:t>
      </w:r>
      <w:r w:rsidRPr="00FF3619">
        <w:t xml:space="preserve"> implementation</w:t>
      </w:r>
      <w:r>
        <w:t xml:space="preserve">, </w:t>
      </w:r>
      <w:r w:rsidRPr="00FF3619">
        <w:t xml:space="preserve">administrative </w:t>
      </w:r>
      <w:r>
        <w:t xml:space="preserve">costs </w:t>
      </w:r>
      <w:r w:rsidRPr="00FF3619">
        <w:t>and other</w:t>
      </w:r>
      <w:r>
        <w:t xml:space="preserve"> </w:t>
      </w:r>
      <w:r w:rsidRPr="00FF3619">
        <w:t xml:space="preserve">secondary consequences </w:t>
      </w:r>
      <w:r w:rsidR="00865D10">
        <w:t>[32</w:t>
      </w:r>
      <w:r>
        <w:t>] however, the SURE-P MCH CCT was designed with novel approaches drawn from similar schemes around the world, yet its implementation appeared to be more complex than its design [</w:t>
      </w:r>
      <w:r w:rsidR="00865D10">
        <w:t>30</w:t>
      </w:r>
      <w:r w:rsidR="00B601D4">
        <w:t>]. The robust design of the CCT intervention and the proof-of concept phase validates the efficacy of the CCT operations however, implementation challenges affected the</w:t>
      </w:r>
      <w:r>
        <w:t xml:space="preserve"> effectiveness of the operational processes</w:t>
      </w:r>
      <w:r w:rsidR="00B601D4">
        <w:t xml:space="preserve">. Despite implementation challenges, the CCT operational processes were </w:t>
      </w:r>
      <w:commentRangeStart w:id="26"/>
      <w:proofErr w:type="spellStart"/>
      <w:r w:rsidR="00B601D4">
        <w:t>majory</w:t>
      </w:r>
      <w:commentRangeEnd w:id="26"/>
      <w:proofErr w:type="spellEnd"/>
      <w:r w:rsidR="00472C5A">
        <w:rPr>
          <w:rStyle w:val="CommentReference"/>
        </w:rPr>
        <w:commentReference w:id="26"/>
      </w:r>
      <w:r w:rsidR="00B601D4">
        <w:t xml:space="preserve"> effective as 8</w:t>
      </w:r>
      <w:r>
        <w:t xml:space="preserve">6% of respondents </w:t>
      </w:r>
      <w:r w:rsidR="00B12FA7">
        <w:t>stated</w:t>
      </w:r>
      <w:r>
        <w:t xml:space="preserve"> that they had no complaints about the</w:t>
      </w:r>
      <w:r w:rsidR="00B12FA7">
        <w:t xml:space="preserve"> CCT</w:t>
      </w:r>
      <w:r>
        <w:t xml:space="preserve"> </w:t>
      </w:r>
      <w:proofErr w:type="spellStart"/>
      <w:r>
        <w:t>programme</w:t>
      </w:r>
      <w:proofErr w:type="spellEnd"/>
      <w:r>
        <w:t xml:space="preserve"> at enrolm</w:t>
      </w:r>
      <w:r w:rsidR="00B12FA7">
        <w:t xml:space="preserve">ent while another majority </w:t>
      </w:r>
      <w:r>
        <w:t xml:space="preserve">(88.7%) </w:t>
      </w:r>
      <w:r w:rsidR="00B12FA7">
        <w:t>opined that</w:t>
      </w:r>
      <w:r>
        <w:t xml:space="preserve"> the</w:t>
      </w:r>
      <w:r w:rsidR="00B12FA7">
        <w:t xml:space="preserve"> CCT operational</w:t>
      </w:r>
      <w:r>
        <w:t xml:space="preserve"> </w:t>
      </w:r>
      <w:r w:rsidR="00B12FA7">
        <w:t>processes</w:t>
      </w:r>
      <w:r w:rsidR="000F15AD" w:rsidRPr="000F15AD">
        <w:t xml:space="preserve"> </w:t>
      </w:r>
      <w:r w:rsidR="000F15AD">
        <w:t>were easy,</w:t>
      </w:r>
      <w:r>
        <w:t xml:space="preserve"> from enrolment to pay-out. </w:t>
      </w:r>
      <w:r w:rsidR="00B12FA7">
        <w:t>Hence, most of the respondents expr</w:t>
      </w:r>
      <w:r w:rsidR="00501EFA">
        <w:t xml:space="preserve">essed satisfaction with the </w:t>
      </w:r>
      <w:r w:rsidR="00B12FA7">
        <w:t xml:space="preserve">operational processes </w:t>
      </w:r>
      <w:r w:rsidR="00501EFA">
        <w:t xml:space="preserve">having </w:t>
      </w:r>
      <w:r w:rsidR="00B12FA7">
        <w:t>perce</w:t>
      </w:r>
      <w:r w:rsidR="00501EFA">
        <w:t>ived the scheme a</w:t>
      </w:r>
      <w:r w:rsidR="00B12FA7">
        <w:t xml:space="preserve">s a successful government </w:t>
      </w:r>
      <w:proofErr w:type="spellStart"/>
      <w:r w:rsidR="00B12FA7">
        <w:t>programme</w:t>
      </w:r>
      <w:proofErr w:type="spellEnd"/>
      <w:r w:rsidR="00B12FA7">
        <w:t xml:space="preserve"> that should not be discontinued. </w:t>
      </w:r>
      <w:r w:rsidR="00B601D4">
        <w:t>However</w:t>
      </w:r>
      <w:r w:rsidR="00501EFA">
        <w:t>, there was</w:t>
      </w:r>
      <w:r w:rsidR="00B601D4">
        <w:t xml:space="preserve"> still</w:t>
      </w:r>
      <w:r w:rsidR="00501EFA">
        <w:t xml:space="preserve"> wide spread complain</w:t>
      </w:r>
      <w:r w:rsidR="005A4CF8">
        <w:t>t</w:t>
      </w:r>
      <w:r w:rsidR="00501EFA">
        <w:t xml:space="preserve">s about </w:t>
      </w:r>
      <w:r w:rsidR="005A4CF8">
        <w:t xml:space="preserve">the </w:t>
      </w:r>
      <w:r w:rsidR="00501EFA" w:rsidRPr="00E06F9A">
        <w:t>pay-out events</w:t>
      </w:r>
      <w:r w:rsidR="00501EFA">
        <w:t xml:space="preserve"> </w:t>
      </w:r>
      <w:r w:rsidR="005A4CF8">
        <w:t xml:space="preserve">being </w:t>
      </w:r>
      <w:r w:rsidR="004B55B2">
        <w:t>usually over</w:t>
      </w:r>
      <w:r w:rsidR="005A4CF8" w:rsidRPr="00E06F9A">
        <w:t>crowd</w:t>
      </w:r>
      <w:r w:rsidR="005A4CF8">
        <w:t>ed result</w:t>
      </w:r>
      <w:r w:rsidR="00380697">
        <w:t>ing</w:t>
      </w:r>
      <w:r w:rsidR="00501EFA">
        <w:t xml:space="preserve"> in long waiting time for beneficiaries. </w:t>
      </w:r>
      <w:r w:rsidR="00B12FA7">
        <w:t xml:space="preserve"> </w:t>
      </w:r>
      <w:r w:rsidR="00380697">
        <w:t>Respondents reported</w:t>
      </w:r>
      <w:r w:rsidR="000A69B1">
        <w:t xml:space="preserve"> perceived satisfaction with operational processes </w:t>
      </w:r>
      <w:r w:rsidR="00BB6BAA">
        <w:t>but</w:t>
      </w:r>
      <w:r w:rsidR="00380697">
        <w:t xml:space="preserve"> still complained </w:t>
      </w:r>
      <w:r w:rsidR="000A69B1">
        <w:t>about pay-out events</w:t>
      </w:r>
      <w:r w:rsidR="00BB6BAA">
        <w:t>. T</w:t>
      </w:r>
      <w:r w:rsidR="00380697">
        <w:t>his twist</w:t>
      </w:r>
      <w:r w:rsidR="00BB6BAA">
        <w:t xml:space="preserve"> by respondents</w:t>
      </w:r>
      <w:r w:rsidR="000A69B1">
        <w:t xml:space="preserve"> correspond</w:t>
      </w:r>
      <w:r w:rsidR="00380697">
        <w:t>s</w:t>
      </w:r>
      <w:r w:rsidR="000A69B1">
        <w:t xml:space="preserve"> with </w:t>
      </w:r>
      <w:r w:rsidR="004C15ED">
        <w:t>earlier studies</w:t>
      </w:r>
      <w:r w:rsidR="0061414C">
        <w:t>,</w:t>
      </w:r>
      <w:r w:rsidR="004C15ED">
        <w:t xml:space="preserve"> </w:t>
      </w:r>
      <w:r w:rsidR="000A69B1" w:rsidRPr="00BB6BAA">
        <w:t>which</w:t>
      </w:r>
      <w:r w:rsidR="004C15ED" w:rsidRPr="00BB6BAA">
        <w:t xml:space="preserve"> documented patient’s under-reporting of poor experiences </w:t>
      </w:r>
      <w:r w:rsidR="00865D10" w:rsidRPr="00BB6BAA">
        <w:t>[33]</w:t>
      </w:r>
      <w:r w:rsidR="004C15ED" w:rsidRPr="00BB6BAA">
        <w:t xml:space="preserve">. </w:t>
      </w:r>
      <w:r w:rsidR="00380697">
        <w:t xml:space="preserve">Meanwhile, the desk review indicated that the delay in disbursing approved funds to the PIU by the federal government complicated issues around the pay-outs,  </w:t>
      </w:r>
    </w:p>
    <w:p w:rsidR="00AB68D9" w:rsidRDefault="0054325E" w:rsidP="00AB68D9">
      <w:pPr>
        <w:pStyle w:val="BodyText"/>
      </w:pPr>
      <w:r>
        <w:t xml:space="preserve">Furthermore, </w:t>
      </w:r>
      <w:r w:rsidR="00B412E9">
        <w:t>women qualified for cash disbursements reported</w:t>
      </w:r>
      <w:r>
        <w:t xml:space="preserve"> that </w:t>
      </w:r>
      <w:r w:rsidR="00B412E9">
        <w:t xml:space="preserve">they were </w:t>
      </w:r>
      <w:r>
        <w:t xml:space="preserve">mostly informed about the pay-out events via the health facility (34.2%), </w:t>
      </w:r>
      <w:r w:rsidR="00B412E9">
        <w:t xml:space="preserve">VHW/CHEW (21.1%) and WDC (9.1%) and this </w:t>
      </w:r>
      <w:r>
        <w:t xml:space="preserve">is consistent with the </w:t>
      </w:r>
      <w:r w:rsidR="00B412E9">
        <w:t>earlier findings</w:t>
      </w:r>
      <w:r>
        <w:t xml:space="preserve"> that local health system structures play a more prominent role in disseminating information on Pay-Out Events [3</w:t>
      </w:r>
      <w:r w:rsidR="00865D10">
        <w:t>4</w:t>
      </w:r>
      <w:r>
        <w:t xml:space="preserve">]. Significantly, the phone calls from SURE-P CCT Officers were </w:t>
      </w:r>
      <w:r w:rsidRPr="00E06F9A">
        <w:t xml:space="preserve">also </w:t>
      </w:r>
      <w:r>
        <w:t xml:space="preserve">prominent sources of information, according to about 12.1% of the respondents and 95% of the respondents reported that the information they received was timely. </w:t>
      </w:r>
      <w:r w:rsidR="00AB68D9">
        <w:t>Unfortunately, beneficiaries who were entitled to free care at the general hospital when referred from their PHC for elective or emergency obstetric treatment faced a lot of hitches as beneficiaries lamented their frustrations in assessing that level of care.</w:t>
      </w:r>
    </w:p>
    <w:p w:rsidR="00A02513" w:rsidRDefault="00B412E9" w:rsidP="00A02513">
      <w:pPr>
        <w:autoSpaceDE w:val="0"/>
        <w:autoSpaceDN w:val="0"/>
        <w:adjustRightInd w:val="0"/>
        <w:spacing w:after="0"/>
      </w:pPr>
      <w:r>
        <w:t>T</w:t>
      </w:r>
      <w:r w:rsidR="004B55B2">
        <w:t>he</w:t>
      </w:r>
      <w:r>
        <w:t xml:space="preserve"> apparently </w:t>
      </w:r>
      <w:r w:rsidR="004B55B2">
        <w:t>smooth operational processes that characterized enrolment into the scheme</w:t>
      </w:r>
      <w:r w:rsidR="00054D21">
        <w:t xml:space="preserve"> up</w:t>
      </w:r>
      <w:r w:rsidR="004B55B2">
        <w:t xml:space="preserve"> to pay-out was hampered by irregularities that inundated the pay-out events. These irregularities</w:t>
      </w:r>
      <w:r w:rsidR="00054D21">
        <w:t xml:space="preserve"> </w:t>
      </w:r>
      <w:commentRangeStart w:id="27"/>
      <w:r w:rsidR="00054D21">
        <w:t>was</w:t>
      </w:r>
      <w:commentRangeEnd w:id="27"/>
      <w:r w:rsidR="00472C5A">
        <w:rPr>
          <w:rStyle w:val="CommentReference"/>
        </w:rPr>
        <w:commentReference w:id="27"/>
      </w:r>
      <w:r w:rsidR="004B55B2">
        <w:t xml:space="preserve"> reported to be as a result of irregular availability of funds from the federal government</w:t>
      </w:r>
      <w:r w:rsidR="00054D21">
        <w:t xml:space="preserve">, thus the CCT </w:t>
      </w:r>
      <w:proofErr w:type="spellStart"/>
      <w:r w:rsidR="00054D21">
        <w:t>programme</w:t>
      </w:r>
      <w:proofErr w:type="spellEnd"/>
      <w:r w:rsidR="00054D21">
        <w:t xml:space="preserve"> deviated from its initial design of two installments disbursements to making single disbursements in reality. Many beneficiaries that were eligible </w:t>
      </w:r>
      <w:r w:rsidR="00054D21">
        <w:lastRenderedPageBreak/>
        <w:t xml:space="preserve">for payments were combined to receive their cash transfers in one installment and this obviously led to the overcrowding experienced at pay-out events. </w:t>
      </w:r>
      <w:r w:rsidR="000B6824">
        <w:t>Being that the desk review showed that the CCT disbursements was designed to be conducted in two tranches for each woman, first after registration and secondly after meeting the remaining set of co-responsibilities. However, the</w:t>
      </w:r>
      <w:r w:rsidR="00054D21">
        <w:t xml:space="preserve"> </w:t>
      </w:r>
      <w:r w:rsidR="00372C2F">
        <w:t>single</w:t>
      </w:r>
      <w:r w:rsidR="00054D21">
        <w:t xml:space="preserve"> payment </w:t>
      </w:r>
      <w:r w:rsidR="000B6824">
        <w:t xml:space="preserve">in reality </w:t>
      </w:r>
      <w:r w:rsidR="00054D21">
        <w:t>thwarted the essence for</w:t>
      </w:r>
      <w:r w:rsidR="000B6824">
        <w:t xml:space="preserve"> the design which is to</w:t>
      </w:r>
      <w:r w:rsidR="00054D21">
        <w:t xml:space="preserve"> mak</w:t>
      </w:r>
      <w:r w:rsidR="000B6824">
        <w:t>e</w:t>
      </w:r>
      <w:r w:rsidR="00054D21">
        <w:t xml:space="preserve"> payments prompt</w:t>
      </w:r>
      <w:r w:rsidR="000B6824">
        <w:t xml:space="preserve"> as</w:t>
      </w:r>
      <w:r w:rsidR="00054D21">
        <w:t xml:space="preserve"> prompt cash transfers are necessary to build beneficiaries’ trust and for the cash to serve its intended purpose of reducing healthcare costs for mothers [5]. </w:t>
      </w:r>
      <w:r w:rsidR="0054325E">
        <w:t>The use of</w:t>
      </w:r>
      <w:r w:rsidR="00A02513">
        <w:t xml:space="preserve"> a cash and </w:t>
      </w:r>
      <w:r w:rsidR="00A02513" w:rsidRPr="000F1303">
        <w:t xml:space="preserve">paper based </w:t>
      </w:r>
      <w:r w:rsidR="00A02513">
        <w:t xml:space="preserve">payment </w:t>
      </w:r>
      <w:r w:rsidR="00A02513" w:rsidRPr="000F1303">
        <w:t xml:space="preserve">system </w:t>
      </w:r>
      <w:r w:rsidR="00A02513">
        <w:t xml:space="preserve">which </w:t>
      </w:r>
      <w:r w:rsidR="00A02513" w:rsidRPr="000F1303">
        <w:t xml:space="preserve">to track and pay clients, </w:t>
      </w:r>
      <w:r w:rsidR="00A02513">
        <w:t>[3</w:t>
      </w:r>
      <w:r w:rsidR="00865D10">
        <w:t>5</w:t>
      </w:r>
      <w:r w:rsidR="00A02513">
        <w:t xml:space="preserve">] heightened </w:t>
      </w:r>
      <w:r w:rsidR="0054325E">
        <w:t xml:space="preserve">the need for adequate </w:t>
      </w:r>
      <w:r w:rsidR="00A02513">
        <w:t xml:space="preserve">security for the </w:t>
      </w:r>
      <w:r w:rsidR="0054325E">
        <w:t xml:space="preserve">cash and staff involved in the </w:t>
      </w:r>
      <w:r w:rsidR="00A02513">
        <w:t>pay-out events</w:t>
      </w:r>
      <w:r w:rsidR="0054325E">
        <w:t xml:space="preserve"> and also </w:t>
      </w:r>
      <w:r w:rsidR="0054325E" w:rsidRPr="000F1303">
        <w:t>heighten</w:t>
      </w:r>
      <w:r w:rsidR="0054325E">
        <w:t>s</w:t>
      </w:r>
      <w:r w:rsidR="0054325E" w:rsidRPr="000F1303">
        <w:t xml:space="preserve"> </w:t>
      </w:r>
      <w:r w:rsidR="0054325E">
        <w:t xml:space="preserve">loophole for </w:t>
      </w:r>
      <w:r w:rsidR="0054325E" w:rsidRPr="000F1303">
        <w:t>corruption</w:t>
      </w:r>
      <w:r w:rsidR="0054325E">
        <w:t xml:space="preserve"> or fraud to thrive</w:t>
      </w:r>
      <w:r w:rsidR="00A02513">
        <w:t xml:space="preserve">. </w:t>
      </w:r>
      <w:r w:rsidR="0054325E">
        <w:t>This also indicate that</w:t>
      </w:r>
      <w:r w:rsidR="00A02513">
        <w:t xml:space="preserve"> implementing a CCT </w:t>
      </w:r>
      <w:proofErr w:type="spellStart"/>
      <w:r w:rsidR="00A02513">
        <w:t>programme</w:t>
      </w:r>
      <w:proofErr w:type="spellEnd"/>
      <w:r w:rsidR="00A02513">
        <w:t xml:space="preserve"> involves huge administrative and management costs as several staff are usually needed to successfully execute activities at the different levels of the process.</w:t>
      </w:r>
    </w:p>
    <w:p w:rsidR="0054325E" w:rsidRDefault="0054325E" w:rsidP="00A02513">
      <w:pPr>
        <w:autoSpaceDE w:val="0"/>
        <w:autoSpaceDN w:val="0"/>
        <w:adjustRightInd w:val="0"/>
        <w:spacing w:after="0"/>
      </w:pPr>
    </w:p>
    <w:p w:rsidR="008973D5" w:rsidRPr="00CE631E" w:rsidRDefault="00B10590" w:rsidP="008973D5">
      <w:pPr>
        <w:pStyle w:val="BodyText"/>
        <w:rPr>
          <w:b/>
        </w:rPr>
      </w:pPr>
      <w:bookmarkStart w:id="28" w:name="conclusion"/>
      <w:bookmarkEnd w:id="28"/>
      <w:r>
        <w:rPr>
          <w:b/>
        </w:rPr>
        <w:t>Table 6</w:t>
      </w:r>
      <w:r w:rsidR="008973D5" w:rsidRPr="00CE631E">
        <w:rPr>
          <w:b/>
        </w:rPr>
        <w:t xml:space="preserve">: KEY </w:t>
      </w:r>
      <w:commentRangeStart w:id="29"/>
      <w:r w:rsidR="008973D5" w:rsidRPr="00CE631E">
        <w:rPr>
          <w:b/>
        </w:rPr>
        <w:t>RECOMMENDATIONS</w:t>
      </w:r>
      <w:commentRangeEnd w:id="29"/>
      <w:r w:rsidR="00A311C8">
        <w:rPr>
          <w:rStyle w:val="CommentReference"/>
        </w:rPr>
        <w:commentReference w:id="29"/>
      </w:r>
    </w:p>
    <w:tbl>
      <w:tblPr>
        <w:tblW w:w="5000" w:type="pct"/>
        <w:tblLook w:val="04A0" w:firstRow="1" w:lastRow="0" w:firstColumn="1" w:lastColumn="0" w:noHBand="0" w:noVBand="1"/>
      </w:tblPr>
      <w:tblGrid>
        <w:gridCol w:w="9576"/>
      </w:tblGrid>
      <w:tr w:rsidR="008973D5" w:rsidTr="00357CA7">
        <w:tc>
          <w:tcPr>
            <w:tcW w:w="0" w:type="auto"/>
          </w:tcPr>
          <w:p w:rsidR="008973D5" w:rsidRDefault="008973D5" w:rsidP="00A26E6B">
            <w:pPr>
              <w:pStyle w:val="Compact"/>
            </w:pPr>
            <w:r>
              <w:t xml:space="preserve">1. </w:t>
            </w:r>
            <w:r w:rsidRPr="00283533">
              <w:rPr>
                <w:b/>
              </w:rPr>
              <w:t>CCT Payment Method:</w:t>
            </w:r>
            <w:r>
              <w:t xml:space="preserve"> A prudent and effective payment method that delivers quick and prompt payments should be considered to check time wastage, avoid fraud, build trust and simplify the process for pregnant and nursing. </w:t>
            </w:r>
            <w:r w:rsidR="00A26E6B">
              <w:t>The use of</w:t>
            </w:r>
            <w:r>
              <w:t xml:space="preserve"> </w:t>
            </w:r>
            <w:r w:rsidR="00A26E6B">
              <w:t>electronic</w:t>
            </w:r>
            <w:r>
              <w:t xml:space="preserve"> payment</w:t>
            </w:r>
            <w:r w:rsidR="00A26E6B">
              <w:t xml:space="preserve"> method</w:t>
            </w:r>
            <w:r>
              <w:t>s directly into beneficiary’s bank account</w:t>
            </w:r>
            <w:r w:rsidR="00A26E6B">
              <w:t xml:space="preserve"> will</w:t>
            </w:r>
            <w:r>
              <w:t xml:space="preserve"> reduce overhead costs for hiring several operational staff</w:t>
            </w:r>
            <w:r w:rsidR="00A26E6B">
              <w:t xml:space="preserve"> as well as facilitate the ease of making payments in two installments as planned</w:t>
            </w:r>
            <w:r>
              <w:t>.</w:t>
            </w:r>
          </w:p>
        </w:tc>
      </w:tr>
      <w:tr w:rsidR="008973D5" w:rsidTr="00357CA7">
        <w:tc>
          <w:tcPr>
            <w:tcW w:w="0" w:type="auto"/>
          </w:tcPr>
          <w:p w:rsidR="008973D5" w:rsidRDefault="008973D5" w:rsidP="00357CA7">
            <w:pPr>
              <w:pStyle w:val="Compact"/>
            </w:pPr>
            <w:r>
              <w:t xml:space="preserve">2. </w:t>
            </w:r>
            <w:r w:rsidRPr="00283533">
              <w:rPr>
                <w:b/>
              </w:rPr>
              <w:t>Regular and Consistent Payment Schedule</w:t>
            </w:r>
            <w:r>
              <w:t>: There should be a standard guideline for CCT pay-out events. At least, the women should be paid every quarter to shorten the long wait for payments by beneficiaries and restore their confidence in the system. This means that whatever funds earmarked for CCT from inception should be made available to the implementing unit in a timely manner to ensure effective implementation.</w:t>
            </w:r>
          </w:p>
        </w:tc>
      </w:tr>
      <w:tr w:rsidR="008973D5" w:rsidTr="00357CA7">
        <w:tc>
          <w:tcPr>
            <w:tcW w:w="0" w:type="auto"/>
          </w:tcPr>
          <w:p w:rsidR="008973D5" w:rsidRDefault="008973D5" w:rsidP="00357CA7">
            <w:pPr>
              <w:pStyle w:val="Compact"/>
            </w:pPr>
            <w:r>
              <w:t xml:space="preserve">3. </w:t>
            </w:r>
            <w:r w:rsidRPr="00283533">
              <w:rPr>
                <w:b/>
              </w:rPr>
              <w:t>Monitoring and Evaluation</w:t>
            </w:r>
            <w:r>
              <w:t>: There should be strong monitoring of the CCT Pay-out events to address immediate programmatic gaps during implementation.</w:t>
            </w:r>
          </w:p>
        </w:tc>
      </w:tr>
      <w:tr w:rsidR="008973D5" w:rsidTr="00357CA7">
        <w:tc>
          <w:tcPr>
            <w:tcW w:w="0" w:type="auto"/>
          </w:tcPr>
          <w:p w:rsidR="008973D5" w:rsidRDefault="008973D5" w:rsidP="00357CA7">
            <w:pPr>
              <w:pStyle w:val="Compact"/>
            </w:pPr>
            <w:r>
              <w:t xml:space="preserve">4. </w:t>
            </w:r>
            <w:r w:rsidRPr="00283533">
              <w:rPr>
                <w:b/>
              </w:rPr>
              <w:t>Auditing</w:t>
            </w:r>
            <w:r>
              <w:t>: Periodic auditing and independent evaluation of the CCT registers will enhance compliance and adherence to the set conditions. It will reduce the chances of fraud and enhance the overall credibility of the pay-out system.</w:t>
            </w:r>
          </w:p>
        </w:tc>
      </w:tr>
      <w:tr w:rsidR="008973D5" w:rsidTr="00357CA7">
        <w:tc>
          <w:tcPr>
            <w:tcW w:w="0" w:type="auto"/>
          </w:tcPr>
          <w:p w:rsidR="008973D5" w:rsidRDefault="00C2713A" w:rsidP="00357CA7">
            <w:pPr>
              <w:pStyle w:val="Compact"/>
            </w:pPr>
            <w:r>
              <w:t>5</w:t>
            </w:r>
            <w:r w:rsidR="008973D5">
              <w:t xml:space="preserve">. </w:t>
            </w:r>
            <w:proofErr w:type="spellStart"/>
            <w:r w:rsidR="008973D5" w:rsidRPr="00283533">
              <w:rPr>
                <w:b/>
              </w:rPr>
              <w:t>Programme</w:t>
            </w:r>
            <w:proofErr w:type="spellEnd"/>
            <w:r w:rsidR="008973D5" w:rsidRPr="00283533">
              <w:rPr>
                <w:b/>
              </w:rPr>
              <w:t xml:space="preserve"> Continuation</w:t>
            </w:r>
            <w:r w:rsidR="008973D5">
              <w:t>: All respondents strongly thanked the government for initiating this laudable intervention and at the same time called for its continuation.</w:t>
            </w:r>
          </w:p>
        </w:tc>
      </w:tr>
    </w:tbl>
    <w:p w:rsidR="00045D53" w:rsidRPr="00045D53" w:rsidRDefault="00045D53" w:rsidP="00045D53">
      <w:pPr>
        <w:pStyle w:val="BodyText"/>
        <w:rPr>
          <w:rFonts w:asciiTheme="majorHAnsi" w:eastAsiaTheme="majorEastAsia" w:hAnsiTheme="majorHAnsi" w:cstheme="majorBidi"/>
          <w:b/>
          <w:bCs/>
          <w:color w:val="5B9BD5" w:themeColor="accent1"/>
          <w:sz w:val="32"/>
          <w:szCs w:val="32"/>
        </w:rPr>
      </w:pPr>
      <w:r w:rsidRPr="00045D53">
        <w:rPr>
          <w:rFonts w:asciiTheme="majorHAnsi" w:eastAsiaTheme="majorEastAsia" w:hAnsiTheme="majorHAnsi" w:cstheme="majorBidi"/>
          <w:b/>
          <w:bCs/>
          <w:color w:val="5B9BD5" w:themeColor="accent1"/>
          <w:sz w:val="32"/>
          <w:szCs w:val="32"/>
        </w:rPr>
        <w:t>LIMITATIONS</w:t>
      </w:r>
      <w:r w:rsidR="00C024C3">
        <w:rPr>
          <w:rFonts w:asciiTheme="majorHAnsi" w:eastAsiaTheme="majorEastAsia" w:hAnsiTheme="majorHAnsi" w:cstheme="majorBidi"/>
          <w:b/>
          <w:bCs/>
          <w:color w:val="5B9BD5" w:themeColor="accent1"/>
          <w:sz w:val="32"/>
          <w:szCs w:val="32"/>
        </w:rPr>
        <w:t xml:space="preserve"> OF STUDY</w:t>
      </w:r>
    </w:p>
    <w:p w:rsidR="00045D53" w:rsidRPr="00045D53" w:rsidRDefault="00045D53" w:rsidP="00045D53">
      <w:pPr>
        <w:pStyle w:val="BodyText"/>
      </w:pPr>
      <w:r w:rsidRPr="00045D53">
        <w:t xml:space="preserve">This study was limited by the paucity of literature </w:t>
      </w:r>
      <w:r w:rsidR="00E61B36">
        <w:t xml:space="preserve">on previous CCTs in Nigeria </w:t>
      </w:r>
      <w:r w:rsidRPr="00045D53">
        <w:t xml:space="preserve">to support the desk review, though all literature available was considered. Also, the inability to assess more beneficiaries from all 37 facilities following security issues and inaccessibility of some terrain were limiting. However the 29 facilities and 314 beneficiaries assessed still gave a fair assessment of all participating states covered. </w:t>
      </w:r>
    </w:p>
    <w:p w:rsidR="008973D5" w:rsidRDefault="008973D5" w:rsidP="008973D5">
      <w:pPr>
        <w:pStyle w:val="Heading2"/>
      </w:pPr>
      <w:r>
        <w:lastRenderedPageBreak/>
        <w:t>CONCLUSION</w:t>
      </w:r>
    </w:p>
    <w:p w:rsidR="000B40E8" w:rsidRDefault="000B40E8" w:rsidP="000B40E8">
      <w:pPr>
        <w:autoSpaceDE w:val="0"/>
        <w:autoSpaceDN w:val="0"/>
        <w:adjustRightInd w:val="0"/>
        <w:spacing w:after="0"/>
      </w:pPr>
      <w:commentRangeStart w:id="30"/>
      <w:r>
        <w:t>Obviously</w:t>
      </w:r>
      <w:commentRangeEnd w:id="30"/>
      <w:r w:rsidR="00A311C8">
        <w:rPr>
          <w:rStyle w:val="CommentReference"/>
        </w:rPr>
        <w:commentReference w:id="30"/>
      </w:r>
      <w:r>
        <w:t>, the major strength of the SURE-P MCH CCT was its design to complement other supply-side interventions, as this helped to deepen health-seeking behavior, as the free services provided at the facility served as a motivating factor. Evidence shows that for a demand-side intervention such as CCT to be successful, concurrent supply-side inputs should be available [3</w:t>
      </w:r>
      <w:r w:rsidR="00386A16">
        <w:t>4</w:t>
      </w:r>
      <w:r>
        <w:t xml:space="preserve">]. </w:t>
      </w:r>
      <w:r w:rsidR="00B412E9">
        <w:t xml:space="preserve">Despite demonstrating a robust design of the CCT </w:t>
      </w:r>
      <w:proofErr w:type="spellStart"/>
      <w:r w:rsidR="00B412E9">
        <w:t>programme</w:t>
      </w:r>
      <w:proofErr w:type="spellEnd"/>
      <w:r w:rsidR="00B412E9">
        <w:t xml:space="preserve">, its operational processes were marred with numerous challenges including: delay in cash disbursements to qualified beneficiaries owing to delayed replenishment from the federal government; omission of eligible participants names from the pay-roll; irregularities on the pay-roll; over-crowding of pay-out events leading to long waiting times and lack of access to referral facilities in case of emergencies or obstetric complications. Also, </w:t>
      </w:r>
      <w:r>
        <w:t xml:space="preserve">the CCT pay-outs lacked a clear monitoring framework that would have helped the </w:t>
      </w:r>
      <w:proofErr w:type="spellStart"/>
      <w:r>
        <w:t>programme</w:t>
      </w:r>
      <w:proofErr w:type="spellEnd"/>
      <w:r>
        <w:t xml:space="preserve"> to make necessary process amendments to improve outcome of the pay-out events. This </w:t>
      </w:r>
      <w:r>
        <w:rPr>
          <w:rFonts w:cs="Arial"/>
        </w:rPr>
        <w:t xml:space="preserve">conspicuous </w:t>
      </w:r>
      <w:r>
        <w:t xml:space="preserve">lack of </w:t>
      </w:r>
      <w:r>
        <w:rPr>
          <w:rFonts w:cs="Arial"/>
        </w:rPr>
        <w:t xml:space="preserve">(M&amp;E) mechanisms </w:t>
      </w:r>
      <w:r w:rsidR="00B412E9">
        <w:rPr>
          <w:rFonts w:cs="Arial"/>
        </w:rPr>
        <w:t>is similar to</w:t>
      </w:r>
      <w:r>
        <w:rPr>
          <w:rFonts w:cs="Arial"/>
        </w:rPr>
        <w:t xml:space="preserve"> COPE’s implementation </w:t>
      </w:r>
      <w:r w:rsidR="00B412E9" w:rsidRPr="00AB68D9">
        <w:t>which was also inundated with</w:t>
      </w:r>
      <w:r w:rsidR="00B412E9">
        <w:t xml:space="preserve"> several service delivery challenges that undermined </w:t>
      </w:r>
      <w:proofErr w:type="spellStart"/>
      <w:r w:rsidR="00B412E9" w:rsidRPr="0064596C">
        <w:t>programme</w:t>
      </w:r>
      <w:proofErr w:type="spellEnd"/>
      <w:r w:rsidR="00B412E9" w:rsidRPr="0064596C">
        <w:t xml:space="preserve"> delivery </w:t>
      </w:r>
      <w:r w:rsidR="00B412E9">
        <w:t xml:space="preserve">and </w:t>
      </w:r>
      <w:r w:rsidR="00B412E9" w:rsidRPr="0064596C">
        <w:t>effectiveness</w:t>
      </w:r>
      <w:r w:rsidR="00B412E9">
        <w:t xml:space="preserve"> </w:t>
      </w:r>
      <w:r>
        <w:rPr>
          <w:rFonts w:cs="Arial"/>
        </w:rPr>
        <w:t>[15]. M</w:t>
      </w:r>
      <w:r>
        <w:t xml:space="preserve">onitoring </w:t>
      </w:r>
      <w:proofErr w:type="spellStart"/>
      <w:r>
        <w:t>programme</w:t>
      </w:r>
      <w:proofErr w:type="spellEnd"/>
      <w:r>
        <w:t xml:space="preserve"> uptake and performance in each implementing cluster is essential to track and address programmatic challenges which may be the result of operational barriers [5]. </w:t>
      </w:r>
    </w:p>
    <w:p w:rsidR="008973D5" w:rsidRDefault="00AB68D9" w:rsidP="008973D5">
      <w:pPr>
        <w:pStyle w:val="FirstParagraph"/>
      </w:pPr>
      <w:r>
        <w:t>T</w:t>
      </w:r>
      <w:r w:rsidR="008973D5">
        <w:t>his study suggest</w:t>
      </w:r>
      <w:r>
        <w:t>s</w:t>
      </w:r>
      <w:r w:rsidR="008973D5">
        <w:t xml:space="preserve"> that the CCT pilot scheme motivated positive behavior change towards </w:t>
      </w:r>
      <w:commentRangeStart w:id="31"/>
      <w:r w:rsidR="008973D5">
        <w:t>utilization</w:t>
      </w:r>
      <w:commentRangeEnd w:id="31"/>
      <w:r w:rsidR="00A311C8">
        <w:rPr>
          <w:rStyle w:val="CommentReference"/>
        </w:rPr>
        <w:commentReference w:id="31"/>
      </w:r>
      <w:r w:rsidR="008973D5">
        <w:t xml:space="preserve"> of MNCH services as affirmed by previous studies [3</w:t>
      </w:r>
      <w:r w:rsidR="00386A16">
        <w:t>6</w:t>
      </w:r>
      <w:r w:rsidR="008973D5">
        <w:t xml:space="preserve">, </w:t>
      </w:r>
      <w:r w:rsidR="00386A16">
        <w:t>12</w:t>
      </w:r>
      <w:r w:rsidR="008973D5">
        <w:t>]. However,</w:t>
      </w:r>
      <w:r>
        <w:t xml:space="preserve"> t</w:t>
      </w:r>
      <w:r w:rsidR="008973D5">
        <w:t xml:space="preserve">his paper identified key challenges that marred the operational efficacy and effectiveness of the CCT </w:t>
      </w:r>
      <w:proofErr w:type="spellStart"/>
      <w:r w:rsidR="008973D5">
        <w:t>programme</w:t>
      </w:r>
      <w:proofErr w:type="spellEnd"/>
      <w:r w:rsidR="008973D5">
        <w:t xml:space="preserve"> but at the same time provided key recommendations to mitigate such challenges in the future. Future CCT </w:t>
      </w:r>
      <w:proofErr w:type="spellStart"/>
      <w:r w:rsidR="008973D5">
        <w:t>programmes</w:t>
      </w:r>
      <w:proofErr w:type="spellEnd"/>
      <w:r w:rsidR="008973D5">
        <w:t xml:space="preserve"> should understudy the SWOT analysis presented in this paper to guide future interventions in Nigeria and beyond.</w:t>
      </w:r>
    </w:p>
    <w:p w:rsidR="008973D5" w:rsidRDefault="008973D5" w:rsidP="008973D5">
      <w:pPr>
        <w:autoSpaceDE w:val="0"/>
        <w:autoSpaceDN w:val="0"/>
        <w:adjustRightInd w:val="0"/>
        <w:spacing w:after="0"/>
        <w:rPr>
          <w:rFonts w:cs="AdvTTb5929f4c"/>
          <w:b/>
        </w:rPr>
      </w:pPr>
    </w:p>
    <w:p w:rsidR="008973D5" w:rsidRDefault="008973D5" w:rsidP="008973D5">
      <w:pPr>
        <w:pStyle w:val="BodyText"/>
      </w:pPr>
    </w:p>
    <w:p w:rsidR="008973D5" w:rsidRDefault="008973D5" w:rsidP="008973D5">
      <w:pPr>
        <w:autoSpaceDE w:val="0"/>
        <w:autoSpaceDN w:val="0"/>
        <w:adjustRightInd w:val="0"/>
        <w:spacing w:after="0"/>
        <w:rPr>
          <w:rFonts w:cs="AdvTTb5929f4c"/>
          <w:b/>
        </w:rPr>
      </w:pPr>
      <w:r w:rsidRPr="00B47E6A">
        <w:rPr>
          <w:rFonts w:cs="AdvTTb5929f4c"/>
          <w:b/>
        </w:rPr>
        <w:t>Abbreviations</w:t>
      </w:r>
    </w:p>
    <w:p w:rsidR="008973D5" w:rsidRDefault="008973D5" w:rsidP="008973D5">
      <w:pPr>
        <w:autoSpaceDE w:val="0"/>
        <w:autoSpaceDN w:val="0"/>
        <w:adjustRightInd w:val="0"/>
        <w:spacing w:after="0"/>
        <w:rPr>
          <w:rFonts w:cs="AdvTTb5929f4c"/>
        </w:rPr>
      </w:pPr>
      <w:r w:rsidRPr="007D7CC3">
        <w:rPr>
          <w:rFonts w:cs="AdvTTb5929f4c"/>
        </w:rPr>
        <w:t xml:space="preserve">ANC: Antenatal care; CCT: Conditional cash transfer; </w:t>
      </w:r>
      <w:r>
        <w:rPr>
          <w:rFonts w:cs="AdvTTb5929f4c"/>
        </w:rPr>
        <w:t xml:space="preserve">CHEWs: Community health extension workers; COPE: </w:t>
      </w:r>
      <w:r>
        <w:t>Care of the People;</w:t>
      </w:r>
      <w:r>
        <w:rPr>
          <w:rFonts w:cs="AdvTTb5929f4c"/>
        </w:rPr>
        <w:t xml:space="preserve"> </w:t>
      </w:r>
      <w:r w:rsidRPr="007D7CC3">
        <w:rPr>
          <w:rFonts w:cs="AdvTTb5929f4c"/>
        </w:rPr>
        <w:t>FCT: Federal capital</w:t>
      </w:r>
      <w:r>
        <w:rPr>
          <w:rFonts w:cs="AdvTTb5929f4c"/>
        </w:rPr>
        <w:t xml:space="preserve"> </w:t>
      </w:r>
      <w:r w:rsidRPr="007D7CC3">
        <w:rPr>
          <w:rFonts w:cs="AdvTTb5929f4c"/>
        </w:rPr>
        <w:t xml:space="preserve">territory; </w:t>
      </w:r>
      <w:r>
        <w:t>MCH</w:t>
      </w:r>
      <w:r>
        <w:rPr>
          <w:rFonts w:cs="AdvTTb5929f4c"/>
        </w:rPr>
        <w:t xml:space="preserve">: </w:t>
      </w:r>
      <w:r>
        <w:t>Maternal and Child Health;</w:t>
      </w:r>
      <w:r w:rsidR="00763918">
        <w:t xml:space="preserve"> MDG: Millennium development goals;</w:t>
      </w:r>
      <w:r>
        <w:t xml:space="preserve"> </w:t>
      </w:r>
      <w:r w:rsidRPr="007D7CC3">
        <w:rPr>
          <w:rFonts w:cs="AdvTTb5929f4c"/>
        </w:rPr>
        <w:t>M &amp; E: Monitoring and evaluation; MNCH: Maternal, neonatal and</w:t>
      </w:r>
      <w:r>
        <w:rPr>
          <w:rFonts w:cs="AdvTTb5929f4c"/>
        </w:rPr>
        <w:t xml:space="preserve"> </w:t>
      </w:r>
      <w:r w:rsidRPr="007D7CC3">
        <w:rPr>
          <w:rFonts w:cs="AdvTTb5929f4c"/>
        </w:rPr>
        <w:t>child health; MSS: Midwives service scheme; PHC: Primary healthcare facility;</w:t>
      </w:r>
      <w:r w:rsidRPr="00820A8B">
        <w:t xml:space="preserve"> </w:t>
      </w:r>
      <w:r>
        <w:t xml:space="preserve">PIM: </w:t>
      </w:r>
      <w:proofErr w:type="spellStart"/>
      <w:r>
        <w:t>programme</w:t>
      </w:r>
      <w:proofErr w:type="spellEnd"/>
      <w:r>
        <w:t xml:space="preserve"> implementation manual; </w:t>
      </w:r>
      <w:r w:rsidRPr="007D7CC3">
        <w:rPr>
          <w:rFonts w:cs="AdvTTb5929f4c"/>
        </w:rPr>
        <w:t xml:space="preserve"> PIU: Project implementation unit; </w:t>
      </w:r>
      <w:r>
        <w:t xml:space="preserve">R is an open source statistical package developed by The R Foundation for Statistical Computing, </w:t>
      </w:r>
      <w:r w:rsidRPr="007D7CC3">
        <w:rPr>
          <w:rFonts w:cs="AdvTTb5929f4c"/>
        </w:rPr>
        <w:t>SBA: Skilled</w:t>
      </w:r>
      <w:r>
        <w:rPr>
          <w:rFonts w:cs="AdvTTb5929f4c"/>
        </w:rPr>
        <w:t xml:space="preserve"> </w:t>
      </w:r>
      <w:r w:rsidRPr="007D7CC3">
        <w:rPr>
          <w:rFonts w:cs="AdvTTb5929f4c"/>
        </w:rPr>
        <w:t xml:space="preserve">birth attendance; </w:t>
      </w:r>
      <w:r w:rsidR="00763918">
        <w:rPr>
          <w:rFonts w:cs="AdvTTb5929f4c"/>
        </w:rPr>
        <w:t xml:space="preserve">SSC: State Steering Committee;  SRA: State Readiness Assessment; </w:t>
      </w:r>
      <w:r>
        <w:rPr>
          <w:rFonts w:cs="AdvTTb5929f4c"/>
        </w:rPr>
        <w:t xml:space="preserve">SURE-P: </w:t>
      </w:r>
      <w:r>
        <w:t xml:space="preserve">Subsidy Reinvestment and Empowerment </w:t>
      </w:r>
      <w:proofErr w:type="spellStart"/>
      <w:r>
        <w:t>Programme</w:t>
      </w:r>
      <w:proofErr w:type="spellEnd"/>
      <w:r>
        <w:t>;</w:t>
      </w:r>
      <w:r w:rsidRPr="00747D3E">
        <w:rPr>
          <w:rFonts w:cs="AdvTTb5929f4c"/>
        </w:rPr>
        <w:t xml:space="preserve"> </w:t>
      </w:r>
      <w:r>
        <w:rPr>
          <w:rFonts w:cs="AdvTTb5929f4c"/>
        </w:rPr>
        <w:t>SWOT: Strength, weaknesses, opportunities and threats; VHW: Village health worker; WDC: Ward Development Committee</w:t>
      </w:r>
    </w:p>
    <w:p w:rsidR="008973D5" w:rsidRDefault="008973D5" w:rsidP="008973D5">
      <w:pPr>
        <w:autoSpaceDE w:val="0"/>
        <w:autoSpaceDN w:val="0"/>
        <w:adjustRightInd w:val="0"/>
        <w:spacing w:after="0"/>
        <w:rPr>
          <w:rFonts w:cs="AdvTTb5929f4c"/>
        </w:rPr>
      </w:pPr>
    </w:p>
    <w:p w:rsidR="008973D5" w:rsidRDefault="008973D5" w:rsidP="008973D5">
      <w:pPr>
        <w:autoSpaceDE w:val="0"/>
        <w:autoSpaceDN w:val="0"/>
        <w:adjustRightInd w:val="0"/>
        <w:spacing w:after="0"/>
        <w:rPr>
          <w:rFonts w:cs="AdvTT99c4c969"/>
          <w:b/>
        </w:rPr>
      </w:pPr>
    </w:p>
    <w:p w:rsidR="008973D5" w:rsidRDefault="008973D5" w:rsidP="008973D5">
      <w:pPr>
        <w:autoSpaceDE w:val="0"/>
        <w:autoSpaceDN w:val="0"/>
        <w:adjustRightInd w:val="0"/>
        <w:spacing w:after="0"/>
        <w:rPr>
          <w:rFonts w:cs="AdvTT99c4c969"/>
          <w:b/>
        </w:rPr>
      </w:pPr>
      <w:r>
        <w:rPr>
          <w:rFonts w:cs="AdvTT99c4c969"/>
          <w:b/>
        </w:rPr>
        <w:t>Declarations</w:t>
      </w:r>
    </w:p>
    <w:p w:rsidR="008973D5" w:rsidRDefault="008973D5" w:rsidP="008973D5">
      <w:pPr>
        <w:autoSpaceDE w:val="0"/>
        <w:autoSpaceDN w:val="0"/>
        <w:adjustRightInd w:val="0"/>
        <w:spacing w:after="0"/>
        <w:rPr>
          <w:rFonts w:cs="AdvTT99c4c969"/>
          <w:b/>
        </w:rPr>
      </w:pPr>
    </w:p>
    <w:p w:rsidR="008973D5" w:rsidRDefault="008973D5" w:rsidP="008973D5">
      <w:pPr>
        <w:pStyle w:val="BodyText"/>
      </w:pPr>
      <w:r>
        <w:rPr>
          <w:b/>
        </w:rPr>
        <w:t>Ethical approval and consent to participate</w:t>
      </w:r>
    </w:p>
    <w:p w:rsidR="008973D5" w:rsidRDefault="008973D5" w:rsidP="008973D5">
      <w:pPr>
        <w:pStyle w:val="BodyText"/>
      </w:pPr>
      <w:r>
        <w:lastRenderedPageBreak/>
        <w:t>The assessment was initiated by SURE-P MCH management with the approval of the eight participating states and the study protocol was approved by SURE-P MCH ethics committee and United Nations Population Fund (UNFPA) in Nigeria. Randomly selected participants were recruited strictly on their voluntary permission through written informed consent. The study information was carefully explained to participants using the participant’s information sheet which preceded the signing of the informed consent forms. Confidentiality of each participant was maintained during and after data collection as coded responses are held on secure computers only and not disclosed to anyone outside the study team.</w:t>
      </w:r>
    </w:p>
    <w:p w:rsidR="008973D5" w:rsidRDefault="008973D5" w:rsidP="008973D5">
      <w:pPr>
        <w:pStyle w:val="BodyText"/>
        <w:rPr>
          <w:b/>
        </w:rPr>
      </w:pPr>
    </w:p>
    <w:p w:rsidR="008973D5" w:rsidRDefault="008973D5" w:rsidP="008973D5">
      <w:pPr>
        <w:pStyle w:val="BodyText"/>
        <w:rPr>
          <w:b/>
        </w:rPr>
      </w:pPr>
      <w:r>
        <w:rPr>
          <w:b/>
        </w:rPr>
        <w:t>Consent for publication</w:t>
      </w:r>
    </w:p>
    <w:p w:rsidR="008973D5" w:rsidRPr="00F14017" w:rsidRDefault="008973D5" w:rsidP="008973D5">
      <w:pPr>
        <w:pStyle w:val="BodyText"/>
      </w:pPr>
      <w:r>
        <w:t>Not Applicable</w:t>
      </w:r>
    </w:p>
    <w:p w:rsidR="008973D5" w:rsidRDefault="008973D5" w:rsidP="008973D5">
      <w:pPr>
        <w:pStyle w:val="BodyText"/>
        <w:rPr>
          <w:b/>
        </w:rPr>
      </w:pPr>
      <w:r>
        <w:rPr>
          <w:b/>
        </w:rPr>
        <w:t>Availability of data and materials</w:t>
      </w:r>
    </w:p>
    <w:p w:rsidR="008973D5" w:rsidRPr="00FC06D8" w:rsidRDefault="008973D5" w:rsidP="008973D5">
      <w:pPr>
        <w:autoSpaceDE w:val="0"/>
        <w:autoSpaceDN w:val="0"/>
        <w:adjustRightInd w:val="0"/>
        <w:spacing w:after="0"/>
        <w:rPr>
          <w:rFonts w:cs="AdvTT99c4c969"/>
        </w:rPr>
      </w:pPr>
      <w:r w:rsidRPr="00FC06D8">
        <w:rPr>
          <w:rFonts w:cs="AdvTT99c4c969"/>
        </w:rPr>
        <w:t>The data</w:t>
      </w:r>
      <w:r>
        <w:rPr>
          <w:rFonts w:cs="AdvTT99c4c969"/>
        </w:rPr>
        <w:t xml:space="preserve"> and materials</w:t>
      </w:r>
      <w:r w:rsidRPr="00FC06D8">
        <w:rPr>
          <w:rFonts w:cs="AdvTT99c4c969"/>
        </w:rPr>
        <w:t xml:space="preserve"> for this </w:t>
      </w:r>
      <w:r>
        <w:rPr>
          <w:rFonts w:cs="AdvTT99c4c969"/>
        </w:rPr>
        <w:t>assessment</w:t>
      </w:r>
      <w:r w:rsidRPr="00FC06D8">
        <w:rPr>
          <w:rFonts w:cs="AdvTT99c4c969"/>
        </w:rPr>
        <w:t xml:space="preserve"> are available from the corresponding</w:t>
      </w:r>
    </w:p>
    <w:p w:rsidR="008973D5" w:rsidRPr="008408FB" w:rsidRDefault="008973D5" w:rsidP="008973D5">
      <w:pPr>
        <w:autoSpaceDE w:val="0"/>
        <w:autoSpaceDN w:val="0"/>
        <w:adjustRightInd w:val="0"/>
        <w:spacing w:after="0"/>
        <w:rPr>
          <w:rFonts w:cs="AdvTT99c4c969"/>
        </w:rPr>
      </w:pPr>
      <w:proofErr w:type="gramStart"/>
      <w:r w:rsidRPr="00FC06D8">
        <w:rPr>
          <w:rFonts w:cs="AdvTT99c4c969"/>
        </w:rPr>
        <w:t>author</w:t>
      </w:r>
      <w:proofErr w:type="gramEnd"/>
      <w:r w:rsidRPr="00FC06D8">
        <w:rPr>
          <w:rFonts w:cs="AdvTT99c4c969"/>
        </w:rPr>
        <w:t xml:space="preserve"> on request.</w:t>
      </w:r>
      <w:r w:rsidRPr="008408FB">
        <w:rPr>
          <w:rFonts w:cs="AdvTT99c4c969"/>
        </w:rPr>
        <w:t xml:space="preserve"> </w:t>
      </w:r>
    </w:p>
    <w:p w:rsidR="008973D5" w:rsidRDefault="008973D5" w:rsidP="008973D5">
      <w:pPr>
        <w:autoSpaceDE w:val="0"/>
        <w:autoSpaceDN w:val="0"/>
        <w:adjustRightInd w:val="0"/>
        <w:spacing w:after="0"/>
      </w:pPr>
    </w:p>
    <w:p w:rsidR="008973D5" w:rsidRPr="001675FC" w:rsidRDefault="008973D5" w:rsidP="008973D5">
      <w:pPr>
        <w:autoSpaceDE w:val="0"/>
        <w:autoSpaceDN w:val="0"/>
        <w:adjustRightInd w:val="0"/>
        <w:spacing w:after="0"/>
        <w:rPr>
          <w:rFonts w:cs="AdvTT99c4c969"/>
          <w:b/>
        </w:rPr>
      </w:pPr>
      <w:r w:rsidRPr="001675FC">
        <w:rPr>
          <w:rFonts w:cs="AdvTT99c4c969"/>
          <w:b/>
        </w:rPr>
        <w:t>Competing interests</w:t>
      </w:r>
    </w:p>
    <w:p w:rsidR="008973D5" w:rsidRDefault="008973D5" w:rsidP="008973D5">
      <w:pPr>
        <w:autoSpaceDE w:val="0"/>
        <w:autoSpaceDN w:val="0"/>
        <w:adjustRightInd w:val="0"/>
        <w:spacing w:after="0"/>
        <w:rPr>
          <w:rFonts w:cs="AdvTTb5929f4c"/>
        </w:rPr>
      </w:pPr>
      <w:r w:rsidRPr="001675FC">
        <w:rPr>
          <w:rFonts w:cs="AdvTTb5929f4c"/>
        </w:rPr>
        <w:t>The authors have declared that no competing interests exist</w:t>
      </w:r>
      <w:r>
        <w:rPr>
          <w:rFonts w:cs="AdvTTb5929f4c"/>
        </w:rPr>
        <w:t xml:space="preserve"> whatsoever and n</w:t>
      </w:r>
      <w:r w:rsidRPr="001675FC">
        <w:rPr>
          <w:rFonts w:cs="AdvTTb5929f4c"/>
        </w:rPr>
        <w:t>o funding was received for writing this manuscript.</w:t>
      </w:r>
    </w:p>
    <w:p w:rsidR="008973D5" w:rsidRPr="001675FC" w:rsidRDefault="008973D5" w:rsidP="008973D5">
      <w:pPr>
        <w:autoSpaceDE w:val="0"/>
        <w:autoSpaceDN w:val="0"/>
        <w:adjustRightInd w:val="0"/>
        <w:spacing w:after="0"/>
        <w:rPr>
          <w:rFonts w:cs="AdvTTb5929f4c"/>
        </w:rPr>
      </w:pPr>
    </w:p>
    <w:p w:rsidR="008973D5" w:rsidRDefault="008973D5" w:rsidP="008973D5">
      <w:pPr>
        <w:autoSpaceDE w:val="0"/>
        <w:autoSpaceDN w:val="0"/>
        <w:adjustRightInd w:val="0"/>
        <w:spacing w:after="0"/>
        <w:rPr>
          <w:rFonts w:cs="AdvTT99c4c969"/>
          <w:b/>
        </w:rPr>
      </w:pPr>
      <w:r>
        <w:rPr>
          <w:rFonts w:cs="AdvTT99c4c969"/>
          <w:b/>
        </w:rPr>
        <w:t xml:space="preserve">Funding </w:t>
      </w:r>
    </w:p>
    <w:p w:rsidR="008973D5" w:rsidRDefault="008973D5" w:rsidP="008973D5">
      <w:pPr>
        <w:autoSpaceDE w:val="0"/>
        <w:autoSpaceDN w:val="0"/>
        <w:adjustRightInd w:val="0"/>
        <w:spacing w:after="0"/>
        <w:rPr>
          <w:rFonts w:cs="AdvTT99c4c969"/>
          <w:b/>
        </w:rPr>
      </w:pPr>
      <w:r>
        <w:t xml:space="preserve">United Nations Population Fund (UNFPA) in Nigeria provided funding support for the assessment however, did </w:t>
      </w:r>
      <w:r w:rsidRPr="00FC06D8">
        <w:t>not play</w:t>
      </w:r>
      <w:r>
        <w:t xml:space="preserve"> </w:t>
      </w:r>
      <w:r w:rsidRPr="00FC06D8">
        <w:t xml:space="preserve">any role in the design of the </w:t>
      </w:r>
      <w:r>
        <w:t>assessment</w:t>
      </w:r>
      <w:r w:rsidRPr="00FC06D8">
        <w:t>, data collection, analysis, interpretation of</w:t>
      </w:r>
      <w:r>
        <w:t xml:space="preserve"> </w:t>
      </w:r>
      <w:r w:rsidRPr="00FC06D8">
        <w:t xml:space="preserve">results </w:t>
      </w:r>
      <w:r>
        <w:t>as well as</w:t>
      </w:r>
      <w:r w:rsidRPr="00FC06D8">
        <w:t xml:space="preserve"> writing the manuscript.</w:t>
      </w:r>
      <w:r>
        <w:t xml:space="preserve"> No funding at all was received for the development of the manuscript.</w:t>
      </w:r>
    </w:p>
    <w:p w:rsidR="008973D5" w:rsidRDefault="008973D5" w:rsidP="008973D5">
      <w:pPr>
        <w:autoSpaceDE w:val="0"/>
        <w:autoSpaceDN w:val="0"/>
        <w:adjustRightInd w:val="0"/>
        <w:spacing w:after="0"/>
        <w:rPr>
          <w:rFonts w:cs="AdvTT99c4c969"/>
          <w:b/>
        </w:rPr>
      </w:pPr>
    </w:p>
    <w:p w:rsidR="008973D5" w:rsidRPr="00D94384" w:rsidRDefault="008973D5" w:rsidP="008973D5">
      <w:pPr>
        <w:autoSpaceDE w:val="0"/>
        <w:autoSpaceDN w:val="0"/>
        <w:adjustRightInd w:val="0"/>
        <w:spacing w:after="0"/>
        <w:rPr>
          <w:rFonts w:cs="AdvTT99c4c969"/>
          <w:b/>
        </w:rPr>
      </w:pPr>
      <w:r w:rsidRPr="00D94384">
        <w:rPr>
          <w:rFonts w:cs="AdvTT99c4c969"/>
          <w:b/>
        </w:rPr>
        <w:t>Authors</w:t>
      </w:r>
      <w:r w:rsidRPr="00D94384">
        <w:rPr>
          <w:rFonts w:cs="AdvTT99c4c969+20"/>
          <w:b/>
        </w:rPr>
        <w:t xml:space="preserve">’ </w:t>
      </w:r>
      <w:r w:rsidRPr="00D94384">
        <w:rPr>
          <w:rFonts w:cs="AdvTT99c4c969"/>
          <w:b/>
        </w:rPr>
        <w:t>contributions</w:t>
      </w:r>
    </w:p>
    <w:p w:rsidR="008973D5" w:rsidRDefault="008973D5" w:rsidP="008973D5">
      <w:pPr>
        <w:autoSpaceDE w:val="0"/>
        <w:autoSpaceDN w:val="0"/>
        <w:adjustRightInd w:val="0"/>
        <w:spacing w:after="0"/>
        <w:rPr>
          <w:rFonts w:cs="AdvTTb5929f4c"/>
        </w:rPr>
      </w:pPr>
      <w:r w:rsidRPr="001675FC">
        <w:rPr>
          <w:rFonts w:cs="AdvTTb5929f4c"/>
        </w:rPr>
        <w:t xml:space="preserve">The </w:t>
      </w:r>
      <w:r>
        <w:rPr>
          <w:rFonts w:cs="AdvTTb5929f4c"/>
        </w:rPr>
        <w:t>assessment was led</w:t>
      </w:r>
      <w:r w:rsidRPr="001675FC">
        <w:rPr>
          <w:rFonts w:cs="AdvTTb5929f4c"/>
        </w:rPr>
        <w:t xml:space="preserve"> by </w:t>
      </w:r>
      <w:r>
        <w:rPr>
          <w:rFonts w:cs="AdvTTb5929f4c"/>
        </w:rPr>
        <w:t>CO while VO led the data management processes throughout the assessment and UO managed the SURE P MCH Project. C</w:t>
      </w:r>
      <w:r w:rsidRPr="001675FC">
        <w:rPr>
          <w:rFonts w:cs="AdvTTb5929f4c"/>
        </w:rPr>
        <w:t>O wrote the first</w:t>
      </w:r>
      <w:r>
        <w:rPr>
          <w:rFonts w:cs="AdvTTb5929f4c"/>
        </w:rPr>
        <w:t xml:space="preserve"> draft of the article manuscript while VO wrote up the data analysis and presentations section and UO</w:t>
      </w:r>
      <w:r w:rsidRPr="001675FC">
        <w:rPr>
          <w:rFonts w:cs="AdvTTb5929f4c"/>
        </w:rPr>
        <w:t xml:space="preserve"> made further revisions to the text. All</w:t>
      </w:r>
      <w:r>
        <w:rPr>
          <w:rFonts w:cs="AdvTTb5929f4c"/>
        </w:rPr>
        <w:t xml:space="preserve"> </w:t>
      </w:r>
      <w:r w:rsidRPr="001675FC">
        <w:rPr>
          <w:rFonts w:cs="AdvTTb5929f4c"/>
        </w:rPr>
        <w:t>authors met I</w:t>
      </w:r>
      <w:r>
        <w:rPr>
          <w:rFonts w:cs="AdvTTb5929f4c"/>
        </w:rPr>
        <w:t>CMJE criteria for authorship,</w:t>
      </w:r>
      <w:r w:rsidRPr="001675FC">
        <w:rPr>
          <w:rFonts w:cs="AdvTTb5929f4c"/>
        </w:rPr>
        <w:t xml:space="preserve"> read and approved the final</w:t>
      </w:r>
      <w:r>
        <w:rPr>
          <w:rFonts w:cs="AdvTTb5929f4c"/>
        </w:rPr>
        <w:t xml:space="preserve"> </w:t>
      </w:r>
      <w:r w:rsidRPr="001675FC">
        <w:rPr>
          <w:rFonts w:cs="AdvTTb5929f4c"/>
        </w:rPr>
        <w:t>manuscript.</w:t>
      </w:r>
    </w:p>
    <w:p w:rsidR="008973D5" w:rsidRDefault="008973D5" w:rsidP="008973D5">
      <w:pPr>
        <w:autoSpaceDE w:val="0"/>
        <w:autoSpaceDN w:val="0"/>
        <w:adjustRightInd w:val="0"/>
        <w:spacing w:after="0"/>
        <w:rPr>
          <w:rFonts w:cs="AdvTTb5929f4c"/>
        </w:rPr>
      </w:pPr>
    </w:p>
    <w:p w:rsidR="008973D5" w:rsidRDefault="008973D5" w:rsidP="008973D5">
      <w:pPr>
        <w:autoSpaceDE w:val="0"/>
        <w:autoSpaceDN w:val="0"/>
        <w:adjustRightInd w:val="0"/>
        <w:spacing w:after="0"/>
        <w:rPr>
          <w:rFonts w:cs="AdvTT99c4c969"/>
          <w:b/>
        </w:rPr>
      </w:pPr>
      <w:r>
        <w:rPr>
          <w:rFonts w:cs="AdvTT99c4c969"/>
          <w:b/>
        </w:rPr>
        <w:t>Acknowledgement</w:t>
      </w:r>
    </w:p>
    <w:p w:rsidR="008973D5" w:rsidRDefault="008973D5" w:rsidP="008973D5">
      <w:pPr>
        <w:autoSpaceDE w:val="0"/>
        <w:autoSpaceDN w:val="0"/>
        <w:adjustRightInd w:val="0"/>
        <w:spacing w:after="0"/>
      </w:pPr>
      <w:r>
        <w:rPr>
          <w:rFonts w:cs="AdvTTb5929f4c"/>
        </w:rPr>
        <w:t xml:space="preserve">We recognize the immense contribution of former, </w:t>
      </w:r>
      <w:proofErr w:type="spellStart"/>
      <w:r>
        <w:rPr>
          <w:rFonts w:cs="AdvTTb5929f4c"/>
        </w:rPr>
        <w:t>Honourable</w:t>
      </w:r>
      <w:proofErr w:type="spellEnd"/>
      <w:r>
        <w:rPr>
          <w:rFonts w:cs="AdvTTb5929f4c"/>
        </w:rPr>
        <w:t xml:space="preserve">, </w:t>
      </w:r>
      <w:r w:rsidRPr="00715A20">
        <w:rPr>
          <w:rFonts w:cs="AdvTTb5929f4c"/>
        </w:rPr>
        <w:t>Minister of</w:t>
      </w:r>
      <w:r>
        <w:rPr>
          <w:rFonts w:cs="AdvTTb5929f4c"/>
        </w:rPr>
        <w:t xml:space="preserve"> State for Health (</w:t>
      </w:r>
      <w:r w:rsidRPr="00715A20">
        <w:rPr>
          <w:rFonts w:cs="AdvTTb5929f4c"/>
        </w:rPr>
        <w:t>HMSH</w:t>
      </w:r>
      <w:r>
        <w:rPr>
          <w:rFonts w:cs="AdvTTb5929f4c"/>
        </w:rPr>
        <w:t xml:space="preserve">) </w:t>
      </w:r>
      <w:r w:rsidRPr="008D1A82">
        <w:t>Dr. Muhammed Pate</w:t>
      </w:r>
      <w:r>
        <w:rPr>
          <w:rFonts w:cs="AdvTTb5929f4c"/>
        </w:rPr>
        <w:t xml:space="preserve"> and a team of experts</w:t>
      </w:r>
      <w:r w:rsidRPr="00715A20">
        <w:rPr>
          <w:rFonts w:cs="AdvTTb5929f4c"/>
        </w:rPr>
        <w:t xml:space="preserve"> from the of the National Primary Health Care Development</w:t>
      </w:r>
      <w:r>
        <w:rPr>
          <w:rFonts w:cs="AdvTTb5929f4c"/>
        </w:rPr>
        <w:t xml:space="preserve"> Agency (NPHCDA), </w:t>
      </w:r>
      <w:r w:rsidRPr="00715A20">
        <w:rPr>
          <w:rFonts w:cs="AdvTTb5929f4c"/>
        </w:rPr>
        <w:t>Children</w:t>
      </w:r>
      <w:r w:rsidRPr="00715A20">
        <w:rPr>
          <w:rFonts w:cs="AdvTTb5929f4c+20"/>
        </w:rPr>
        <w:t>’</w:t>
      </w:r>
      <w:r w:rsidRPr="00715A20">
        <w:rPr>
          <w:rFonts w:cs="AdvTTb5929f4c"/>
        </w:rPr>
        <w:t>s Investment Fund Foundation (CIFF) and</w:t>
      </w:r>
      <w:r>
        <w:rPr>
          <w:rFonts w:cs="AdvTTb5929f4c"/>
        </w:rPr>
        <w:t xml:space="preserve"> </w:t>
      </w:r>
      <w:r w:rsidRPr="00715A20">
        <w:rPr>
          <w:rFonts w:cs="AdvTTb5929f4c"/>
        </w:rPr>
        <w:t>McKinsey &amp; Company</w:t>
      </w:r>
      <w:r>
        <w:rPr>
          <w:rFonts w:cs="AdvTTb5929f4c"/>
        </w:rPr>
        <w:t xml:space="preserve"> in the design of the SURE-P MCH CCT </w:t>
      </w:r>
      <w:proofErr w:type="spellStart"/>
      <w:r>
        <w:rPr>
          <w:rFonts w:cs="AdvTTb5929f4c"/>
        </w:rPr>
        <w:t>programme</w:t>
      </w:r>
      <w:proofErr w:type="spellEnd"/>
      <w:r>
        <w:rPr>
          <w:rFonts w:cs="AdvTTb5929f4c"/>
        </w:rPr>
        <w:t xml:space="preserve"> in Nigeria</w:t>
      </w:r>
      <w:r w:rsidRPr="00715A20">
        <w:rPr>
          <w:rFonts w:cs="AdvTTb5929f4c"/>
        </w:rPr>
        <w:t xml:space="preserve">. </w:t>
      </w:r>
      <w:r>
        <w:rPr>
          <w:rFonts w:cs="AdvTTb5929f4c"/>
        </w:rPr>
        <w:t xml:space="preserve">Also, we thank immensely </w:t>
      </w:r>
      <w:r w:rsidRPr="00F26479">
        <w:t>Dr</w:t>
      </w:r>
      <w:r>
        <w:t>.</w:t>
      </w:r>
      <w:r w:rsidRPr="00F26479">
        <w:t xml:space="preserve"> </w:t>
      </w:r>
      <w:proofErr w:type="spellStart"/>
      <w:r>
        <w:t>Adetokunbo</w:t>
      </w:r>
      <w:proofErr w:type="spellEnd"/>
      <w:r>
        <w:t xml:space="preserve"> </w:t>
      </w:r>
      <w:proofErr w:type="spellStart"/>
      <w:r w:rsidRPr="00F26479">
        <w:t>Oshin</w:t>
      </w:r>
      <w:proofErr w:type="spellEnd"/>
      <w:r>
        <w:t xml:space="preserve">, Dr. Chichi </w:t>
      </w:r>
      <w:proofErr w:type="spellStart"/>
      <w:r>
        <w:t>Aigbe</w:t>
      </w:r>
      <w:proofErr w:type="spellEnd"/>
      <w:r w:rsidRPr="00F26479">
        <w:t xml:space="preserve"> and team </w:t>
      </w:r>
      <w:r>
        <w:t xml:space="preserve">who </w:t>
      </w:r>
      <w:r w:rsidRPr="00F26479">
        <w:t xml:space="preserve">managed the CCT </w:t>
      </w:r>
      <w:proofErr w:type="spellStart"/>
      <w:r w:rsidRPr="00F26479">
        <w:t>programme</w:t>
      </w:r>
      <w:proofErr w:type="spellEnd"/>
      <w:r w:rsidRPr="00F26479">
        <w:t>,</w:t>
      </w:r>
      <w:r>
        <w:t xml:space="preserve"> all CCT-beneficiaries and ward development committee members (WDC) who participated in </w:t>
      </w:r>
      <w:r w:rsidRPr="00F26479">
        <w:t xml:space="preserve">the </w:t>
      </w:r>
      <w:r>
        <w:t xml:space="preserve">assessment </w:t>
      </w:r>
      <w:r w:rsidRPr="00F26479">
        <w:t>and health care workers/government staff who provided relevant information for this study</w:t>
      </w:r>
      <w:r>
        <w:t xml:space="preserve">. Also, we thank Dr. Emmanuel Ugwa for reviewing the </w:t>
      </w:r>
      <w:r>
        <w:lastRenderedPageBreak/>
        <w:t>manuscript draft.  Finally, we thank the management and staff of Global Health and Medical Consultants limited for designing and implementing the assessment and</w:t>
      </w:r>
      <w:r w:rsidRPr="00F576CB">
        <w:t xml:space="preserve"> </w:t>
      </w:r>
      <w:r>
        <w:t>UNFPA Nigeria for providing funding support for the assessment.</w:t>
      </w:r>
    </w:p>
    <w:p w:rsidR="008973D5" w:rsidRDefault="008973D5" w:rsidP="008973D5">
      <w:pPr>
        <w:autoSpaceDE w:val="0"/>
        <w:autoSpaceDN w:val="0"/>
        <w:adjustRightInd w:val="0"/>
        <w:spacing w:after="0"/>
        <w:rPr>
          <w:rFonts w:cs="AdvTTb5929f4c"/>
        </w:rPr>
      </w:pPr>
    </w:p>
    <w:p w:rsidR="008973D5" w:rsidRPr="00D94384" w:rsidRDefault="008973D5" w:rsidP="008973D5">
      <w:pPr>
        <w:autoSpaceDE w:val="0"/>
        <w:autoSpaceDN w:val="0"/>
        <w:adjustRightInd w:val="0"/>
        <w:spacing w:after="0"/>
        <w:rPr>
          <w:rFonts w:cs="AdvTT99c4c969"/>
          <w:b/>
        </w:rPr>
      </w:pPr>
      <w:r w:rsidRPr="00D94384">
        <w:rPr>
          <w:rFonts w:cs="AdvTT99c4c969"/>
          <w:b/>
        </w:rPr>
        <w:t>Authors</w:t>
      </w:r>
      <w:r w:rsidRPr="00D94384">
        <w:rPr>
          <w:rFonts w:cs="AdvTT99c4c969+20"/>
          <w:b/>
        </w:rPr>
        <w:t xml:space="preserve">’ </w:t>
      </w:r>
      <w:r>
        <w:rPr>
          <w:rFonts w:cs="AdvTT99c4c969"/>
          <w:b/>
        </w:rPr>
        <w:t>informat</w:t>
      </w:r>
      <w:r w:rsidRPr="00D94384">
        <w:rPr>
          <w:rFonts w:cs="AdvTT99c4c969"/>
          <w:b/>
        </w:rPr>
        <w:t>ion</w:t>
      </w:r>
    </w:p>
    <w:p w:rsidR="008973D5" w:rsidRDefault="008973D5" w:rsidP="008973D5">
      <w:pPr>
        <w:pStyle w:val="BodyText"/>
      </w:pPr>
      <w:r>
        <w:t>Not Applicable</w:t>
      </w:r>
    </w:p>
    <w:p w:rsidR="008973D5" w:rsidRDefault="008973D5" w:rsidP="008973D5">
      <w:pPr>
        <w:pStyle w:val="BodyText"/>
      </w:pPr>
    </w:p>
    <w:p w:rsidR="0050394F" w:rsidRDefault="0050394F" w:rsidP="008973D5">
      <w:pPr>
        <w:pStyle w:val="BodyText"/>
      </w:pPr>
    </w:p>
    <w:p w:rsidR="0050394F" w:rsidRDefault="0050394F" w:rsidP="008973D5">
      <w:pPr>
        <w:pStyle w:val="BodyText"/>
      </w:pPr>
    </w:p>
    <w:p w:rsidR="0050394F" w:rsidRDefault="0050394F" w:rsidP="008973D5">
      <w:pPr>
        <w:pStyle w:val="BodyText"/>
      </w:pPr>
    </w:p>
    <w:p w:rsidR="008973D5" w:rsidRDefault="008973D5" w:rsidP="008973D5">
      <w:pPr>
        <w:pStyle w:val="Heading2"/>
      </w:pPr>
      <w:bookmarkStart w:id="32" w:name="references"/>
      <w:bookmarkEnd w:id="32"/>
      <w:r>
        <w:t>References</w:t>
      </w:r>
    </w:p>
    <w:p w:rsidR="008973D5" w:rsidRDefault="008973D5" w:rsidP="008973D5">
      <w:pPr>
        <w:pStyle w:val="Bibliography"/>
        <w:numPr>
          <w:ilvl w:val="0"/>
          <w:numId w:val="7"/>
        </w:numPr>
        <w:spacing w:after="0"/>
      </w:pPr>
      <w:r w:rsidRPr="00A00DAD">
        <w:t>Multiple Indicator Cl</w:t>
      </w:r>
      <w:bookmarkStart w:id="33" w:name="_GoBack"/>
      <w:bookmarkEnd w:id="33"/>
      <w:r w:rsidRPr="00A00DAD">
        <w:t>uster Survey, 2016-2017, Federal Government of Nigeria</w:t>
      </w:r>
      <w:r>
        <w:t xml:space="preserve"> ‘</w:t>
      </w:r>
      <w:r w:rsidRPr="00A00DAD">
        <w:t xml:space="preserve">MICS, 2017.  available online at </w:t>
      </w:r>
      <w:hyperlink r:id="rId7" w:history="1">
        <w:r w:rsidRPr="00207FCB">
          <w:rPr>
            <w:rStyle w:val="Hyperlink"/>
          </w:rPr>
          <w:t>https://www.unicef.org/nigeria/NG_publications_mics_201617feb2018.pdf Accessed 20.06.18</w:t>
        </w:r>
      </w:hyperlink>
    </w:p>
    <w:p w:rsidR="008973D5" w:rsidRPr="00A00DAD" w:rsidRDefault="008973D5" w:rsidP="008973D5">
      <w:pPr>
        <w:pStyle w:val="Bibliography"/>
        <w:numPr>
          <w:ilvl w:val="0"/>
          <w:numId w:val="7"/>
        </w:numPr>
        <w:spacing w:after="0"/>
      </w:pPr>
      <w:r w:rsidRPr="00422C4C">
        <w:rPr>
          <w:color w:val="000000"/>
        </w:rPr>
        <w:t xml:space="preserve">National Population Commission [Nigeria], ICF International: Nigeria Demographic and Health Survey 2013. Abuja, Nigeria and Rockville, Maryland, USA: NPC and ICF International; 2014.available online at </w:t>
      </w:r>
      <w:hyperlink r:id="rId8" w:history="1">
        <w:r w:rsidRPr="00A00DAD">
          <w:rPr>
            <w:rStyle w:val="Hyperlink"/>
          </w:rPr>
          <w:t>https://dhsprogram.com/publications/publication-fr293-dhs-final-reports.cfm</w:t>
        </w:r>
      </w:hyperlink>
      <w:r w:rsidRPr="00422C4C">
        <w:rPr>
          <w:color w:val="000000"/>
        </w:rPr>
        <w:t> </w:t>
      </w:r>
      <w:r w:rsidRPr="00422C4C">
        <w:rPr>
          <w:rFonts w:cs="AdvPTimes"/>
          <w:color w:val="000000"/>
        </w:rPr>
        <w:t>A</w:t>
      </w:r>
      <w:r w:rsidRPr="00A00DAD">
        <w:t>ccessed 01.06.2018</w:t>
      </w:r>
    </w:p>
    <w:p w:rsidR="008973D5" w:rsidRPr="00A00DAD" w:rsidRDefault="008973D5" w:rsidP="008973D5">
      <w:pPr>
        <w:pStyle w:val="ListParagraph"/>
        <w:numPr>
          <w:ilvl w:val="0"/>
          <w:numId w:val="7"/>
        </w:numPr>
        <w:autoSpaceDE w:val="0"/>
        <w:autoSpaceDN w:val="0"/>
        <w:adjustRightInd w:val="0"/>
        <w:spacing w:after="0"/>
        <w:rPr>
          <w:rFonts w:cs="AdvOT863180fb"/>
          <w:sz w:val="24"/>
          <w:szCs w:val="24"/>
        </w:rPr>
      </w:pPr>
      <w:proofErr w:type="spellStart"/>
      <w:r>
        <w:rPr>
          <w:sz w:val="24"/>
          <w:szCs w:val="24"/>
        </w:rPr>
        <w:t>Kusuma</w:t>
      </w:r>
      <w:proofErr w:type="spellEnd"/>
      <w:r w:rsidRPr="00A00DAD">
        <w:rPr>
          <w:sz w:val="24"/>
          <w:szCs w:val="24"/>
        </w:rPr>
        <w:t xml:space="preserve"> D</w:t>
      </w:r>
      <w:r>
        <w:rPr>
          <w:sz w:val="24"/>
          <w:szCs w:val="24"/>
        </w:rPr>
        <w:t xml:space="preserve">, Cohen J, </w:t>
      </w:r>
      <w:proofErr w:type="spellStart"/>
      <w:proofErr w:type="gramStart"/>
      <w:r>
        <w:rPr>
          <w:sz w:val="24"/>
          <w:szCs w:val="24"/>
        </w:rPr>
        <w:t>Mcconnell</w:t>
      </w:r>
      <w:proofErr w:type="spellEnd"/>
      <w:proofErr w:type="gramEnd"/>
      <w:r>
        <w:rPr>
          <w:sz w:val="24"/>
          <w:szCs w:val="24"/>
        </w:rPr>
        <w:t xml:space="preserve"> M,</w:t>
      </w:r>
      <w:r w:rsidRPr="00A00DAD">
        <w:rPr>
          <w:sz w:val="24"/>
          <w:szCs w:val="24"/>
        </w:rPr>
        <w:t xml:space="preserve"> Berman P</w:t>
      </w:r>
      <w:r>
        <w:rPr>
          <w:sz w:val="24"/>
          <w:szCs w:val="24"/>
        </w:rPr>
        <w:t xml:space="preserve">: </w:t>
      </w:r>
      <w:r w:rsidRPr="00A00DAD">
        <w:rPr>
          <w:rFonts w:cs="AdvOT863180fb"/>
          <w:sz w:val="24"/>
          <w:szCs w:val="24"/>
        </w:rPr>
        <w:t xml:space="preserve">Can cash transfers improve determinants of maternal mortality? Evidence from the household and community programs in Indonesia’, </w:t>
      </w:r>
      <w:r w:rsidRPr="00A00DAD">
        <w:rPr>
          <w:i/>
          <w:sz w:val="24"/>
          <w:szCs w:val="24"/>
        </w:rPr>
        <w:t xml:space="preserve">Social Science &amp; Medicine </w:t>
      </w:r>
      <w:r w:rsidRPr="00A00DAD">
        <w:rPr>
          <w:sz w:val="24"/>
          <w:szCs w:val="24"/>
        </w:rPr>
        <w:t>(2016) Vol 163, pp. 10-20</w:t>
      </w:r>
    </w:p>
    <w:p w:rsidR="008973D5" w:rsidRPr="00A00DAD" w:rsidRDefault="008973D5" w:rsidP="008973D5">
      <w:pPr>
        <w:pStyle w:val="Bibliography"/>
        <w:numPr>
          <w:ilvl w:val="0"/>
          <w:numId w:val="7"/>
        </w:numPr>
      </w:pPr>
      <w:r w:rsidRPr="00A00DAD">
        <w:t xml:space="preserve">The World Bank. “Nigeria Subsidy Reinvestment and Empowerment </w:t>
      </w:r>
      <w:proofErr w:type="spellStart"/>
      <w:r w:rsidRPr="00A00DAD">
        <w:t>Programme</w:t>
      </w:r>
      <w:proofErr w:type="spellEnd"/>
      <w:r w:rsidRPr="00A00DAD">
        <w:t xml:space="preserve"> (Sure-P): Maternal and Child Health Initiative.”</w:t>
      </w:r>
      <w:r>
        <w:t xml:space="preserve"> </w:t>
      </w:r>
      <w:r w:rsidRPr="00A00DAD">
        <w:t xml:space="preserve">2016a available online at </w:t>
      </w:r>
      <w:hyperlink r:id="rId9">
        <w:r w:rsidRPr="00A00DAD">
          <w:rPr>
            <w:rStyle w:val="Hyperlink"/>
          </w:rPr>
          <w:t>http://www.worldbank.org/en/programs/sief-trust-fund/brief/nigeria-subsidy-reinvestment-and-empowerment-programme-sure-p</w:t>
        </w:r>
      </w:hyperlink>
      <w:r w:rsidRPr="00A00DAD">
        <w:t>. Accessed 01.06.2018</w:t>
      </w:r>
    </w:p>
    <w:p w:rsidR="008973D5" w:rsidRPr="00A00DAD" w:rsidRDefault="008973D5" w:rsidP="008973D5">
      <w:pPr>
        <w:pStyle w:val="Bibliography"/>
        <w:numPr>
          <w:ilvl w:val="0"/>
          <w:numId w:val="7"/>
        </w:numPr>
      </w:pPr>
      <w:r>
        <w:t>Okoli</w:t>
      </w:r>
      <w:r w:rsidRPr="00A00DAD">
        <w:t xml:space="preserve"> U, Laura M</w:t>
      </w:r>
      <w:r>
        <w:t xml:space="preserve">, </w:t>
      </w:r>
      <w:proofErr w:type="spellStart"/>
      <w:r w:rsidRPr="00A00DAD">
        <w:t>Oshin</w:t>
      </w:r>
      <w:proofErr w:type="spellEnd"/>
      <w:r>
        <w:t xml:space="preserve"> A</w:t>
      </w:r>
      <w:r w:rsidRPr="00A00DAD">
        <w:t>, Pate</w:t>
      </w:r>
      <w:r>
        <w:t xml:space="preserve"> M</w:t>
      </w:r>
      <w:r w:rsidRPr="00A00DAD">
        <w:t xml:space="preserve">, </w:t>
      </w:r>
      <w:proofErr w:type="spellStart"/>
      <w:r w:rsidRPr="00A00DAD">
        <w:t>Aigbe</w:t>
      </w:r>
      <w:proofErr w:type="spellEnd"/>
      <w:r>
        <w:t xml:space="preserve"> C</w:t>
      </w:r>
      <w:r w:rsidRPr="00A00DAD">
        <w:t xml:space="preserve">, and </w:t>
      </w:r>
      <w:r>
        <w:t xml:space="preserve">Ado M: </w:t>
      </w:r>
      <w:r w:rsidRPr="00A00DAD">
        <w:t xml:space="preserve">Conditional Cash Transfer Schemes in Nigeria: Potential Gains for Maternal and Child Health Service Uptake in a National Pilot </w:t>
      </w:r>
      <w:proofErr w:type="spellStart"/>
      <w:r w:rsidRPr="00A00DAD">
        <w:t>Programme</w:t>
      </w:r>
      <w:proofErr w:type="spellEnd"/>
      <w:r w:rsidRPr="00A00DAD">
        <w:t xml:space="preserve">.” </w:t>
      </w:r>
      <w:r w:rsidRPr="00A00DAD">
        <w:rPr>
          <w:i/>
        </w:rPr>
        <w:t>BMC Pregnancy and Childbirth</w:t>
      </w:r>
      <w:r w:rsidRPr="00A00DAD">
        <w:t xml:space="preserve"> 2014. 14: 408.</w:t>
      </w:r>
    </w:p>
    <w:p w:rsidR="00386A16" w:rsidRDefault="00386A16" w:rsidP="00386A16">
      <w:pPr>
        <w:pStyle w:val="ListParagraph"/>
        <w:numPr>
          <w:ilvl w:val="0"/>
          <w:numId w:val="7"/>
        </w:numPr>
        <w:autoSpaceDE w:val="0"/>
        <w:autoSpaceDN w:val="0"/>
        <w:adjustRightInd w:val="0"/>
        <w:spacing w:after="0"/>
        <w:rPr>
          <w:rFonts w:cs="Times-Roman"/>
          <w:sz w:val="24"/>
          <w:szCs w:val="24"/>
        </w:rPr>
      </w:pPr>
      <w:proofErr w:type="spellStart"/>
      <w:r>
        <w:rPr>
          <w:rFonts w:cs="Times-Roman"/>
          <w:sz w:val="24"/>
          <w:szCs w:val="24"/>
        </w:rPr>
        <w:t>Yildirim</w:t>
      </w:r>
      <w:proofErr w:type="spellEnd"/>
      <w:r>
        <w:rPr>
          <w:rFonts w:cs="Times-Roman"/>
          <w:sz w:val="24"/>
          <w:szCs w:val="24"/>
        </w:rPr>
        <w:t xml:space="preserve"> J, </w:t>
      </w:r>
      <w:proofErr w:type="spellStart"/>
      <w:r>
        <w:rPr>
          <w:rFonts w:cs="Times-Roman"/>
          <w:sz w:val="24"/>
          <w:szCs w:val="24"/>
        </w:rPr>
        <w:t>Ozdemir</w:t>
      </w:r>
      <w:proofErr w:type="spellEnd"/>
      <w:r>
        <w:rPr>
          <w:rFonts w:cs="Times-Roman"/>
          <w:sz w:val="24"/>
          <w:szCs w:val="24"/>
        </w:rPr>
        <w:t xml:space="preserve"> S, </w:t>
      </w:r>
      <w:proofErr w:type="spellStart"/>
      <w:r w:rsidRPr="00A00DAD">
        <w:rPr>
          <w:rFonts w:cs="Times-Roman"/>
          <w:sz w:val="24"/>
          <w:szCs w:val="24"/>
        </w:rPr>
        <w:t>Sezgin</w:t>
      </w:r>
      <w:proofErr w:type="spellEnd"/>
      <w:r w:rsidRPr="00A00DAD">
        <w:rPr>
          <w:rFonts w:cs="Times-Roman"/>
          <w:sz w:val="24"/>
          <w:szCs w:val="24"/>
        </w:rPr>
        <w:t xml:space="preserve"> F</w:t>
      </w:r>
      <w:r>
        <w:rPr>
          <w:rFonts w:cs="Times-Roman"/>
          <w:sz w:val="24"/>
          <w:szCs w:val="24"/>
        </w:rPr>
        <w:t>.</w:t>
      </w:r>
      <w:r w:rsidRPr="00A00DAD">
        <w:rPr>
          <w:rFonts w:cs="Times-Roman"/>
          <w:sz w:val="24"/>
          <w:szCs w:val="24"/>
        </w:rPr>
        <w:t xml:space="preserve"> A Qualitative Evaluation of a Conditional Cash Transfer Program in Turkey: The Beneficiaries’ a</w:t>
      </w:r>
      <w:r>
        <w:rPr>
          <w:rFonts w:cs="Times-Roman"/>
          <w:sz w:val="24"/>
          <w:szCs w:val="24"/>
        </w:rPr>
        <w:t>nd Key Informants’ Perspectives</w:t>
      </w:r>
      <w:r w:rsidRPr="00A00DAD">
        <w:rPr>
          <w:rFonts w:cs="Times-Roman"/>
          <w:sz w:val="24"/>
          <w:szCs w:val="24"/>
        </w:rPr>
        <w:t xml:space="preserve">, </w:t>
      </w:r>
      <w:r w:rsidRPr="00A00DAD">
        <w:rPr>
          <w:rFonts w:cs="Times-Italic"/>
          <w:i/>
          <w:iCs/>
          <w:sz w:val="24"/>
          <w:szCs w:val="24"/>
        </w:rPr>
        <w:t>Journal of Social Service Research</w:t>
      </w:r>
      <w:r w:rsidRPr="00A00DAD">
        <w:rPr>
          <w:rFonts w:cs="Times-Roman"/>
          <w:sz w:val="24"/>
          <w:szCs w:val="24"/>
        </w:rPr>
        <w:t>,</w:t>
      </w:r>
      <w:r w:rsidRPr="008A4E8D">
        <w:rPr>
          <w:rFonts w:cs="Times-Roman"/>
          <w:sz w:val="24"/>
          <w:szCs w:val="24"/>
        </w:rPr>
        <w:t xml:space="preserve"> </w:t>
      </w:r>
      <w:r w:rsidRPr="00A00DAD">
        <w:rPr>
          <w:rFonts w:cs="Times-Roman"/>
          <w:sz w:val="24"/>
          <w:szCs w:val="24"/>
        </w:rPr>
        <w:t>(2014), 40:62–79, 2014</w:t>
      </w:r>
    </w:p>
    <w:p w:rsidR="00386A16" w:rsidRPr="00A00DAD" w:rsidRDefault="00386A16" w:rsidP="00386A16">
      <w:pPr>
        <w:pStyle w:val="ListParagraph"/>
        <w:autoSpaceDE w:val="0"/>
        <w:autoSpaceDN w:val="0"/>
        <w:adjustRightInd w:val="0"/>
        <w:spacing w:after="0"/>
        <w:rPr>
          <w:rFonts w:cs="Times-Roman"/>
          <w:sz w:val="24"/>
          <w:szCs w:val="24"/>
        </w:rPr>
      </w:pPr>
    </w:p>
    <w:p w:rsidR="00386A16" w:rsidRPr="008A4E8D" w:rsidRDefault="00386A16" w:rsidP="00386A16">
      <w:pPr>
        <w:pStyle w:val="ListParagraph"/>
        <w:numPr>
          <w:ilvl w:val="0"/>
          <w:numId w:val="7"/>
        </w:numPr>
        <w:autoSpaceDE w:val="0"/>
        <w:autoSpaceDN w:val="0"/>
        <w:adjustRightInd w:val="0"/>
        <w:spacing w:after="0"/>
        <w:rPr>
          <w:rFonts w:cs="Arial"/>
          <w:color w:val="000000"/>
          <w:sz w:val="24"/>
          <w:szCs w:val="24"/>
        </w:rPr>
      </w:pPr>
      <w:r>
        <w:rPr>
          <w:rFonts w:cs="LiberationSans"/>
          <w:color w:val="000000"/>
          <w:sz w:val="24"/>
          <w:szCs w:val="24"/>
        </w:rPr>
        <w:t xml:space="preserve">Del </w:t>
      </w:r>
      <w:proofErr w:type="spellStart"/>
      <w:r>
        <w:rPr>
          <w:rFonts w:cs="LiberationSans"/>
          <w:color w:val="000000"/>
          <w:sz w:val="24"/>
          <w:szCs w:val="24"/>
        </w:rPr>
        <w:t>Carpio</w:t>
      </w:r>
      <w:proofErr w:type="spellEnd"/>
      <w:r>
        <w:rPr>
          <w:rFonts w:cs="LiberationSans"/>
          <w:color w:val="000000"/>
          <w:sz w:val="24"/>
          <w:szCs w:val="24"/>
        </w:rPr>
        <w:t xml:space="preserve"> XV, </w:t>
      </w:r>
      <w:proofErr w:type="spellStart"/>
      <w:r>
        <w:rPr>
          <w:rFonts w:cs="LiberationSans"/>
          <w:color w:val="000000"/>
          <w:sz w:val="24"/>
          <w:szCs w:val="24"/>
        </w:rPr>
        <w:t>Loayza</w:t>
      </w:r>
      <w:proofErr w:type="spellEnd"/>
      <w:r>
        <w:rPr>
          <w:rFonts w:cs="LiberationSans"/>
          <w:color w:val="000000"/>
          <w:sz w:val="24"/>
          <w:szCs w:val="24"/>
        </w:rPr>
        <w:t xml:space="preserve"> NV,</w:t>
      </w:r>
      <w:r w:rsidRPr="00A00DAD">
        <w:rPr>
          <w:rFonts w:cs="LiberationSans"/>
          <w:color w:val="000000"/>
          <w:sz w:val="24"/>
          <w:szCs w:val="24"/>
        </w:rPr>
        <w:t xml:space="preserve"> Wada T</w:t>
      </w:r>
      <w:r>
        <w:rPr>
          <w:rFonts w:cs="LiberationSans"/>
          <w:color w:val="000000"/>
          <w:sz w:val="24"/>
          <w:szCs w:val="24"/>
        </w:rPr>
        <w:t>.</w:t>
      </w:r>
      <w:r w:rsidRPr="00A00DAD">
        <w:rPr>
          <w:rFonts w:cs="LiberationSans"/>
          <w:color w:val="000000"/>
          <w:sz w:val="24"/>
          <w:szCs w:val="24"/>
        </w:rPr>
        <w:t xml:space="preserve"> The Impact of Conditional Cash Transfers on the Amount and Type of Child </w:t>
      </w:r>
      <w:proofErr w:type="spellStart"/>
      <w:r w:rsidRPr="00A00DAD">
        <w:rPr>
          <w:rFonts w:cs="LiberationSans"/>
          <w:color w:val="000000"/>
          <w:sz w:val="24"/>
          <w:szCs w:val="24"/>
        </w:rPr>
        <w:t>Labor</w:t>
      </w:r>
      <w:proofErr w:type="spellEnd"/>
      <w:r w:rsidRPr="00A00DAD">
        <w:rPr>
          <w:rFonts w:cs="LiberationSans"/>
          <w:color w:val="000000"/>
          <w:sz w:val="24"/>
          <w:szCs w:val="24"/>
        </w:rPr>
        <w:t xml:space="preserve">’ </w:t>
      </w:r>
      <w:r w:rsidRPr="00A00DAD">
        <w:rPr>
          <w:rFonts w:cs="LiberationSans"/>
          <w:i/>
          <w:color w:val="000000"/>
          <w:sz w:val="24"/>
          <w:szCs w:val="24"/>
        </w:rPr>
        <w:t>World Development</w:t>
      </w:r>
      <w:r w:rsidRPr="00A00DAD">
        <w:rPr>
          <w:rFonts w:cs="LiberationSans"/>
          <w:color w:val="000000"/>
          <w:sz w:val="24"/>
          <w:szCs w:val="24"/>
        </w:rPr>
        <w:t xml:space="preserve"> (2016), Vol. 80, pp. 33–47, </w:t>
      </w:r>
    </w:p>
    <w:p w:rsidR="00386A16" w:rsidRPr="008A4E8D" w:rsidRDefault="00386A16" w:rsidP="00386A16">
      <w:pPr>
        <w:pStyle w:val="ListParagraph"/>
        <w:rPr>
          <w:rFonts w:cs="Arial"/>
          <w:color w:val="000000"/>
          <w:sz w:val="24"/>
          <w:szCs w:val="24"/>
        </w:rPr>
      </w:pPr>
    </w:p>
    <w:p w:rsidR="00386A16" w:rsidRPr="001D4678" w:rsidRDefault="00386A16" w:rsidP="00386A16">
      <w:pPr>
        <w:pStyle w:val="Bibliography"/>
        <w:numPr>
          <w:ilvl w:val="0"/>
          <w:numId w:val="7"/>
        </w:numPr>
      </w:pPr>
      <w:proofErr w:type="spellStart"/>
      <w:r w:rsidRPr="001D4678">
        <w:lastRenderedPageBreak/>
        <w:t>Roelen</w:t>
      </w:r>
      <w:proofErr w:type="spellEnd"/>
      <w:r w:rsidRPr="001D4678">
        <w:t xml:space="preserve"> K: Sticks or Carrots? Conditional Cash Transfers and Their Effect on Child Abuse and Neglect. </w:t>
      </w:r>
      <w:r w:rsidRPr="001D4678">
        <w:rPr>
          <w:i/>
        </w:rPr>
        <w:t>Child Abuse &amp; Neglect</w:t>
      </w:r>
      <w:r w:rsidRPr="001D4678">
        <w:t xml:space="preserve"> 2014 38: 372–38.</w:t>
      </w:r>
    </w:p>
    <w:p w:rsidR="00386A16" w:rsidRPr="00A00DAD" w:rsidRDefault="00386A16" w:rsidP="00386A16">
      <w:pPr>
        <w:pStyle w:val="ListParagraph"/>
        <w:numPr>
          <w:ilvl w:val="0"/>
          <w:numId w:val="7"/>
        </w:numPr>
        <w:autoSpaceDE w:val="0"/>
        <w:autoSpaceDN w:val="0"/>
        <w:adjustRightInd w:val="0"/>
        <w:spacing w:after="0"/>
        <w:rPr>
          <w:rFonts w:cs="Times-Roman"/>
          <w:sz w:val="24"/>
          <w:szCs w:val="24"/>
        </w:rPr>
      </w:pPr>
      <w:r w:rsidRPr="00A00DAD">
        <w:rPr>
          <w:sz w:val="24"/>
          <w:szCs w:val="24"/>
        </w:rPr>
        <w:t xml:space="preserve">Rawlings LB, </w:t>
      </w:r>
      <w:r>
        <w:rPr>
          <w:sz w:val="24"/>
          <w:szCs w:val="24"/>
        </w:rPr>
        <w:t>Rubio</w:t>
      </w:r>
      <w:r w:rsidRPr="00A00DAD">
        <w:rPr>
          <w:sz w:val="24"/>
          <w:szCs w:val="24"/>
        </w:rPr>
        <w:t xml:space="preserve"> GM</w:t>
      </w:r>
      <w:r>
        <w:rPr>
          <w:sz w:val="24"/>
          <w:szCs w:val="24"/>
        </w:rPr>
        <w:t>:</w:t>
      </w:r>
      <w:r w:rsidRPr="00A00DAD">
        <w:rPr>
          <w:sz w:val="24"/>
          <w:szCs w:val="24"/>
        </w:rPr>
        <w:t xml:space="preserve"> Evaluating the impact of conditional cash transfer programs: Lessons from Latin America</w:t>
      </w:r>
      <w:r>
        <w:rPr>
          <w:sz w:val="24"/>
          <w:szCs w:val="24"/>
        </w:rPr>
        <w:t>’</w:t>
      </w:r>
      <w:r w:rsidRPr="00A00DAD">
        <w:rPr>
          <w:sz w:val="24"/>
          <w:szCs w:val="24"/>
        </w:rPr>
        <w:t xml:space="preserve">. </w:t>
      </w:r>
      <w:r w:rsidRPr="00422C4C">
        <w:rPr>
          <w:i/>
          <w:sz w:val="24"/>
          <w:szCs w:val="24"/>
        </w:rPr>
        <w:t xml:space="preserve">World Bank Research Observer, </w:t>
      </w:r>
      <w:r w:rsidRPr="00A00DAD">
        <w:rPr>
          <w:sz w:val="24"/>
          <w:szCs w:val="24"/>
        </w:rPr>
        <w:t>(2005). Vol. 20, pp. 29–55.</w:t>
      </w:r>
      <w:r w:rsidRPr="00A00DAD">
        <w:rPr>
          <w:rFonts w:cs="Times-Roman"/>
          <w:sz w:val="24"/>
          <w:szCs w:val="24"/>
        </w:rPr>
        <w:t xml:space="preserve"> </w:t>
      </w:r>
    </w:p>
    <w:p w:rsidR="00386A16" w:rsidRPr="0050394F" w:rsidRDefault="00386A16" w:rsidP="00386A16">
      <w:pPr>
        <w:pStyle w:val="BodyText"/>
        <w:numPr>
          <w:ilvl w:val="0"/>
          <w:numId w:val="7"/>
        </w:numPr>
      </w:pPr>
      <w:r w:rsidRPr="0050394F">
        <w:t>Paul V K. ‘India: conditional cash transfers for in-facility deliveries’ www.thelancet.com (2010), Vol 375, pp. 1943-1944</w:t>
      </w:r>
    </w:p>
    <w:p w:rsidR="00386A16" w:rsidRDefault="00386A16" w:rsidP="00386A16">
      <w:pPr>
        <w:pStyle w:val="FirstParagraph"/>
        <w:numPr>
          <w:ilvl w:val="0"/>
          <w:numId w:val="7"/>
        </w:numPr>
      </w:pPr>
      <w:proofErr w:type="spellStart"/>
      <w:r>
        <w:t>Kusuma</w:t>
      </w:r>
      <w:proofErr w:type="spellEnd"/>
      <w:r>
        <w:t xml:space="preserve"> D, </w:t>
      </w:r>
      <w:proofErr w:type="spellStart"/>
      <w:r>
        <w:t>Thabrany</w:t>
      </w:r>
      <w:proofErr w:type="spellEnd"/>
      <w:r>
        <w:t xml:space="preserve"> H, </w:t>
      </w:r>
      <w:proofErr w:type="spellStart"/>
      <w:r>
        <w:t>Hidayat</w:t>
      </w:r>
      <w:proofErr w:type="spellEnd"/>
      <w:r>
        <w:t xml:space="preserve"> B, </w:t>
      </w:r>
      <w:proofErr w:type="spellStart"/>
      <w:r>
        <w:t>Mcconnell</w:t>
      </w:r>
      <w:proofErr w:type="spellEnd"/>
      <w:r>
        <w:t xml:space="preserve"> M, Berman, Cohen J. “New Evidence on the Impact of Large-Scale Conditional Cash Transfers on Child Vaccination Rates: The Case of a Clustered-Randomized Trial in Indonesia.” World Development 2017, 98: 497–505. </w:t>
      </w:r>
    </w:p>
    <w:p w:rsidR="008973D5" w:rsidRPr="00A00DAD" w:rsidRDefault="008973D5" w:rsidP="008973D5">
      <w:pPr>
        <w:pStyle w:val="Bibliography"/>
        <w:numPr>
          <w:ilvl w:val="0"/>
          <w:numId w:val="7"/>
        </w:numPr>
      </w:pPr>
      <w:r w:rsidRPr="00A00DAD">
        <w:t>Cohen J</w:t>
      </w:r>
      <w:r>
        <w:t xml:space="preserve">, </w:t>
      </w:r>
      <w:r w:rsidRPr="00A00DAD">
        <w:t>McConnell</w:t>
      </w:r>
      <w:r>
        <w:t xml:space="preserve"> M</w:t>
      </w:r>
      <w:r w:rsidRPr="00A00DAD">
        <w:t>, Berman</w:t>
      </w:r>
      <w:r>
        <w:t xml:space="preserve"> P</w:t>
      </w:r>
      <w:r w:rsidRPr="00A00DAD">
        <w:t xml:space="preserve"> and </w:t>
      </w:r>
      <w:proofErr w:type="spellStart"/>
      <w:r w:rsidRPr="00A00DAD">
        <w:t>Kusuma</w:t>
      </w:r>
      <w:proofErr w:type="spellEnd"/>
      <w:r>
        <w:t xml:space="preserve"> D. </w:t>
      </w:r>
      <w:r w:rsidRPr="00A00DAD">
        <w:t xml:space="preserve">Can Cash Transfers Improve Determinants of Maternal Mortality? Evidence from the Household and Community Programs in Indonesia.” </w:t>
      </w:r>
      <w:r w:rsidRPr="00A00DAD">
        <w:rPr>
          <w:i/>
        </w:rPr>
        <w:t>Social Science &amp; Medicine</w:t>
      </w:r>
      <w:r w:rsidRPr="00A00DAD">
        <w:t xml:space="preserve"> 2016. 163: 10–20.</w:t>
      </w:r>
    </w:p>
    <w:p w:rsidR="008973D5" w:rsidRPr="00A00DAD" w:rsidRDefault="008973D5" w:rsidP="008973D5">
      <w:pPr>
        <w:pStyle w:val="Bibliography"/>
        <w:numPr>
          <w:ilvl w:val="0"/>
          <w:numId w:val="7"/>
        </w:numPr>
      </w:pPr>
      <w:r w:rsidRPr="00A00DAD">
        <w:t>Parker S</w:t>
      </w:r>
      <w:r>
        <w:t xml:space="preserve">W, </w:t>
      </w:r>
      <w:r w:rsidRPr="00A00DAD">
        <w:t>Todd</w:t>
      </w:r>
      <w:r>
        <w:t xml:space="preserve"> PE: </w:t>
      </w:r>
      <w:r w:rsidRPr="00A00DAD">
        <w:t xml:space="preserve">Conditional Cash Transfers: The Case of </w:t>
      </w:r>
      <w:proofErr w:type="spellStart"/>
      <w:r w:rsidRPr="00A00DAD">
        <w:t>Progresa</w:t>
      </w:r>
      <w:proofErr w:type="spellEnd"/>
      <w:r w:rsidRPr="00A00DAD">
        <w:t>/</w:t>
      </w:r>
      <w:proofErr w:type="spellStart"/>
      <w:r w:rsidRPr="00A00DAD">
        <w:t>Oportunidades</w:t>
      </w:r>
      <w:proofErr w:type="spellEnd"/>
      <w:r w:rsidRPr="00A00DAD">
        <w:t xml:space="preserve">.” </w:t>
      </w:r>
      <w:r w:rsidRPr="00A00DAD">
        <w:rPr>
          <w:i/>
        </w:rPr>
        <w:t>Journal of Economic Literature</w:t>
      </w:r>
      <w:r w:rsidRPr="00A00DAD">
        <w:t xml:space="preserve"> 2017. 55(3): 866–915.</w:t>
      </w:r>
    </w:p>
    <w:p w:rsidR="008973D5" w:rsidRPr="00A00DAD" w:rsidRDefault="008973D5" w:rsidP="008973D5">
      <w:pPr>
        <w:pStyle w:val="Bibliography"/>
        <w:numPr>
          <w:ilvl w:val="0"/>
          <w:numId w:val="7"/>
        </w:numPr>
      </w:pPr>
      <w:r>
        <w:t>Vega J,</w:t>
      </w:r>
      <w:r w:rsidRPr="00A00DAD">
        <w:t xml:space="preserve"> </w:t>
      </w:r>
      <w:proofErr w:type="spellStart"/>
      <w:r w:rsidRPr="00A00DAD">
        <w:t>Frenz</w:t>
      </w:r>
      <w:proofErr w:type="spellEnd"/>
      <w:r>
        <w:t xml:space="preserve"> P</w:t>
      </w:r>
      <w:r w:rsidRPr="00A00DAD">
        <w:t>. Conditional Cash Transf</w:t>
      </w:r>
      <w:r>
        <w:t>ers and Health in Latin America:</w:t>
      </w:r>
      <w:r w:rsidRPr="00A00DAD">
        <w:t xml:space="preserve"> </w:t>
      </w:r>
      <w:r w:rsidRPr="00A00DAD">
        <w:rPr>
          <w:i/>
        </w:rPr>
        <w:t>Lancet</w:t>
      </w:r>
      <w:r w:rsidRPr="00A00DAD">
        <w:t xml:space="preserve"> 2015</w:t>
      </w:r>
      <w:r>
        <w:t xml:space="preserve"> </w:t>
      </w:r>
      <w:r w:rsidRPr="00A00DAD">
        <w:t>385: e32–e34.</w:t>
      </w:r>
    </w:p>
    <w:p w:rsidR="008973D5" w:rsidRPr="00A00DAD" w:rsidRDefault="008973D5" w:rsidP="008973D5">
      <w:pPr>
        <w:pStyle w:val="Bibliography"/>
        <w:numPr>
          <w:ilvl w:val="0"/>
          <w:numId w:val="7"/>
        </w:numPr>
      </w:pPr>
      <w:r w:rsidRPr="00A00DAD">
        <w:t>Victoria CG, Aquino</w:t>
      </w:r>
      <w:r>
        <w:t xml:space="preserve"> </w:t>
      </w:r>
      <w:r w:rsidRPr="00A00DAD">
        <w:t xml:space="preserve">EM, Leal M. do </w:t>
      </w:r>
      <w:proofErr w:type="spellStart"/>
      <w:r w:rsidRPr="00A00DAD">
        <w:t>Carmo</w:t>
      </w:r>
      <w:proofErr w:type="spellEnd"/>
      <w:r w:rsidRPr="00A00DAD">
        <w:t xml:space="preserve">, </w:t>
      </w:r>
      <w:proofErr w:type="spellStart"/>
      <w:r w:rsidRPr="00A00DAD">
        <w:t>Monteiro</w:t>
      </w:r>
      <w:proofErr w:type="spellEnd"/>
      <w:r>
        <w:t xml:space="preserve"> CA</w:t>
      </w:r>
      <w:r w:rsidRPr="00A00DAD">
        <w:t xml:space="preserve">, </w:t>
      </w:r>
      <w:r>
        <w:t xml:space="preserve">Barros </w:t>
      </w:r>
      <w:r w:rsidRPr="00A00DAD">
        <w:t>F</w:t>
      </w:r>
      <w:r>
        <w:t xml:space="preserve">C, </w:t>
      </w:r>
      <w:proofErr w:type="spellStart"/>
      <w:r>
        <w:t>Szwarcwald</w:t>
      </w:r>
      <w:proofErr w:type="spellEnd"/>
      <w:r w:rsidRPr="00A00DAD">
        <w:t xml:space="preserve"> </w:t>
      </w:r>
      <w:r>
        <w:t>CL:</w:t>
      </w:r>
      <w:r w:rsidRPr="00A00DAD">
        <w:t xml:space="preserve"> “Maternal and Child Health in Brazil: Progress and Challenges.” </w:t>
      </w:r>
      <w:r w:rsidRPr="00A00DAD">
        <w:rPr>
          <w:i/>
        </w:rPr>
        <w:t>Lancet</w:t>
      </w:r>
      <w:r w:rsidRPr="00A00DAD">
        <w:t xml:space="preserve"> 2011</w:t>
      </w:r>
      <w:r>
        <w:t xml:space="preserve"> </w:t>
      </w:r>
      <w:r w:rsidRPr="00A00DAD">
        <w:t>377: 1863–76.</w:t>
      </w:r>
    </w:p>
    <w:p w:rsidR="008973D5" w:rsidRDefault="008973D5" w:rsidP="008973D5">
      <w:pPr>
        <w:pStyle w:val="FirstParagraph"/>
        <w:numPr>
          <w:ilvl w:val="0"/>
          <w:numId w:val="7"/>
        </w:numPr>
        <w:spacing w:before="0" w:after="0"/>
      </w:pPr>
      <w:proofErr w:type="spellStart"/>
      <w:r w:rsidRPr="001D4678">
        <w:t>Riccio</w:t>
      </w:r>
      <w:proofErr w:type="spellEnd"/>
      <w:r w:rsidRPr="001D4678">
        <w:t xml:space="preserve"> J, </w:t>
      </w:r>
      <w:proofErr w:type="spellStart"/>
      <w:r w:rsidRPr="001D4678">
        <w:t>Dechausay</w:t>
      </w:r>
      <w:proofErr w:type="spellEnd"/>
      <w:r w:rsidRPr="001D4678">
        <w:t xml:space="preserve"> N, Greenberg D, Miller C Rucks Z, </w:t>
      </w:r>
      <w:proofErr w:type="spellStart"/>
      <w:r w:rsidRPr="001D4678">
        <w:t>Verma</w:t>
      </w:r>
      <w:proofErr w:type="spellEnd"/>
      <w:r w:rsidRPr="001D4678">
        <w:t xml:space="preserve"> N</w:t>
      </w:r>
      <w:r>
        <w:t xml:space="preserve">: </w:t>
      </w:r>
      <w:r w:rsidRPr="001D4678">
        <w:t>Towards reduced poverty across generations: early findings from New York City’s Conditional Cash Transfer Program,</w:t>
      </w:r>
      <w:r>
        <w:t xml:space="preserve"> </w:t>
      </w:r>
      <w:r w:rsidRPr="001D4678">
        <w:t xml:space="preserve">(2010)  Available from: </w:t>
      </w:r>
      <w:hyperlink r:id="rId10">
        <w:r w:rsidRPr="001D4678">
          <w:rPr>
            <w:rStyle w:val="Hyperlink"/>
            <w:color w:val="auto"/>
          </w:rPr>
          <w:t>http://www.mdrc.org/publications/549/full.pdf</w:t>
        </w:r>
      </w:hyperlink>
      <w:r w:rsidRPr="001D4678">
        <w:t xml:space="preserve"> [Accessed on July 5th, 2011]</w:t>
      </w:r>
    </w:p>
    <w:p w:rsidR="008973D5" w:rsidRPr="00A00DAD" w:rsidRDefault="008973D5" w:rsidP="008973D5">
      <w:pPr>
        <w:pStyle w:val="Default"/>
      </w:pPr>
    </w:p>
    <w:p w:rsidR="008973D5" w:rsidRDefault="008973D5" w:rsidP="008973D5">
      <w:pPr>
        <w:pStyle w:val="Default"/>
        <w:numPr>
          <w:ilvl w:val="0"/>
          <w:numId w:val="7"/>
        </w:numPr>
        <w:rPr>
          <w:rFonts w:asciiTheme="minorHAnsi" w:hAnsiTheme="minorHAnsi" w:cstheme="minorBidi"/>
          <w:color w:val="auto"/>
        </w:rPr>
      </w:pPr>
      <w:r>
        <w:rPr>
          <w:rFonts w:asciiTheme="minorHAnsi" w:hAnsiTheme="minorHAnsi" w:cstheme="minorBidi"/>
          <w:color w:val="auto"/>
        </w:rPr>
        <w:t>Holmes R, Samson M</w:t>
      </w:r>
      <w:r w:rsidRPr="00A00DAD">
        <w:rPr>
          <w:rFonts w:asciiTheme="minorHAnsi" w:hAnsiTheme="minorHAnsi" w:cstheme="minorBidi"/>
          <w:color w:val="auto"/>
        </w:rPr>
        <w:t xml:space="preserve">, </w:t>
      </w:r>
      <w:proofErr w:type="spellStart"/>
      <w:r w:rsidRPr="00A00DAD">
        <w:rPr>
          <w:rFonts w:asciiTheme="minorHAnsi" w:hAnsiTheme="minorHAnsi" w:cstheme="minorBidi"/>
          <w:color w:val="auto"/>
        </w:rPr>
        <w:t>Magoronga</w:t>
      </w:r>
      <w:proofErr w:type="spellEnd"/>
      <w:r>
        <w:rPr>
          <w:rFonts w:asciiTheme="minorHAnsi" w:hAnsiTheme="minorHAnsi" w:cstheme="minorBidi"/>
          <w:color w:val="auto"/>
        </w:rPr>
        <w:t xml:space="preserve"> </w:t>
      </w:r>
      <w:r w:rsidRPr="00A00DAD">
        <w:rPr>
          <w:rFonts w:asciiTheme="minorHAnsi" w:hAnsiTheme="minorHAnsi" w:cstheme="minorBidi"/>
          <w:color w:val="auto"/>
        </w:rPr>
        <w:t>W,</w:t>
      </w:r>
      <w:r>
        <w:rPr>
          <w:rFonts w:asciiTheme="minorHAnsi" w:hAnsiTheme="minorHAnsi" w:cstheme="minorBidi"/>
          <w:color w:val="auto"/>
        </w:rPr>
        <w:t xml:space="preserve"> </w:t>
      </w:r>
      <w:proofErr w:type="spellStart"/>
      <w:r w:rsidRPr="00A00DAD">
        <w:rPr>
          <w:rFonts w:asciiTheme="minorHAnsi" w:hAnsiTheme="minorHAnsi" w:cstheme="minorBidi"/>
          <w:color w:val="auto"/>
        </w:rPr>
        <w:t>Akinrimisi</w:t>
      </w:r>
      <w:proofErr w:type="spellEnd"/>
      <w:r>
        <w:rPr>
          <w:rFonts w:asciiTheme="minorHAnsi" w:hAnsiTheme="minorHAnsi" w:cstheme="minorBidi"/>
          <w:color w:val="auto"/>
        </w:rPr>
        <w:t xml:space="preserve"> B, Morgan</w:t>
      </w:r>
      <w:r w:rsidRPr="00A00DAD">
        <w:rPr>
          <w:rFonts w:asciiTheme="minorHAnsi" w:hAnsiTheme="minorHAnsi" w:cstheme="minorBidi"/>
          <w:color w:val="auto"/>
        </w:rPr>
        <w:t xml:space="preserve"> J</w:t>
      </w:r>
      <w:r>
        <w:rPr>
          <w:rFonts w:asciiTheme="minorHAnsi" w:hAnsiTheme="minorHAnsi" w:cstheme="minorBidi"/>
          <w:color w:val="auto"/>
        </w:rPr>
        <w:t>.</w:t>
      </w:r>
      <w:r w:rsidRPr="00A00DAD">
        <w:rPr>
          <w:rFonts w:asciiTheme="minorHAnsi" w:hAnsiTheme="minorHAnsi" w:cstheme="minorBidi"/>
          <w:color w:val="auto"/>
        </w:rPr>
        <w:t xml:space="preserve"> ‘The potential for cash transfers in Nigeria’ Project Briefing No 60</w:t>
      </w:r>
      <w:r>
        <w:rPr>
          <w:rFonts w:asciiTheme="minorHAnsi" w:hAnsiTheme="minorHAnsi" w:cstheme="minorBidi"/>
          <w:color w:val="auto"/>
        </w:rPr>
        <w:t xml:space="preserve"> </w:t>
      </w:r>
      <w:r w:rsidRPr="00A00DAD">
        <w:rPr>
          <w:rFonts w:asciiTheme="minorHAnsi" w:hAnsiTheme="minorHAnsi" w:cstheme="minorBidi"/>
          <w:color w:val="auto"/>
        </w:rPr>
        <w:t>(2011)</w:t>
      </w:r>
    </w:p>
    <w:p w:rsidR="008973D5" w:rsidRPr="00A00DAD" w:rsidRDefault="008973D5" w:rsidP="008973D5">
      <w:pPr>
        <w:pStyle w:val="Default"/>
        <w:ind w:left="720"/>
        <w:rPr>
          <w:rFonts w:asciiTheme="minorHAnsi" w:hAnsiTheme="minorHAnsi" w:cstheme="minorBidi"/>
          <w:color w:val="auto"/>
        </w:rPr>
      </w:pPr>
    </w:p>
    <w:p w:rsidR="008973D5" w:rsidRDefault="008973D5" w:rsidP="008973D5">
      <w:pPr>
        <w:pStyle w:val="ListParagraph"/>
        <w:numPr>
          <w:ilvl w:val="0"/>
          <w:numId w:val="7"/>
        </w:numPr>
        <w:autoSpaceDE w:val="0"/>
        <w:autoSpaceDN w:val="0"/>
        <w:adjustRightInd w:val="0"/>
        <w:spacing w:after="0"/>
        <w:rPr>
          <w:sz w:val="24"/>
          <w:szCs w:val="24"/>
        </w:rPr>
      </w:pPr>
      <w:r w:rsidRPr="00A00DAD">
        <w:rPr>
          <w:sz w:val="24"/>
          <w:szCs w:val="24"/>
        </w:rPr>
        <w:t>Salman KK</w:t>
      </w:r>
      <w:r>
        <w:rPr>
          <w:sz w:val="24"/>
          <w:szCs w:val="24"/>
        </w:rPr>
        <w:t>:</w:t>
      </w:r>
      <w:r w:rsidRPr="00A00DAD">
        <w:rPr>
          <w:sz w:val="24"/>
          <w:szCs w:val="24"/>
        </w:rPr>
        <w:t xml:space="preserve"> Impact Evaluation of Conditional Cash Transfer (CCT) Programme on Girl-Child, School Enrolment, Attendance and Completion in Kano State, Nigeria, Proposal Submitted to AGRODEP</w:t>
      </w:r>
      <w:r>
        <w:rPr>
          <w:sz w:val="24"/>
          <w:szCs w:val="24"/>
        </w:rPr>
        <w:t xml:space="preserve"> </w:t>
      </w:r>
      <w:r w:rsidRPr="00A00DAD">
        <w:rPr>
          <w:sz w:val="24"/>
          <w:szCs w:val="24"/>
        </w:rPr>
        <w:t xml:space="preserve">(2013) available online at </w:t>
      </w:r>
      <w:hyperlink r:id="rId11" w:history="1">
        <w:r w:rsidRPr="00A00DAD">
          <w:rPr>
            <w:rStyle w:val="Hyperlink"/>
            <w:sz w:val="24"/>
            <w:szCs w:val="24"/>
          </w:rPr>
          <w:t>http://www.agrodep.org/sites/default/files/annualmeeting/Seed_Salman_KK_final.pdf</w:t>
        </w:r>
      </w:hyperlink>
      <w:r w:rsidRPr="00A00DAD">
        <w:rPr>
          <w:rFonts w:cs="AdvPTimes"/>
          <w:color w:val="000000"/>
          <w:sz w:val="24"/>
          <w:szCs w:val="24"/>
        </w:rPr>
        <w:t>A</w:t>
      </w:r>
      <w:r w:rsidRPr="00A00DAD">
        <w:rPr>
          <w:sz w:val="24"/>
          <w:szCs w:val="24"/>
        </w:rPr>
        <w:t>ccessed 01.06.2018</w:t>
      </w:r>
    </w:p>
    <w:p w:rsidR="008973D5" w:rsidRPr="00A00DAD" w:rsidRDefault="008973D5" w:rsidP="008973D5">
      <w:pPr>
        <w:pStyle w:val="ListParagraph"/>
        <w:autoSpaceDE w:val="0"/>
        <w:autoSpaceDN w:val="0"/>
        <w:adjustRightInd w:val="0"/>
        <w:spacing w:after="0"/>
        <w:rPr>
          <w:sz w:val="24"/>
          <w:szCs w:val="24"/>
        </w:rPr>
      </w:pPr>
    </w:p>
    <w:p w:rsidR="008973D5" w:rsidRDefault="008973D5" w:rsidP="008973D5">
      <w:pPr>
        <w:pStyle w:val="ListParagraph"/>
        <w:numPr>
          <w:ilvl w:val="0"/>
          <w:numId w:val="7"/>
        </w:numPr>
        <w:autoSpaceDE w:val="0"/>
        <w:autoSpaceDN w:val="0"/>
        <w:adjustRightInd w:val="0"/>
        <w:spacing w:after="0"/>
        <w:rPr>
          <w:rFonts w:cs="LiberationSans"/>
          <w:color w:val="000000"/>
          <w:sz w:val="24"/>
          <w:szCs w:val="24"/>
        </w:rPr>
      </w:pPr>
      <w:proofErr w:type="spellStart"/>
      <w:r>
        <w:rPr>
          <w:rFonts w:cs="Shaker2Lancet-Italic"/>
          <w:iCs/>
          <w:sz w:val="24"/>
          <w:szCs w:val="24"/>
        </w:rPr>
        <w:t>Cecchini</w:t>
      </w:r>
      <w:proofErr w:type="spellEnd"/>
      <w:r>
        <w:rPr>
          <w:rFonts w:cs="Shaker2Lancet-Italic"/>
          <w:iCs/>
          <w:sz w:val="24"/>
          <w:szCs w:val="24"/>
        </w:rPr>
        <w:t xml:space="preserve"> S,</w:t>
      </w:r>
      <w:r w:rsidRPr="00A00DAD">
        <w:rPr>
          <w:rFonts w:cs="Shaker2Lancet-Italic"/>
          <w:iCs/>
          <w:sz w:val="24"/>
          <w:szCs w:val="24"/>
        </w:rPr>
        <w:t xml:space="preserve"> </w:t>
      </w:r>
      <w:proofErr w:type="spellStart"/>
      <w:r w:rsidRPr="00A00DAD">
        <w:rPr>
          <w:rFonts w:cs="Shaker2Lancet-Italic"/>
          <w:iCs/>
          <w:sz w:val="24"/>
          <w:szCs w:val="24"/>
        </w:rPr>
        <w:t>Soares</w:t>
      </w:r>
      <w:proofErr w:type="spellEnd"/>
      <w:r w:rsidRPr="00A00DAD">
        <w:rPr>
          <w:rFonts w:cs="Shaker2Lancet-Italic"/>
          <w:iCs/>
          <w:sz w:val="24"/>
          <w:szCs w:val="24"/>
        </w:rPr>
        <w:t xml:space="preserve"> FV</w:t>
      </w:r>
      <w:r>
        <w:rPr>
          <w:rFonts w:cs="Shaker2Lancet-Italic"/>
          <w:iCs/>
          <w:sz w:val="24"/>
          <w:szCs w:val="24"/>
        </w:rPr>
        <w:t>:</w:t>
      </w:r>
      <w:r w:rsidRPr="00A00DAD">
        <w:rPr>
          <w:rFonts w:cs="Shaker2Lancet-Italic"/>
          <w:i/>
          <w:iCs/>
          <w:sz w:val="24"/>
          <w:szCs w:val="24"/>
        </w:rPr>
        <w:t xml:space="preserve"> ‘</w:t>
      </w:r>
      <w:r w:rsidRPr="00A00DAD">
        <w:rPr>
          <w:rFonts w:cs="LiberationSans"/>
          <w:color w:val="000000"/>
          <w:sz w:val="24"/>
          <w:szCs w:val="24"/>
        </w:rPr>
        <w:t xml:space="preserve">Conditional cash transfers and health in Latin America’ www.thelancet.com </w:t>
      </w:r>
      <w:r>
        <w:rPr>
          <w:rFonts w:cs="LiberationSans"/>
          <w:color w:val="000000"/>
          <w:sz w:val="24"/>
          <w:szCs w:val="24"/>
        </w:rPr>
        <w:t xml:space="preserve"> </w:t>
      </w:r>
      <w:r w:rsidRPr="00A00DAD">
        <w:rPr>
          <w:rFonts w:cs="Shaker2Lancet-Italic"/>
          <w:iCs/>
          <w:sz w:val="24"/>
          <w:szCs w:val="24"/>
        </w:rPr>
        <w:t>(2015</w:t>
      </w:r>
      <w:r w:rsidRPr="00A00DAD">
        <w:rPr>
          <w:rFonts w:cs="Shaker2Lancet-Italic"/>
          <w:i/>
          <w:iCs/>
          <w:sz w:val="24"/>
          <w:szCs w:val="24"/>
        </w:rPr>
        <w:t>)</w:t>
      </w:r>
      <w:r w:rsidRPr="00A00DAD">
        <w:rPr>
          <w:rFonts w:cs="LiberationSans"/>
          <w:color w:val="000000"/>
          <w:sz w:val="24"/>
          <w:szCs w:val="24"/>
        </w:rPr>
        <w:t>Vol 385, pp. e32-e34</w:t>
      </w:r>
    </w:p>
    <w:p w:rsidR="008973D5" w:rsidRPr="00422C4C" w:rsidRDefault="008973D5" w:rsidP="008973D5">
      <w:pPr>
        <w:pStyle w:val="ListParagraph"/>
        <w:rPr>
          <w:rFonts w:cs="LiberationSans"/>
          <w:color w:val="000000"/>
          <w:sz w:val="24"/>
          <w:szCs w:val="24"/>
        </w:rPr>
      </w:pPr>
    </w:p>
    <w:p w:rsidR="008973D5" w:rsidRPr="00A00DAD" w:rsidRDefault="008973D5" w:rsidP="008973D5">
      <w:pPr>
        <w:pStyle w:val="Bibliography"/>
        <w:numPr>
          <w:ilvl w:val="0"/>
          <w:numId w:val="7"/>
        </w:numPr>
      </w:pPr>
      <w:r>
        <w:rPr>
          <w:rFonts w:cs="AdvPTimes"/>
          <w:color w:val="000000"/>
        </w:rPr>
        <w:lastRenderedPageBreak/>
        <w:t>Vanguard</w:t>
      </w:r>
      <w:r w:rsidRPr="00A00DAD">
        <w:rPr>
          <w:rFonts w:cs="AdvPTimes"/>
          <w:color w:val="000000"/>
        </w:rPr>
        <w:t xml:space="preserve">. [Editorial]: Vanguard 8 May 2018 online article] </w:t>
      </w:r>
      <w:r w:rsidRPr="00A00DAD">
        <w:t xml:space="preserve">FG pays N5000 to 400000 poor Nigerians under cash transfer </w:t>
      </w:r>
      <w:proofErr w:type="spellStart"/>
      <w:r w:rsidRPr="00A00DAD">
        <w:t>programme</w:t>
      </w:r>
      <w:proofErr w:type="spellEnd"/>
      <w:r w:rsidRPr="00A00DAD">
        <w:t xml:space="preserve"> in 20 states.</w:t>
      </w:r>
      <w:r>
        <w:t xml:space="preserve"> </w:t>
      </w:r>
      <w:r w:rsidRPr="00A00DAD">
        <w:rPr>
          <w:rFonts w:cs="AdvPTimes"/>
          <w:color w:val="000000"/>
        </w:rPr>
        <w:t>2018</w:t>
      </w:r>
      <w:r w:rsidRPr="00A00DAD">
        <w:br/>
      </w:r>
      <w:r w:rsidRPr="00A00DAD">
        <w:rPr>
          <w:rFonts w:cs="AdvPTimes"/>
          <w:color w:val="000000"/>
        </w:rPr>
        <w:t xml:space="preserve">Retrieved 30 July 2018 from </w:t>
      </w:r>
      <w:hyperlink r:id="rId12" w:history="1">
        <w:r w:rsidRPr="00A00DAD">
          <w:rPr>
            <w:rStyle w:val="Hyperlink"/>
          </w:rPr>
          <w:t>https://www.vanguardngr.com/2018/05/fg-pays-n5000-400000-poor-nigerians-cash-transfer-proframme-20-states/</w:t>
        </w:r>
      </w:hyperlink>
    </w:p>
    <w:p w:rsidR="008973D5" w:rsidRDefault="008973D5" w:rsidP="008973D5">
      <w:pPr>
        <w:pStyle w:val="ListParagraph"/>
        <w:numPr>
          <w:ilvl w:val="0"/>
          <w:numId w:val="7"/>
        </w:numPr>
        <w:autoSpaceDE w:val="0"/>
        <w:autoSpaceDN w:val="0"/>
        <w:adjustRightInd w:val="0"/>
        <w:spacing w:after="0"/>
        <w:rPr>
          <w:rFonts w:cs="Arial"/>
          <w:bCs/>
          <w:sz w:val="24"/>
          <w:szCs w:val="24"/>
        </w:rPr>
      </w:pPr>
      <w:proofErr w:type="spellStart"/>
      <w:r>
        <w:rPr>
          <w:rFonts w:cs="Arial"/>
          <w:bCs/>
          <w:sz w:val="24"/>
          <w:szCs w:val="24"/>
        </w:rPr>
        <w:t>Owusu-Addo</w:t>
      </w:r>
      <w:proofErr w:type="spellEnd"/>
      <w:r>
        <w:rPr>
          <w:rFonts w:cs="Arial"/>
          <w:bCs/>
          <w:sz w:val="24"/>
          <w:szCs w:val="24"/>
        </w:rPr>
        <w:t xml:space="preserve"> E, </w:t>
      </w:r>
      <w:proofErr w:type="spellStart"/>
      <w:r>
        <w:rPr>
          <w:rFonts w:cs="Arial"/>
          <w:bCs/>
          <w:sz w:val="24"/>
          <w:szCs w:val="24"/>
        </w:rPr>
        <w:t>Renzaho</w:t>
      </w:r>
      <w:proofErr w:type="spellEnd"/>
      <w:r>
        <w:rPr>
          <w:rFonts w:cs="Arial"/>
          <w:bCs/>
          <w:sz w:val="24"/>
          <w:szCs w:val="24"/>
        </w:rPr>
        <w:t xml:space="preserve"> AM</w:t>
      </w:r>
      <w:r w:rsidRPr="00A00DAD">
        <w:rPr>
          <w:rFonts w:cs="Arial"/>
          <w:bCs/>
          <w:sz w:val="24"/>
          <w:szCs w:val="24"/>
        </w:rPr>
        <w:t>N, Mahal AS</w:t>
      </w:r>
      <w:r>
        <w:rPr>
          <w:rFonts w:cs="Arial"/>
          <w:bCs/>
          <w:sz w:val="24"/>
          <w:szCs w:val="24"/>
        </w:rPr>
        <w:t>, Smith</w:t>
      </w:r>
      <w:r w:rsidRPr="00A00DAD">
        <w:rPr>
          <w:rFonts w:cs="Arial"/>
          <w:bCs/>
          <w:sz w:val="24"/>
          <w:szCs w:val="24"/>
        </w:rPr>
        <w:t xml:space="preserve"> BJ</w:t>
      </w:r>
      <w:r>
        <w:rPr>
          <w:rFonts w:cs="Arial"/>
          <w:bCs/>
          <w:sz w:val="24"/>
          <w:szCs w:val="24"/>
        </w:rPr>
        <w:t>:</w:t>
      </w:r>
      <w:r w:rsidRPr="00A00DAD">
        <w:rPr>
          <w:rFonts w:cs="Arial"/>
          <w:bCs/>
          <w:sz w:val="24"/>
          <w:szCs w:val="24"/>
        </w:rPr>
        <w:t xml:space="preserve"> The impact of cash transfers on social determinants of health and health inequalities in Sub-Saharan Africa: a systematic review protocol’ </w:t>
      </w:r>
      <w:r w:rsidRPr="00EC3F0E">
        <w:rPr>
          <w:rFonts w:cs="Arial"/>
          <w:bCs/>
          <w:i/>
          <w:sz w:val="24"/>
          <w:szCs w:val="24"/>
        </w:rPr>
        <w:t>Systematic Reviews</w:t>
      </w:r>
      <w:r>
        <w:rPr>
          <w:rFonts w:cs="Arial"/>
          <w:bCs/>
          <w:sz w:val="24"/>
          <w:szCs w:val="24"/>
        </w:rPr>
        <w:t xml:space="preserve"> </w:t>
      </w:r>
      <w:r w:rsidRPr="00A00DAD">
        <w:rPr>
          <w:rFonts w:cs="Arial"/>
          <w:bCs/>
          <w:sz w:val="24"/>
          <w:szCs w:val="24"/>
        </w:rPr>
        <w:t>(2016), Vol.(5)11, pp.1-13</w:t>
      </w:r>
    </w:p>
    <w:p w:rsidR="00386A16" w:rsidRPr="00A00DAD" w:rsidRDefault="00386A16" w:rsidP="00386A16">
      <w:pPr>
        <w:pStyle w:val="ListParagraph"/>
        <w:autoSpaceDE w:val="0"/>
        <w:autoSpaceDN w:val="0"/>
        <w:adjustRightInd w:val="0"/>
        <w:spacing w:after="0"/>
        <w:rPr>
          <w:rFonts w:cs="Arial"/>
          <w:bCs/>
          <w:sz w:val="24"/>
          <w:szCs w:val="24"/>
        </w:rPr>
      </w:pPr>
    </w:p>
    <w:p w:rsidR="008973D5" w:rsidRPr="00EC3F0E" w:rsidRDefault="008973D5" w:rsidP="008973D5">
      <w:pPr>
        <w:pStyle w:val="ListParagraph"/>
        <w:numPr>
          <w:ilvl w:val="0"/>
          <w:numId w:val="7"/>
        </w:numPr>
        <w:autoSpaceDE w:val="0"/>
        <w:autoSpaceDN w:val="0"/>
        <w:adjustRightInd w:val="0"/>
        <w:spacing w:after="0"/>
        <w:rPr>
          <w:sz w:val="24"/>
          <w:szCs w:val="24"/>
        </w:rPr>
      </w:pPr>
      <w:proofErr w:type="spellStart"/>
      <w:r w:rsidRPr="00A00DAD">
        <w:rPr>
          <w:rFonts w:cs="AdvTT5843c571"/>
          <w:color w:val="231F20"/>
          <w:sz w:val="24"/>
          <w:szCs w:val="24"/>
        </w:rPr>
        <w:t>Gaardera</w:t>
      </w:r>
      <w:proofErr w:type="spellEnd"/>
      <w:r w:rsidRPr="00A00DAD">
        <w:rPr>
          <w:rFonts w:cs="AdvTT5843c571"/>
          <w:color w:val="231F20"/>
          <w:sz w:val="24"/>
          <w:szCs w:val="24"/>
        </w:rPr>
        <w:t xml:space="preserve"> MM, </w:t>
      </w:r>
      <w:proofErr w:type="spellStart"/>
      <w:r w:rsidRPr="00A00DAD">
        <w:rPr>
          <w:rFonts w:cs="AdvTT5843c571"/>
          <w:color w:val="231F20"/>
          <w:sz w:val="24"/>
          <w:szCs w:val="24"/>
        </w:rPr>
        <w:t>Glassmanb</w:t>
      </w:r>
      <w:proofErr w:type="spellEnd"/>
      <w:r w:rsidRPr="00A00DAD">
        <w:rPr>
          <w:rFonts w:cs="AdvTT5843c571"/>
          <w:color w:val="231F20"/>
          <w:sz w:val="24"/>
          <w:szCs w:val="24"/>
        </w:rPr>
        <w:t xml:space="preserve"> A</w:t>
      </w:r>
      <w:r>
        <w:rPr>
          <w:rFonts w:cs="AdvTT5843c571"/>
          <w:color w:val="231F20"/>
          <w:sz w:val="24"/>
          <w:szCs w:val="24"/>
        </w:rPr>
        <w:t xml:space="preserve">, </w:t>
      </w:r>
      <w:proofErr w:type="spellStart"/>
      <w:r w:rsidRPr="00A00DAD">
        <w:rPr>
          <w:rFonts w:cs="AdvTT5843c571"/>
          <w:color w:val="231F20"/>
          <w:sz w:val="24"/>
          <w:szCs w:val="24"/>
        </w:rPr>
        <w:t>Toddc</w:t>
      </w:r>
      <w:proofErr w:type="spellEnd"/>
      <w:r w:rsidRPr="00A00DAD">
        <w:rPr>
          <w:rFonts w:cs="AdvTT5843c571"/>
          <w:color w:val="231F20"/>
          <w:sz w:val="24"/>
          <w:szCs w:val="24"/>
        </w:rPr>
        <w:t xml:space="preserve"> JE</w:t>
      </w:r>
      <w:r>
        <w:rPr>
          <w:rFonts w:cs="AdvTT5843c571"/>
          <w:color w:val="231F20"/>
          <w:sz w:val="24"/>
          <w:szCs w:val="24"/>
        </w:rPr>
        <w:t xml:space="preserve">: </w:t>
      </w:r>
      <w:r w:rsidRPr="00A00DAD">
        <w:rPr>
          <w:rFonts w:cs="AdvTT2cba4af3.B"/>
          <w:color w:val="231F20"/>
          <w:sz w:val="24"/>
          <w:szCs w:val="24"/>
        </w:rPr>
        <w:t xml:space="preserve">Conditional cash transfers and health: unpacking the causal chain’, </w:t>
      </w:r>
      <w:r w:rsidRPr="00A00DAD">
        <w:rPr>
          <w:rFonts w:cs="AdvTTf90d833a.I"/>
          <w:i/>
          <w:color w:val="231F20"/>
          <w:sz w:val="24"/>
          <w:szCs w:val="24"/>
        </w:rPr>
        <w:t>Journal of Development Effectiveness</w:t>
      </w:r>
      <w:r>
        <w:rPr>
          <w:rFonts w:cs="AdvTTf90d833a.I"/>
          <w:i/>
          <w:color w:val="231F20"/>
          <w:sz w:val="24"/>
          <w:szCs w:val="24"/>
        </w:rPr>
        <w:t xml:space="preserve"> </w:t>
      </w:r>
      <w:r w:rsidRPr="00A00DAD">
        <w:rPr>
          <w:rFonts w:cs="AdvTT5843c571"/>
          <w:color w:val="231F20"/>
          <w:sz w:val="24"/>
          <w:szCs w:val="24"/>
        </w:rPr>
        <w:t>(2010),</w:t>
      </w:r>
      <w:r>
        <w:rPr>
          <w:rFonts w:cs="AdvTT5843c571"/>
          <w:color w:val="231F20"/>
          <w:sz w:val="24"/>
          <w:szCs w:val="24"/>
        </w:rPr>
        <w:t xml:space="preserve"> </w:t>
      </w:r>
      <w:r w:rsidRPr="00A00DAD">
        <w:rPr>
          <w:rFonts w:cs="AdvTT5843c571"/>
          <w:color w:val="231F20"/>
          <w:sz w:val="24"/>
          <w:szCs w:val="24"/>
        </w:rPr>
        <w:t>Vol. 2(1), pp. 6–50</w:t>
      </w:r>
    </w:p>
    <w:p w:rsidR="008973D5" w:rsidRPr="00A00DAD" w:rsidRDefault="008973D5" w:rsidP="008973D5">
      <w:pPr>
        <w:pStyle w:val="ListParagraph"/>
        <w:autoSpaceDE w:val="0"/>
        <w:autoSpaceDN w:val="0"/>
        <w:adjustRightInd w:val="0"/>
        <w:spacing w:after="0"/>
        <w:rPr>
          <w:sz w:val="24"/>
          <w:szCs w:val="24"/>
        </w:rPr>
      </w:pPr>
    </w:p>
    <w:p w:rsidR="008973D5" w:rsidRPr="00A00DAD" w:rsidRDefault="008973D5" w:rsidP="008973D5">
      <w:pPr>
        <w:pStyle w:val="Bibliography"/>
        <w:numPr>
          <w:ilvl w:val="0"/>
          <w:numId w:val="7"/>
        </w:numPr>
      </w:pPr>
      <w:proofErr w:type="spellStart"/>
      <w:r w:rsidRPr="00A00DAD">
        <w:t>Kusuma</w:t>
      </w:r>
      <w:proofErr w:type="spellEnd"/>
      <w:r w:rsidRPr="00A00DAD">
        <w:t xml:space="preserve">, D., H </w:t>
      </w:r>
      <w:proofErr w:type="spellStart"/>
      <w:r w:rsidRPr="00A00DAD">
        <w:t>Thabrany</w:t>
      </w:r>
      <w:proofErr w:type="spellEnd"/>
      <w:r w:rsidRPr="00A00DAD">
        <w:t xml:space="preserve">, B </w:t>
      </w:r>
      <w:proofErr w:type="spellStart"/>
      <w:r w:rsidRPr="00A00DAD">
        <w:t>Hidayat</w:t>
      </w:r>
      <w:proofErr w:type="spellEnd"/>
      <w:r w:rsidRPr="00A00DAD">
        <w:t xml:space="preserve">, M. </w:t>
      </w:r>
      <w:proofErr w:type="spellStart"/>
      <w:r w:rsidRPr="00A00DAD">
        <w:t>Mcconnell</w:t>
      </w:r>
      <w:proofErr w:type="spellEnd"/>
      <w:r w:rsidRPr="00A00DAD">
        <w:t xml:space="preserve">, P. Berman, and J. Cohen. 2017. “New Evidence on the Impact of Large-Scale Conditional Cash Transfers on Child Vaccination Rates: The Case of a Clustered-Randomized Trial in Indonesia.” </w:t>
      </w:r>
      <w:r w:rsidRPr="00A00DAD">
        <w:rPr>
          <w:i/>
        </w:rPr>
        <w:t>World Development</w:t>
      </w:r>
      <w:r w:rsidRPr="00A00DAD">
        <w:t xml:space="preserve"> 98: 497–505.</w:t>
      </w:r>
    </w:p>
    <w:p w:rsidR="008973D5" w:rsidRPr="00A00DAD" w:rsidRDefault="008973D5" w:rsidP="008973D5">
      <w:pPr>
        <w:pStyle w:val="Bibliography"/>
        <w:numPr>
          <w:ilvl w:val="0"/>
          <w:numId w:val="7"/>
        </w:numPr>
      </w:pPr>
      <w:proofErr w:type="spellStart"/>
      <w:r w:rsidRPr="00A00DAD">
        <w:t>Lagarde</w:t>
      </w:r>
      <w:proofErr w:type="spellEnd"/>
      <w:r w:rsidRPr="00A00DAD">
        <w:t xml:space="preserve"> M, Haines</w:t>
      </w:r>
      <w:r>
        <w:t xml:space="preserve"> A</w:t>
      </w:r>
      <w:r w:rsidRPr="00A00DAD">
        <w:t>, Palmer</w:t>
      </w:r>
      <w:r>
        <w:t xml:space="preserve"> N:</w:t>
      </w:r>
      <w:r w:rsidRPr="00A00DAD">
        <w:t xml:space="preserve"> Conditional Cash Transfers for Improving Uptake of Health Interventions in Low- and Middle-Income Countries: </w:t>
      </w:r>
      <w:r w:rsidRPr="00EC3F0E">
        <w:rPr>
          <w:i/>
        </w:rPr>
        <w:t>A Systematic Review</w:t>
      </w:r>
      <w:r w:rsidRPr="00A00DAD">
        <w:t xml:space="preserve">.” 2007. </w:t>
      </w:r>
      <w:r w:rsidRPr="00A00DAD">
        <w:rPr>
          <w:i/>
        </w:rPr>
        <w:t>JAMA</w:t>
      </w:r>
      <w:r w:rsidRPr="00A00DAD">
        <w:t xml:space="preserve"> 298(16): 1900–1910.</w:t>
      </w:r>
    </w:p>
    <w:p w:rsidR="008973D5" w:rsidRPr="00A00DAD" w:rsidRDefault="008973D5" w:rsidP="008973D5">
      <w:pPr>
        <w:pStyle w:val="Bibliography"/>
        <w:numPr>
          <w:ilvl w:val="0"/>
          <w:numId w:val="7"/>
        </w:numPr>
      </w:pPr>
      <w:proofErr w:type="spellStart"/>
      <w:r w:rsidRPr="00A00DAD">
        <w:t>Kusuma</w:t>
      </w:r>
      <w:proofErr w:type="spellEnd"/>
      <w:r>
        <w:t xml:space="preserve"> D</w:t>
      </w:r>
      <w:r w:rsidRPr="00A00DAD">
        <w:t xml:space="preserve">, </w:t>
      </w:r>
      <w:proofErr w:type="spellStart"/>
      <w:r w:rsidRPr="00A00DAD">
        <w:t>Thabrany</w:t>
      </w:r>
      <w:proofErr w:type="spellEnd"/>
      <w:r>
        <w:t xml:space="preserve"> </w:t>
      </w:r>
      <w:r w:rsidRPr="00A00DAD">
        <w:t xml:space="preserve">H, </w:t>
      </w:r>
      <w:proofErr w:type="spellStart"/>
      <w:r w:rsidRPr="00A00DAD">
        <w:t>Hidayat</w:t>
      </w:r>
      <w:proofErr w:type="spellEnd"/>
      <w:r>
        <w:t xml:space="preserve"> </w:t>
      </w:r>
      <w:r w:rsidRPr="00A00DAD">
        <w:t xml:space="preserve">B, </w:t>
      </w:r>
      <w:proofErr w:type="spellStart"/>
      <w:r w:rsidRPr="00A00DAD">
        <w:t>Mcconnell</w:t>
      </w:r>
      <w:proofErr w:type="spellEnd"/>
      <w:r>
        <w:t xml:space="preserve"> M</w:t>
      </w:r>
      <w:r w:rsidRPr="00A00DAD">
        <w:t>, Berman</w:t>
      </w:r>
      <w:r>
        <w:t xml:space="preserve"> P</w:t>
      </w:r>
      <w:r w:rsidRPr="00A00DAD">
        <w:t>,</w:t>
      </w:r>
      <w:r>
        <w:t xml:space="preserve"> Cohen J: </w:t>
      </w:r>
      <w:r w:rsidRPr="00A00DAD">
        <w:t xml:space="preserve">New Evidence on the Impact of Large-Scale Conditional Cash Transfers on Child Vaccination Rates: The Case of a Clustered-Randomized Trial in Indonesia.” </w:t>
      </w:r>
      <w:r w:rsidRPr="00A00DAD">
        <w:rPr>
          <w:i/>
        </w:rPr>
        <w:t>World Development</w:t>
      </w:r>
      <w:r w:rsidRPr="00A00DAD">
        <w:t xml:space="preserve"> 2017.</w:t>
      </w:r>
      <w:r>
        <w:t xml:space="preserve"> </w:t>
      </w:r>
      <w:r w:rsidRPr="00A00DAD">
        <w:t>98: 497–505.</w:t>
      </w:r>
    </w:p>
    <w:p w:rsidR="008973D5" w:rsidRPr="00A00DAD" w:rsidRDefault="008973D5" w:rsidP="008973D5">
      <w:pPr>
        <w:pStyle w:val="Bibliography"/>
        <w:numPr>
          <w:ilvl w:val="0"/>
          <w:numId w:val="7"/>
        </w:numPr>
      </w:pPr>
      <w:r w:rsidRPr="00A00DAD">
        <w:t xml:space="preserve"> “About Sure–P.” </w:t>
      </w:r>
      <w:proofErr w:type="spellStart"/>
      <w:r w:rsidRPr="00A00DAD">
        <w:t>n.d.</w:t>
      </w:r>
      <w:hyperlink r:id="rId13">
        <w:r w:rsidRPr="00A00DAD">
          <w:rPr>
            <w:rStyle w:val="Hyperlink"/>
          </w:rPr>
          <w:t>http</w:t>
        </w:r>
        <w:proofErr w:type="spellEnd"/>
        <w:r w:rsidRPr="00A00DAD">
          <w:rPr>
            <w:rStyle w:val="Hyperlink"/>
          </w:rPr>
          <w:t>://surepmch.org/</w:t>
        </w:r>
        <w:proofErr w:type="spellStart"/>
        <w:r w:rsidRPr="00A00DAD">
          <w:rPr>
            <w:rStyle w:val="Hyperlink"/>
          </w:rPr>
          <w:t>sp_about.php</w:t>
        </w:r>
        <w:proofErr w:type="spellEnd"/>
      </w:hyperlink>
      <w:r w:rsidRPr="00A00DAD">
        <w:t>.</w:t>
      </w:r>
    </w:p>
    <w:p w:rsidR="008973D5" w:rsidRPr="00A00DAD" w:rsidRDefault="008973D5" w:rsidP="008973D5">
      <w:pPr>
        <w:pStyle w:val="Bibliography"/>
        <w:numPr>
          <w:ilvl w:val="0"/>
          <w:numId w:val="7"/>
        </w:numPr>
      </w:pPr>
      <w:r w:rsidRPr="00A00DAD">
        <w:t xml:space="preserve">The World Bank. “The SURE-P Maternal and Child Health Project in Nigeria” Policy Brief 2016b. available online at </w:t>
      </w:r>
      <w:hyperlink r:id="rId14" w:history="1">
        <w:r w:rsidRPr="00A00DAD">
          <w:rPr>
            <w:rStyle w:val="Hyperlink"/>
            <w:rFonts w:cs="AdvPTimes"/>
          </w:rPr>
          <w:t>http://pubdocs.worldbank.org/en/284981453222884744/Policy-brief-Nigeria-SURE-P-MCH-IE.pdf</w:t>
        </w:r>
      </w:hyperlink>
      <w:r w:rsidRPr="00A00DAD">
        <w:rPr>
          <w:rFonts w:cs="AdvPTimes"/>
          <w:color w:val="000000"/>
        </w:rPr>
        <w:t xml:space="preserve"> A</w:t>
      </w:r>
      <w:r w:rsidRPr="00A00DAD">
        <w:t>ccessed 01.06.2018</w:t>
      </w:r>
    </w:p>
    <w:p w:rsidR="008973D5" w:rsidRPr="00A00DAD" w:rsidRDefault="008973D5" w:rsidP="008973D5">
      <w:pPr>
        <w:pStyle w:val="Bibliography"/>
        <w:numPr>
          <w:ilvl w:val="0"/>
          <w:numId w:val="7"/>
        </w:numPr>
      </w:pPr>
      <w:r w:rsidRPr="00A00DAD">
        <w:t>Abimbola S</w:t>
      </w:r>
      <w:r>
        <w:t xml:space="preserve">, </w:t>
      </w:r>
      <w:r w:rsidRPr="00A00DAD">
        <w:t>Okoli</w:t>
      </w:r>
      <w:r>
        <w:t xml:space="preserve"> U</w:t>
      </w:r>
      <w:r w:rsidRPr="00A00DAD">
        <w:t xml:space="preserve">, </w:t>
      </w:r>
      <w:proofErr w:type="spellStart"/>
      <w:r w:rsidRPr="00A00DAD">
        <w:t>Olubajo</w:t>
      </w:r>
      <w:proofErr w:type="spellEnd"/>
      <w:r>
        <w:t xml:space="preserve"> O</w:t>
      </w:r>
      <w:r w:rsidRPr="00A00DAD">
        <w:t xml:space="preserve">, </w:t>
      </w:r>
      <w:proofErr w:type="spellStart"/>
      <w:r w:rsidRPr="00A00DAD">
        <w:t>Abdullahi</w:t>
      </w:r>
      <w:proofErr w:type="spellEnd"/>
      <w:r>
        <w:t xml:space="preserve"> MJ, </w:t>
      </w:r>
      <w:r w:rsidRPr="00A00DAD">
        <w:t>Pate</w:t>
      </w:r>
      <w:r>
        <w:t xml:space="preserve"> MA: </w:t>
      </w:r>
      <w:r w:rsidRPr="00A00DAD">
        <w:t>The Midw</w:t>
      </w:r>
      <w:r>
        <w:t>ives Service Scheme in Nigeria.</w:t>
      </w:r>
      <w:r w:rsidRPr="00A00DAD">
        <w:t xml:space="preserve"> </w:t>
      </w:r>
      <w:proofErr w:type="spellStart"/>
      <w:r w:rsidRPr="00A00DAD">
        <w:rPr>
          <w:i/>
        </w:rPr>
        <w:t>PloS</w:t>
      </w:r>
      <w:proofErr w:type="spellEnd"/>
      <w:r w:rsidRPr="00A00DAD">
        <w:rPr>
          <w:i/>
        </w:rPr>
        <w:t xml:space="preserve"> Medicine</w:t>
      </w:r>
      <w:r>
        <w:t>,</w:t>
      </w:r>
      <w:r w:rsidRPr="00A00DAD">
        <w:t xml:space="preserve"> 2012</w:t>
      </w:r>
      <w:r>
        <w:t xml:space="preserve">, </w:t>
      </w:r>
      <w:r w:rsidRPr="00A00DAD">
        <w:t xml:space="preserve">9(5). </w:t>
      </w:r>
      <w:hyperlink r:id="rId15">
        <w:r w:rsidRPr="00A00DAD">
          <w:rPr>
            <w:rStyle w:val="Hyperlink"/>
          </w:rPr>
          <w:t>https://doi.org/10.1371/journal.pmed.1001211</w:t>
        </w:r>
      </w:hyperlink>
      <w:r w:rsidRPr="00A00DAD">
        <w:t>.</w:t>
      </w:r>
    </w:p>
    <w:p w:rsidR="008973D5" w:rsidRPr="009F5BBC" w:rsidRDefault="008973D5" w:rsidP="008973D5">
      <w:pPr>
        <w:pStyle w:val="Bibliography"/>
        <w:numPr>
          <w:ilvl w:val="0"/>
          <w:numId w:val="7"/>
        </w:numPr>
      </w:pPr>
      <w:proofErr w:type="spellStart"/>
      <w:r w:rsidRPr="009F5BBC">
        <w:t>Ebenso</w:t>
      </w:r>
      <w:proofErr w:type="spellEnd"/>
      <w:r w:rsidRPr="009F5BBC">
        <w:t xml:space="preserve"> BE, </w:t>
      </w:r>
      <w:proofErr w:type="spellStart"/>
      <w:r w:rsidRPr="009F5BBC">
        <w:t>Uzochukwu</w:t>
      </w:r>
      <w:proofErr w:type="spellEnd"/>
      <w:r w:rsidRPr="009F5BBC">
        <w:t xml:space="preserve"> V, </w:t>
      </w:r>
      <w:proofErr w:type="spellStart"/>
      <w:r w:rsidRPr="009F5BBC">
        <w:t>Manzano</w:t>
      </w:r>
      <w:proofErr w:type="spellEnd"/>
      <w:r w:rsidRPr="009F5BBC">
        <w:t xml:space="preserve"> A, </w:t>
      </w:r>
      <w:proofErr w:type="spellStart"/>
      <w:r w:rsidRPr="009F5BBC">
        <w:t>Etiaba</w:t>
      </w:r>
      <w:proofErr w:type="spellEnd"/>
      <w:r w:rsidRPr="009F5BBC">
        <w:t xml:space="preserve"> E, Huss R, Ensor T, Newell J, </w:t>
      </w:r>
      <w:proofErr w:type="spellStart"/>
      <w:r w:rsidRPr="009F5BBC">
        <w:t>Onwujekwe</w:t>
      </w:r>
      <w:proofErr w:type="spellEnd"/>
      <w:r w:rsidRPr="009F5BBC">
        <w:t xml:space="preserve"> O, </w:t>
      </w:r>
      <w:proofErr w:type="spellStart"/>
      <w:r w:rsidRPr="009F5BBC">
        <w:t>Ezuma</w:t>
      </w:r>
      <w:proofErr w:type="spellEnd"/>
      <w:r w:rsidRPr="009F5BBC">
        <w:t xml:space="preserve"> N, Hicks J, </w:t>
      </w:r>
      <w:proofErr w:type="spellStart"/>
      <w:r w:rsidRPr="009F5BBC">
        <w:t>Mirzoev</w:t>
      </w:r>
      <w:proofErr w:type="spellEnd"/>
      <w:r w:rsidRPr="009F5BBC">
        <w:t xml:space="preserve"> T: “De-Constructing a Complex </w:t>
      </w:r>
      <w:proofErr w:type="spellStart"/>
      <w:r w:rsidRPr="009F5BBC">
        <w:t>Programme</w:t>
      </w:r>
      <w:proofErr w:type="spellEnd"/>
      <w:r w:rsidRPr="009F5BBC">
        <w:t xml:space="preserve"> Using a Logic Map: Realist Evaluation of Maternal and Child Health in Nigeria.” 2015 Leeds, UK.</w:t>
      </w:r>
    </w:p>
    <w:p w:rsidR="008973D5" w:rsidRPr="00A00DAD" w:rsidRDefault="008973D5" w:rsidP="008973D5">
      <w:pPr>
        <w:pStyle w:val="Bibliography"/>
        <w:numPr>
          <w:ilvl w:val="0"/>
          <w:numId w:val="7"/>
        </w:numPr>
      </w:pPr>
      <w:proofErr w:type="spellStart"/>
      <w:r>
        <w:t>EpiAfric</w:t>
      </w:r>
      <w:proofErr w:type="spellEnd"/>
      <w:r>
        <w:t>:</w:t>
      </w:r>
      <w:r w:rsidRPr="00A00DAD">
        <w:t xml:space="preserve"> “An Evaluation of the Maternal and Child Health Project of the Subsidy Reinvestment and Empowerment </w:t>
      </w:r>
      <w:proofErr w:type="spellStart"/>
      <w:r w:rsidRPr="00A00DAD">
        <w:t>Programme</w:t>
      </w:r>
      <w:proofErr w:type="spellEnd"/>
      <w:r w:rsidRPr="00A00DAD">
        <w:t xml:space="preserve"> (Sure—P </w:t>
      </w:r>
      <w:proofErr w:type="spellStart"/>
      <w:r w:rsidRPr="00A00DAD">
        <w:t>Mch</w:t>
      </w:r>
      <w:proofErr w:type="spellEnd"/>
      <w:r w:rsidRPr="00A00DAD">
        <w:t>) March-May 2015.” SURE–P MCH.</w:t>
      </w:r>
    </w:p>
    <w:p w:rsidR="00386A16" w:rsidRPr="00A00DAD" w:rsidRDefault="00386A16" w:rsidP="00386A16">
      <w:pPr>
        <w:pStyle w:val="Bibliography"/>
        <w:numPr>
          <w:ilvl w:val="0"/>
          <w:numId w:val="7"/>
        </w:numPr>
      </w:pPr>
      <w:r w:rsidRPr="00A00DAD">
        <w:t xml:space="preserve">GHMC. “Subsidy Reinvestment and Empowerment </w:t>
      </w:r>
      <w:proofErr w:type="spellStart"/>
      <w:r w:rsidRPr="00A00DAD">
        <w:t>Programme</w:t>
      </w:r>
      <w:proofErr w:type="spellEnd"/>
      <w:r w:rsidRPr="00A00DAD">
        <w:t xml:space="preserve"> on Maternal and Child Health Conditional Cash Transfer (CCT) Pilot </w:t>
      </w:r>
      <w:proofErr w:type="spellStart"/>
      <w:r w:rsidRPr="00A00DAD">
        <w:t>Programme</w:t>
      </w:r>
      <w:proofErr w:type="spellEnd"/>
      <w:r w:rsidRPr="00A00DAD">
        <w:t xml:space="preserve"> Assessment Report,</w:t>
      </w:r>
      <w:r>
        <w:t xml:space="preserve"> </w:t>
      </w:r>
      <w:r w:rsidRPr="00A00DAD">
        <w:t>2015</w:t>
      </w:r>
      <w:r>
        <w:t xml:space="preserve"> submitted by</w:t>
      </w:r>
      <w:r w:rsidRPr="00A00DAD">
        <w:t xml:space="preserve"> Global Health and </w:t>
      </w:r>
      <w:r>
        <w:t>Medical Consultants Ltd.</w:t>
      </w:r>
    </w:p>
    <w:p w:rsidR="008973D5" w:rsidRPr="00A00DAD" w:rsidRDefault="008973D5" w:rsidP="008973D5">
      <w:pPr>
        <w:pStyle w:val="Bibliography"/>
        <w:numPr>
          <w:ilvl w:val="0"/>
          <w:numId w:val="7"/>
        </w:numPr>
        <w:rPr>
          <w:rFonts w:cs="AdvOT5fcf1b24"/>
        </w:rPr>
      </w:pPr>
      <w:r w:rsidRPr="00A00DAD">
        <w:rPr>
          <w:rFonts w:cs="OpenSans-Semibold"/>
        </w:rPr>
        <w:lastRenderedPageBreak/>
        <w:t xml:space="preserve">Devereux S, </w:t>
      </w:r>
      <w:proofErr w:type="spellStart"/>
      <w:r w:rsidRPr="00A00DAD">
        <w:rPr>
          <w:rFonts w:cs="OpenSans-Semibold"/>
        </w:rPr>
        <w:t>Masset</w:t>
      </w:r>
      <w:proofErr w:type="spellEnd"/>
      <w:r w:rsidRPr="00A00DAD">
        <w:rPr>
          <w:rFonts w:cs="OpenSans-Semibold"/>
        </w:rPr>
        <w:t xml:space="preserve"> E, </w:t>
      </w:r>
      <w:proofErr w:type="spellStart"/>
      <w:r w:rsidRPr="00A00DAD">
        <w:rPr>
          <w:rFonts w:cs="OpenSans-Semibold"/>
        </w:rPr>
        <w:t>Sabates</w:t>
      </w:r>
      <w:proofErr w:type="spellEnd"/>
      <w:r w:rsidRPr="00A00DAD">
        <w:rPr>
          <w:rFonts w:cs="OpenSans-Semibold"/>
        </w:rPr>
        <w:t>-Wheeler, Samson</w:t>
      </w:r>
      <w:r>
        <w:rPr>
          <w:rFonts w:cs="OpenSans-Semibold"/>
        </w:rPr>
        <w:t xml:space="preserve"> </w:t>
      </w:r>
      <w:r w:rsidRPr="00A00DAD">
        <w:rPr>
          <w:rFonts w:cs="OpenSans-Semibold"/>
        </w:rPr>
        <w:t xml:space="preserve">R, Rivas A.M, </w:t>
      </w:r>
      <w:proofErr w:type="spellStart"/>
      <w:r w:rsidRPr="00A00DAD">
        <w:rPr>
          <w:rFonts w:cs="OpenSans-Semibold"/>
        </w:rPr>
        <w:t>Lintelo</w:t>
      </w:r>
      <w:proofErr w:type="spellEnd"/>
      <w:r w:rsidRPr="00A00DAD">
        <w:rPr>
          <w:rFonts w:cs="OpenSans-Semibold"/>
        </w:rPr>
        <w:t xml:space="preserve"> D</w:t>
      </w:r>
      <w:r>
        <w:rPr>
          <w:rFonts w:cs="OpenSans-Semibold"/>
        </w:rPr>
        <w:t>:</w:t>
      </w:r>
      <w:r w:rsidRPr="00A00DAD">
        <w:rPr>
          <w:rFonts w:cs="OpenSans-Semibold"/>
        </w:rPr>
        <w:t xml:space="preserve"> The targeting effectiveness of social transfers’, </w:t>
      </w:r>
      <w:r w:rsidRPr="00A00DAD">
        <w:rPr>
          <w:rFonts w:cs="AdvOT5fcf1b24"/>
          <w:i/>
        </w:rPr>
        <w:t>Journal of Development Effectiveness</w:t>
      </w:r>
      <w:r w:rsidRPr="00A00DAD">
        <w:rPr>
          <w:rFonts w:cs="AdvOT5fcf1b24"/>
        </w:rPr>
        <w:t xml:space="preserve">, </w:t>
      </w:r>
      <w:r w:rsidRPr="00A00DAD">
        <w:rPr>
          <w:rFonts w:cs="OpenSans-Semibold"/>
        </w:rPr>
        <w:t>, (2017),</w:t>
      </w:r>
      <w:r>
        <w:rPr>
          <w:rFonts w:cs="OpenSans-Semibold"/>
        </w:rPr>
        <w:t xml:space="preserve"> </w:t>
      </w:r>
      <w:r w:rsidRPr="00A00DAD">
        <w:rPr>
          <w:rFonts w:cs="AdvOT5fcf1b24"/>
        </w:rPr>
        <w:t>9(2), pp. 162</w:t>
      </w:r>
      <w:r w:rsidRPr="00A00DAD">
        <w:rPr>
          <w:rFonts w:cs="AdvOT5fcf1b24+20"/>
        </w:rPr>
        <w:t>–</w:t>
      </w:r>
      <w:r w:rsidRPr="00A00DAD">
        <w:rPr>
          <w:rFonts w:cs="AdvOT5fcf1b24"/>
        </w:rPr>
        <w:t>211</w:t>
      </w:r>
    </w:p>
    <w:p w:rsidR="00BB6BAA" w:rsidRDefault="00BB6BAA" w:rsidP="00BB6BAA">
      <w:pPr>
        <w:pStyle w:val="BodyText"/>
        <w:numPr>
          <w:ilvl w:val="0"/>
          <w:numId w:val="7"/>
        </w:numPr>
      </w:pPr>
      <w:r>
        <w:t xml:space="preserve">Kruk ME, </w:t>
      </w:r>
      <w:proofErr w:type="spellStart"/>
      <w:r>
        <w:t>Kujawski</w:t>
      </w:r>
      <w:proofErr w:type="spellEnd"/>
      <w:r>
        <w:t xml:space="preserve"> S, </w:t>
      </w:r>
      <w:proofErr w:type="spellStart"/>
      <w:r>
        <w:t>Mbaruku</w:t>
      </w:r>
      <w:proofErr w:type="spellEnd"/>
      <w:r>
        <w:t xml:space="preserve"> G, Ramsey K, </w:t>
      </w:r>
      <w:proofErr w:type="spellStart"/>
      <w:r>
        <w:t>Moyo</w:t>
      </w:r>
      <w:proofErr w:type="spellEnd"/>
      <w:r>
        <w:t xml:space="preserve"> W and Freedman LP: ‘Disrespectful and abusive treatment during facility delivery in Tanzania: a facility and community survey, </w:t>
      </w:r>
      <w:r w:rsidRPr="00BB6BAA">
        <w:rPr>
          <w:i/>
        </w:rPr>
        <w:t xml:space="preserve">Health Policy and Planning </w:t>
      </w:r>
      <w:r>
        <w:t xml:space="preserve">2014;1–8 </w:t>
      </w:r>
    </w:p>
    <w:p w:rsidR="00386A16" w:rsidRPr="00A00DAD" w:rsidRDefault="00386A16" w:rsidP="00386A16">
      <w:pPr>
        <w:pStyle w:val="Bibliography"/>
        <w:numPr>
          <w:ilvl w:val="0"/>
          <w:numId w:val="7"/>
        </w:numPr>
      </w:pPr>
      <w:r w:rsidRPr="00A00DAD">
        <w:t>Hunter B</w:t>
      </w:r>
      <w:r>
        <w:t>M</w:t>
      </w:r>
      <w:r w:rsidRPr="00A00DAD">
        <w:t>, Murray</w:t>
      </w:r>
      <w:r>
        <w:t xml:space="preserve"> SF:</w:t>
      </w:r>
      <w:r w:rsidRPr="00A00DAD">
        <w:t xml:space="preserve"> Demand-Side Financing for Maternal and Newborn Health: What Do We Know About Factors That Affect Implementation of Cash Transfers and Voucher </w:t>
      </w:r>
      <w:proofErr w:type="spellStart"/>
      <w:r w:rsidRPr="00A00DAD">
        <w:t>Programmes</w:t>
      </w:r>
      <w:proofErr w:type="spellEnd"/>
      <w:r w:rsidRPr="00A00DAD">
        <w:t xml:space="preserve">? </w:t>
      </w:r>
      <w:r w:rsidRPr="00A00DAD">
        <w:rPr>
          <w:i/>
        </w:rPr>
        <w:t>BMC Pregnancy and Childbirth</w:t>
      </w:r>
      <w:r w:rsidRPr="00A00DAD">
        <w:t xml:space="preserve"> </w:t>
      </w:r>
      <w:r>
        <w:t xml:space="preserve">2017, </w:t>
      </w:r>
      <w:r w:rsidRPr="00A00DAD">
        <w:t>17:262: 1–28.</w:t>
      </w:r>
    </w:p>
    <w:p w:rsidR="008973D5" w:rsidRPr="001D4678" w:rsidRDefault="008973D5" w:rsidP="008973D5">
      <w:pPr>
        <w:pStyle w:val="Bibliography"/>
        <w:numPr>
          <w:ilvl w:val="0"/>
          <w:numId w:val="7"/>
        </w:numPr>
      </w:pPr>
      <w:r w:rsidRPr="001D4678">
        <w:rPr>
          <w:rFonts w:cs="AdvTT057e0751.I"/>
        </w:rPr>
        <w:t xml:space="preserve">McNabb M, </w:t>
      </w:r>
      <w:proofErr w:type="spellStart"/>
      <w:r w:rsidRPr="001D4678">
        <w:rPr>
          <w:rFonts w:cs="AdvTT057e0751.I"/>
        </w:rPr>
        <w:t>Chukwu</w:t>
      </w:r>
      <w:proofErr w:type="spellEnd"/>
      <w:r w:rsidRPr="001D4678">
        <w:rPr>
          <w:rFonts w:cs="AdvTT057e0751.I"/>
        </w:rPr>
        <w:t xml:space="preserve"> M, Salami M, </w:t>
      </w:r>
      <w:proofErr w:type="spellStart"/>
      <w:r w:rsidRPr="001D4678">
        <w:rPr>
          <w:rFonts w:cs="AdvTT057e0751.I"/>
        </w:rPr>
        <w:t>Ojo</w:t>
      </w:r>
      <w:proofErr w:type="spellEnd"/>
      <w:r w:rsidRPr="001D4678">
        <w:rPr>
          <w:rFonts w:cs="AdvTT057e0751.I"/>
        </w:rPr>
        <w:t xml:space="preserve"> O, </w:t>
      </w:r>
      <w:proofErr w:type="spellStart"/>
      <w:r w:rsidRPr="001D4678">
        <w:rPr>
          <w:rFonts w:cs="AdvTT057e0751.I"/>
        </w:rPr>
        <w:t>Jega</w:t>
      </w:r>
      <w:proofErr w:type="spellEnd"/>
      <w:r w:rsidRPr="001D4678">
        <w:rPr>
          <w:rFonts w:cs="AdvTT057e0751.I"/>
        </w:rPr>
        <w:t xml:space="preserve"> F: ‘</w:t>
      </w:r>
      <w:r w:rsidRPr="001D4678">
        <w:t xml:space="preserve">Assessing the feasibility and value of a pilot project using mobile applications and mobile money to enhance a maternal health conditional cash transfer (CCT) program in Nigeria leading to the </w:t>
      </w:r>
      <w:r w:rsidRPr="001D4678">
        <w:rPr>
          <w:rFonts w:cs="AdvTT057e0751.I"/>
        </w:rPr>
        <w:t>(2015)</w:t>
      </w:r>
    </w:p>
    <w:p w:rsidR="008973D5" w:rsidRPr="00DB3A0A" w:rsidRDefault="008973D5" w:rsidP="008973D5">
      <w:pPr>
        <w:pStyle w:val="Bibliography"/>
        <w:numPr>
          <w:ilvl w:val="0"/>
          <w:numId w:val="7"/>
        </w:numPr>
      </w:pPr>
      <w:r w:rsidRPr="00E16B98">
        <w:t xml:space="preserve">Glassman A, Duran D, Fleisher L, Singer D, </w:t>
      </w:r>
      <w:proofErr w:type="spellStart"/>
      <w:r w:rsidRPr="00E16B98">
        <w:t>Sturke</w:t>
      </w:r>
      <w:proofErr w:type="spellEnd"/>
      <w:r w:rsidRPr="00E16B98">
        <w:t xml:space="preserve"> R, Angeles G, Charles J, </w:t>
      </w:r>
      <w:proofErr w:type="spellStart"/>
      <w:r w:rsidRPr="00E16B98">
        <w:t>Emrey</w:t>
      </w:r>
      <w:proofErr w:type="spellEnd"/>
      <w:r w:rsidRPr="00E16B98">
        <w:t xml:space="preserve"> B, Gleason J, </w:t>
      </w:r>
      <w:proofErr w:type="spellStart"/>
      <w:r w:rsidRPr="00E16B98">
        <w:t>Mwebsa</w:t>
      </w:r>
      <w:proofErr w:type="spellEnd"/>
      <w:r w:rsidRPr="00E16B98">
        <w:t xml:space="preserve">  W, Saldana  K, Yarrow K, </w:t>
      </w:r>
      <w:proofErr w:type="spellStart"/>
      <w:r w:rsidRPr="00E16B98">
        <w:t>Koblinsky</w:t>
      </w:r>
      <w:proofErr w:type="spellEnd"/>
      <w:r w:rsidRPr="00E16B98">
        <w:t xml:space="preserve">  </w:t>
      </w:r>
      <w:proofErr w:type="spellStart"/>
      <w:r w:rsidRPr="00E16B98">
        <w:t>M“Impact</w:t>
      </w:r>
      <w:proofErr w:type="spellEnd"/>
      <w:r w:rsidRPr="00E16B98">
        <w:t xml:space="preserve"> of Conditional Cash Transfers on Maternal and Newborn Health.” </w:t>
      </w:r>
      <w:r w:rsidRPr="00E16B98">
        <w:rPr>
          <w:i/>
        </w:rPr>
        <w:t xml:space="preserve">J Health </w:t>
      </w:r>
      <w:proofErr w:type="spellStart"/>
      <w:r w:rsidRPr="00E16B98">
        <w:rPr>
          <w:i/>
        </w:rPr>
        <w:t>PopulNutr</w:t>
      </w:r>
      <w:proofErr w:type="spellEnd"/>
      <w:r w:rsidRPr="00E16B98">
        <w:t xml:space="preserve"> 2013. 31(4): s48–s66.</w:t>
      </w:r>
    </w:p>
    <w:p w:rsidR="003B4946" w:rsidRDefault="003B4946" w:rsidP="00386A16">
      <w:pPr>
        <w:pStyle w:val="BodyText"/>
        <w:ind w:left="720"/>
      </w:pPr>
    </w:p>
    <w:sectPr w:rsidR="003B4946" w:rsidSect="00357CA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R Ugo Okoli" w:date="2019-01-26T20:15:00Z" w:initials="DUO">
    <w:p w:rsidR="00730A02" w:rsidRDefault="00730A02">
      <w:pPr>
        <w:pStyle w:val="CommentText"/>
      </w:pPr>
      <w:r>
        <w:rPr>
          <w:rStyle w:val="CommentReference"/>
        </w:rPr>
        <w:annotationRef/>
      </w:r>
      <w:r>
        <w:t>Remove ‘of’</w:t>
      </w:r>
    </w:p>
  </w:comment>
  <w:comment w:id="3" w:author="DR Ugo Okoli" w:date="2019-01-26T20:35:00Z" w:initials="DUO">
    <w:p w:rsidR="008C1E66" w:rsidRDefault="008C1E66">
      <w:pPr>
        <w:pStyle w:val="CommentText"/>
      </w:pPr>
      <w:r>
        <w:rPr>
          <w:rStyle w:val="CommentReference"/>
        </w:rPr>
        <w:annotationRef/>
      </w:r>
      <w:r>
        <w:t>Revise this sentence structure</w:t>
      </w:r>
    </w:p>
  </w:comment>
  <w:comment w:id="5" w:author="DR Ugo Okoli" w:date="2019-01-26T20:41:00Z" w:initials="DUO">
    <w:p w:rsidR="00F73138" w:rsidRDefault="00F73138">
      <w:pPr>
        <w:pStyle w:val="CommentText"/>
      </w:pPr>
      <w:r>
        <w:rPr>
          <w:rStyle w:val="CommentReference"/>
        </w:rPr>
        <w:annotationRef/>
      </w:r>
      <w:r>
        <w:t>The second reviewer suggested that the desk review should be part of background and not methods. Do we agree?</w:t>
      </w:r>
    </w:p>
  </w:comment>
  <w:comment w:id="6" w:author="DR Ugo Okoli" w:date="2019-01-26T20:44:00Z" w:initials="DUO">
    <w:p w:rsidR="00F73138" w:rsidRDefault="00F73138">
      <w:pPr>
        <w:pStyle w:val="CommentText"/>
      </w:pPr>
      <w:r>
        <w:rPr>
          <w:rStyle w:val="CommentReference"/>
        </w:rPr>
        <w:annotationRef/>
      </w:r>
      <w:r>
        <w:t xml:space="preserve">Does this answer the question of the first reviewer who wants a list of respondents with phone number. Not sure how this </w:t>
      </w:r>
      <w:proofErr w:type="gramStart"/>
      <w:r>
        <w:t>is  possible</w:t>
      </w:r>
      <w:proofErr w:type="gramEnd"/>
    </w:p>
  </w:comment>
  <w:comment w:id="8" w:author="DR Ugo Okoli" w:date="2019-01-26T20:48:00Z" w:initials="DUO">
    <w:p w:rsidR="000254FE" w:rsidRDefault="000254FE">
      <w:pPr>
        <w:pStyle w:val="CommentText"/>
      </w:pPr>
      <w:r>
        <w:rPr>
          <w:rStyle w:val="CommentReference"/>
        </w:rPr>
        <w:annotationRef/>
      </w:r>
      <w:r>
        <w:t xml:space="preserve">This </w:t>
      </w:r>
      <w:proofErr w:type="spellStart"/>
      <w:r>
        <w:t>ia</w:t>
      </w:r>
      <w:proofErr w:type="spellEnd"/>
      <w:r>
        <w:t xml:space="preserve"> part the second reviewer wants as part of background</w:t>
      </w:r>
    </w:p>
  </w:comment>
  <w:comment w:id="12" w:author="DR Ugo Okoli" w:date="2019-01-26T21:10:00Z" w:initials="DUO">
    <w:p w:rsidR="005B05ED" w:rsidRDefault="005B05ED">
      <w:pPr>
        <w:pStyle w:val="CommentText"/>
      </w:pPr>
      <w:r>
        <w:rPr>
          <w:rStyle w:val="CommentReference"/>
        </w:rPr>
        <w:annotationRef/>
      </w:r>
      <w:r>
        <w:t>Check submitted version. This title is not represented. Fig 3 is same as fig 4 below</w:t>
      </w:r>
    </w:p>
  </w:comment>
  <w:comment w:id="13" w:author="DR Ugo Okoli" w:date="2019-01-26T21:09:00Z" w:initials="DUO">
    <w:p w:rsidR="005B05ED" w:rsidRDefault="005B05ED">
      <w:pPr>
        <w:pStyle w:val="CommentText"/>
      </w:pPr>
      <w:r>
        <w:rPr>
          <w:rStyle w:val="CommentReference"/>
        </w:rPr>
        <w:annotationRef/>
      </w:r>
      <w:r>
        <w:t>This is fig 3 in the submitted version. Turn to a table</w:t>
      </w:r>
    </w:p>
  </w:comment>
  <w:comment w:id="14" w:author="DR Ugo Okoli" w:date="2019-01-26T21:08:00Z" w:initials="DUO">
    <w:p w:rsidR="005B05ED" w:rsidRDefault="005B05ED">
      <w:pPr>
        <w:pStyle w:val="CommentText"/>
      </w:pPr>
      <w:r>
        <w:rPr>
          <w:rStyle w:val="CommentReference"/>
        </w:rPr>
        <w:annotationRef/>
      </w:r>
      <w:r>
        <w:t>Remove figure 4 and 5 and just leave the description above</w:t>
      </w:r>
    </w:p>
  </w:comment>
  <w:comment w:id="15" w:author="DR Ugo Okoli" w:date="2019-01-26T21:12:00Z" w:initials="DUO">
    <w:p w:rsidR="005B05ED" w:rsidRDefault="005B05ED">
      <w:pPr>
        <w:pStyle w:val="CommentText"/>
      </w:pPr>
      <w:r>
        <w:rPr>
          <w:rStyle w:val="CommentReference"/>
        </w:rPr>
        <w:annotationRef/>
      </w:r>
      <w:r>
        <w:t>This is fig 4 in the submitted version</w:t>
      </w:r>
    </w:p>
  </w:comment>
  <w:comment w:id="16" w:author="DR Ugo Okoli" w:date="2019-01-26T21:13:00Z" w:initials="DUO">
    <w:p w:rsidR="005B05ED" w:rsidRDefault="005B05ED">
      <w:pPr>
        <w:pStyle w:val="CommentText"/>
      </w:pPr>
      <w:r>
        <w:rPr>
          <w:rStyle w:val="CommentReference"/>
        </w:rPr>
        <w:annotationRef/>
      </w:r>
      <w:r>
        <w:t>Remove this figure and leave the description below</w:t>
      </w:r>
    </w:p>
  </w:comment>
  <w:comment w:id="17" w:author="DR Ugo Okoli" w:date="2019-01-26T21:17:00Z" w:initials="DUO">
    <w:p w:rsidR="00052615" w:rsidRDefault="00052615">
      <w:pPr>
        <w:pStyle w:val="CommentText"/>
      </w:pPr>
      <w:r>
        <w:rPr>
          <w:rStyle w:val="CommentReference"/>
        </w:rPr>
        <w:annotationRef/>
      </w:r>
      <w:r>
        <w:t>Turn to a table</w:t>
      </w:r>
    </w:p>
  </w:comment>
  <w:comment w:id="18" w:author="DR Ugo Okoli" w:date="2019-01-26T21:20:00Z" w:initials="DUO">
    <w:p w:rsidR="00052615" w:rsidRDefault="00052615">
      <w:pPr>
        <w:pStyle w:val="CommentText"/>
      </w:pPr>
      <w:r>
        <w:rPr>
          <w:rStyle w:val="CommentReference"/>
        </w:rPr>
        <w:annotationRef/>
      </w:r>
      <w:r>
        <w:t>Consider turning into a table</w:t>
      </w:r>
    </w:p>
  </w:comment>
  <w:comment w:id="19" w:author="DR Ugo Okoli" w:date="2019-01-26T21:17:00Z" w:initials="DUO">
    <w:p w:rsidR="00052615" w:rsidRDefault="00052615">
      <w:pPr>
        <w:pStyle w:val="CommentText"/>
      </w:pPr>
      <w:r>
        <w:rPr>
          <w:rStyle w:val="CommentReference"/>
        </w:rPr>
        <w:annotationRef/>
      </w:r>
      <w:r>
        <w:t>Remove this figure and just leave description below</w:t>
      </w:r>
    </w:p>
  </w:comment>
  <w:comment w:id="20" w:author="DR Ugo Okoli" w:date="2019-01-26T21:18:00Z" w:initials="DUO">
    <w:p w:rsidR="00052615" w:rsidRDefault="00052615">
      <w:pPr>
        <w:pStyle w:val="CommentText"/>
      </w:pPr>
      <w:r>
        <w:rPr>
          <w:rStyle w:val="CommentReference"/>
        </w:rPr>
        <w:annotationRef/>
      </w:r>
      <w:r>
        <w:t>Remove this table and leave description below</w:t>
      </w:r>
    </w:p>
  </w:comment>
  <w:comment w:id="21" w:author="DR Ugo Okoli" w:date="2019-01-26T21:20:00Z" w:initials="DUO">
    <w:p w:rsidR="00052615" w:rsidRDefault="00052615">
      <w:pPr>
        <w:pStyle w:val="CommentText"/>
      </w:pPr>
      <w:r>
        <w:rPr>
          <w:rStyle w:val="CommentReference"/>
        </w:rPr>
        <w:annotationRef/>
      </w:r>
      <w:r>
        <w:t>Remove this figure</w:t>
      </w:r>
    </w:p>
  </w:comment>
  <w:comment w:id="22" w:author="DR Ugo Okoli" w:date="2019-01-26T21:23:00Z" w:initials="DUO">
    <w:p w:rsidR="00052615" w:rsidRDefault="00052615">
      <w:pPr>
        <w:pStyle w:val="CommentText"/>
      </w:pPr>
      <w:r>
        <w:rPr>
          <w:rStyle w:val="CommentReference"/>
        </w:rPr>
        <w:annotationRef/>
      </w:r>
      <w:r>
        <w:t>Consider changing into table</w:t>
      </w:r>
    </w:p>
  </w:comment>
  <w:comment w:id="23" w:author="DR Ugo Okoli" w:date="2019-01-26T21:24:00Z" w:initials="DUO">
    <w:p w:rsidR="00052615" w:rsidRDefault="00052615">
      <w:pPr>
        <w:pStyle w:val="CommentText"/>
      </w:pPr>
      <w:r>
        <w:rPr>
          <w:rStyle w:val="CommentReference"/>
        </w:rPr>
        <w:annotationRef/>
      </w:r>
      <w:r>
        <w:t xml:space="preserve">Consider removing chart. I did not see it in the submitted </w:t>
      </w:r>
      <w:proofErr w:type="spellStart"/>
      <w:r>
        <w:t>pdf</w:t>
      </w:r>
      <w:proofErr w:type="spellEnd"/>
      <w:r>
        <w:t xml:space="preserve"> version</w:t>
      </w:r>
    </w:p>
  </w:comment>
  <w:comment w:id="24" w:author="DR Ugo Okoli" w:date="2019-01-26T21:25:00Z" w:initials="DUO">
    <w:p w:rsidR="00052615" w:rsidRDefault="00052615">
      <w:pPr>
        <w:pStyle w:val="CommentText"/>
      </w:pPr>
      <w:r>
        <w:rPr>
          <w:rStyle w:val="CommentReference"/>
        </w:rPr>
        <w:annotationRef/>
      </w:r>
      <w:r>
        <w:t>I did not see this in the submitted version</w:t>
      </w:r>
    </w:p>
  </w:comment>
  <w:comment w:id="26" w:author="DR Ugo Okoli" w:date="2019-01-26T21:30:00Z" w:initials="DUO">
    <w:p w:rsidR="00472C5A" w:rsidRDefault="00472C5A">
      <w:pPr>
        <w:pStyle w:val="CommentText"/>
      </w:pPr>
      <w:r>
        <w:rPr>
          <w:rStyle w:val="CommentReference"/>
        </w:rPr>
        <w:annotationRef/>
      </w:r>
      <w:r>
        <w:t xml:space="preserve">Spell </w:t>
      </w:r>
      <w:proofErr w:type="gramStart"/>
      <w:r>
        <w:t>check ?</w:t>
      </w:r>
      <w:proofErr w:type="gramEnd"/>
      <w:r>
        <w:t xml:space="preserve"> </w:t>
      </w:r>
      <w:proofErr w:type="gramStart"/>
      <w:r>
        <w:t>or</w:t>
      </w:r>
      <w:proofErr w:type="gramEnd"/>
      <w:r>
        <w:t xml:space="preserve"> mostly</w:t>
      </w:r>
    </w:p>
  </w:comment>
  <w:comment w:id="27" w:author="DR Ugo Okoli" w:date="2019-01-26T21:36:00Z" w:initials="DUO">
    <w:p w:rsidR="00472C5A" w:rsidRDefault="00472C5A">
      <w:pPr>
        <w:pStyle w:val="CommentText"/>
      </w:pPr>
      <w:r>
        <w:rPr>
          <w:rStyle w:val="CommentReference"/>
        </w:rPr>
        <w:annotationRef/>
      </w:r>
      <w:proofErr w:type="gramStart"/>
      <w:r>
        <w:t>were</w:t>
      </w:r>
      <w:proofErr w:type="gramEnd"/>
    </w:p>
  </w:comment>
  <w:comment w:id="29" w:author="DR Ugo Okoli" w:date="2019-01-26T21:38:00Z" w:initials="DUO">
    <w:p w:rsidR="00A311C8" w:rsidRDefault="00A311C8">
      <w:pPr>
        <w:pStyle w:val="CommentText"/>
      </w:pPr>
      <w:r>
        <w:rPr>
          <w:rStyle w:val="CommentReference"/>
        </w:rPr>
        <w:annotationRef/>
      </w:r>
      <w:proofErr w:type="gramStart"/>
      <w:r>
        <w:t>put</w:t>
      </w:r>
      <w:proofErr w:type="gramEnd"/>
      <w:r>
        <w:t xml:space="preserve"> this in a proper table and place after conclusion</w:t>
      </w:r>
    </w:p>
  </w:comment>
  <w:comment w:id="30" w:author="DR Ugo Okoli" w:date="2019-01-26T21:39:00Z" w:initials="DUO">
    <w:p w:rsidR="00A311C8" w:rsidRDefault="00A311C8">
      <w:pPr>
        <w:pStyle w:val="CommentText"/>
      </w:pPr>
      <w:r>
        <w:rPr>
          <w:rStyle w:val="CommentReference"/>
        </w:rPr>
        <w:annotationRef/>
      </w:r>
      <w:proofErr w:type="gramStart"/>
      <w:r>
        <w:t>remove</w:t>
      </w:r>
      <w:proofErr w:type="gramEnd"/>
      <w:r>
        <w:t xml:space="preserve"> obviously</w:t>
      </w:r>
    </w:p>
  </w:comment>
  <w:comment w:id="31" w:author="DR Ugo Okoli" w:date="2019-01-26T21:41:00Z" w:initials="DUO">
    <w:p w:rsidR="00A311C8" w:rsidRDefault="00A311C8">
      <w:pPr>
        <w:pStyle w:val="CommentText"/>
      </w:pPr>
      <w:r>
        <w:rPr>
          <w:rStyle w:val="CommentReference"/>
        </w:rPr>
        <w:annotationRef/>
      </w:r>
      <w:r>
        <w:t>Rephrase this sentence as one of the reviewers pointed it out that we were not measuring utilization in this study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Meta Bold">
    <w:altName w:val="Meta Bold"/>
    <w:panose1 w:val="00000000000000000000"/>
    <w:charset w:val="00"/>
    <w:family w:val="roman"/>
    <w:notTrueType/>
    <w:pitch w:val="default"/>
    <w:sig w:usb0="00000003" w:usb1="00000000" w:usb2="00000000" w:usb3="00000000" w:csb0="00000001" w:csb1="00000000"/>
  </w:font>
  <w:font w:name="Meta Normal">
    <w:altName w:val="Meta Normal"/>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dvTTb5929f4c">
    <w:panose1 w:val="00000000000000000000"/>
    <w:charset w:val="00"/>
    <w:family w:val="swiss"/>
    <w:notTrueType/>
    <w:pitch w:val="default"/>
    <w:sig w:usb0="00000003" w:usb1="00000000" w:usb2="00000000" w:usb3="00000000" w:csb0="00000001" w:csb1="00000000"/>
  </w:font>
  <w:font w:name="AdvTT99c4c969">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dvTT99c4c969+20">
    <w:panose1 w:val="00000000000000000000"/>
    <w:charset w:val="00"/>
    <w:family w:val="swiss"/>
    <w:notTrueType/>
    <w:pitch w:val="default"/>
    <w:sig w:usb0="00000003" w:usb1="00000000" w:usb2="00000000" w:usb3="00000000" w:csb0="00000001" w:csb1="00000000"/>
  </w:font>
  <w:font w:name="AdvTTb5929f4c+20">
    <w:panose1 w:val="00000000000000000000"/>
    <w:charset w:val="00"/>
    <w:family w:val="swiss"/>
    <w:notTrueType/>
    <w:pitch w:val="default"/>
    <w:sig w:usb0="00000003" w:usb1="00000000" w:usb2="00000000" w:usb3="00000000" w:csb0="00000001" w:csb1="00000000"/>
  </w:font>
  <w:font w:name="AdvPTimes">
    <w:panose1 w:val="00000000000000000000"/>
    <w:charset w:val="00"/>
    <w:family w:val="roman"/>
    <w:notTrueType/>
    <w:pitch w:val="default"/>
    <w:sig w:usb0="00000003" w:usb1="00000000" w:usb2="00000000" w:usb3="00000000" w:csb0="00000001" w:csb1="00000000"/>
  </w:font>
  <w:font w:name="AdvOT863180fb">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LiberationSans">
    <w:panose1 w:val="00000000000000000000"/>
    <w:charset w:val="00"/>
    <w:family w:val="auto"/>
    <w:notTrueType/>
    <w:pitch w:val="default"/>
    <w:sig w:usb0="00000003" w:usb1="00000000" w:usb2="00000000" w:usb3="00000000" w:csb0="00000001" w:csb1="00000000"/>
  </w:font>
  <w:font w:name="Shaker2Lancet-Italic">
    <w:panose1 w:val="00000000000000000000"/>
    <w:charset w:val="00"/>
    <w:family w:val="auto"/>
    <w:notTrueType/>
    <w:pitch w:val="default"/>
    <w:sig w:usb0="00000003" w:usb1="00000000" w:usb2="00000000" w:usb3="00000000" w:csb0="00000001" w:csb1="00000000"/>
  </w:font>
  <w:font w:name="AdvTT5843c571">
    <w:panose1 w:val="00000000000000000000"/>
    <w:charset w:val="00"/>
    <w:family w:val="auto"/>
    <w:notTrueType/>
    <w:pitch w:val="default"/>
    <w:sig w:usb0="00000003" w:usb1="00000000" w:usb2="00000000" w:usb3="00000000" w:csb0="00000001" w:csb1="00000000"/>
  </w:font>
  <w:font w:name="AdvTT2cba4af3.B">
    <w:panose1 w:val="00000000000000000000"/>
    <w:charset w:val="00"/>
    <w:family w:val="auto"/>
    <w:notTrueType/>
    <w:pitch w:val="default"/>
    <w:sig w:usb0="00000003" w:usb1="00000000" w:usb2="00000000" w:usb3="00000000" w:csb0="00000001" w:csb1="00000000"/>
  </w:font>
  <w:font w:name="AdvTTf90d833a.I">
    <w:panose1 w:val="00000000000000000000"/>
    <w:charset w:val="00"/>
    <w:family w:val="auto"/>
    <w:notTrueType/>
    <w:pitch w:val="default"/>
    <w:sig w:usb0="00000003" w:usb1="00000000" w:usb2="00000000" w:usb3="00000000" w:csb0="00000001" w:csb1="00000000"/>
  </w:font>
  <w:font w:name="OpenSans-Semibold">
    <w:panose1 w:val="00000000000000000000"/>
    <w:charset w:val="00"/>
    <w:family w:val="auto"/>
    <w:notTrueType/>
    <w:pitch w:val="default"/>
    <w:sig w:usb0="00000003" w:usb1="00000000" w:usb2="00000000" w:usb3="00000000" w:csb0="00000001" w:csb1="00000000"/>
  </w:font>
  <w:font w:name="AdvOT5fcf1b24">
    <w:panose1 w:val="00000000000000000000"/>
    <w:charset w:val="00"/>
    <w:family w:val="swiss"/>
    <w:notTrueType/>
    <w:pitch w:val="default"/>
    <w:sig w:usb0="00000003" w:usb1="00000000" w:usb2="00000000" w:usb3="00000000" w:csb0="00000001" w:csb1="00000000"/>
  </w:font>
  <w:font w:name="AdvOT5fcf1b24+20">
    <w:panose1 w:val="00000000000000000000"/>
    <w:charset w:val="00"/>
    <w:family w:val="swiss"/>
    <w:notTrueType/>
    <w:pitch w:val="default"/>
    <w:sig w:usb0="00000003" w:usb1="00000000" w:usb2="00000000" w:usb3="00000000" w:csb0="00000001" w:csb1="00000000"/>
  </w:font>
  <w:font w:name="AdvTT057e0751.I">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D4E85"/>
    <w:multiLevelType w:val="multilevel"/>
    <w:tmpl w:val="B03C6D2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3E090CEC"/>
    <w:multiLevelType w:val="hybridMultilevel"/>
    <w:tmpl w:val="A1803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ED29E8"/>
    <w:multiLevelType w:val="hybridMultilevel"/>
    <w:tmpl w:val="D9FA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9E55DD"/>
    <w:multiLevelType w:val="hybridMultilevel"/>
    <w:tmpl w:val="D9FA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3227C1"/>
    <w:multiLevelType w:val="multilevel"/>
    <w:tmpl w:val="C45C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321FCB"/>
    <w:multiLevelType w:val="multilevel"/>
    <w:tmpl w:val="B04A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A8332C"/>
    <w:multiLevelType w:val="hybridMultilevel"/>
    <w:tmpl w:val="BCACC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852951"/>
    <w:multiLevelType w:val="multilevel"/>
    <w:tmpl w:val="1F5447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num>
  <w:num w:numId="3">
    <w:abstractNumId w:val="4"/>
  </w:num>
  <w:num w:numId="4">
    <w:abstractNumId w:val="5"/>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3D5"/>
    <w:rsid w:val="0002097D"/>
    <w:rsid w:val="000254FE"/>
    <w:rsid w:val="00025CCE"/>
    <w:rsid w:val="00041A84"/>
    <w:rsid w:val="000446B4"/>
    <w:rsid w:val="00045D53"/>
    <w:rsid w:val="00052615"/>
    <w:rsid w:val="00054D21"/>
    <w:rsid w:val="0005766A"/>
    <w:rsid w:val="000600CE"/>
    <w:rsid w:val="000619DF"/>
    <w:rsid w:val="00094486"/>
    <w:rsid w:val="000A69B1"/>
    <w:rsid w:val="000B40E8"/>
    <w:rsid w:val="000B6824"/>
    <w:rsid w:val="000C09B7"/>
    <w:rsid w:val="000C2450"/>
    <w:rsid w:val="000D75C6"/>
    <w:rsid w:val="000E100D"/>
    <w:rsid w:val="000E11B2"/>
    <w:rsid w:val="000E2C56"/>
    <w:rsid w:val="000F15AD"/>
    <w:rsid w:val="0010091B"/>
    <w:rsid w:val="001066CD"/>
    <w:rsid w:val="00112C15"/>
    <w:rsid w:val="00113FCF"/>
    <w:rsid w:val="0014395F"/>
    <w:rsid w:val="0015445B"/>
    <w:rsid w:val="0015605F"/>
    <w:rsid w:val="001A05BF"/>
    <w:rsid w:val="001F17B9"/>
    <w:rsid w:val="00207E63"/>
    <w:rsid w:val="002172AB"/>
    <w:rsid w:val="002261BF"/>
    <w:rsid w:val="0023623D"/>
    <w:rsid w:val="0024533A"/>
    <w:rsid w:val="0026240D"/>
    <w:rsid w:val="00276FC7"/>
    <w:rsid w:val="00285197"/>
    <w:rsid w:val="00323A17"/>
    <w:rsid w:val="0033669F"/>
    <w:rsid w:val="003461F0"/>
    <w:rsid w:val="00357CA7"/>
    <w:rsid w:val="00372C2F"/>
    <w:rsid w:val="00380697"/>
    <w:rsid w:val="00386A16"/>
    <w:rsid w:val="003B4946"/>
    <w:rsid w:val="003C4F8A"/>
    <w:rsid w:val="003F11A7"/>
    <w:rsid w:val="003F208C"/>
    <w:rsid w:val="0040142D"/>
    <w:rsid w:val="00404583"/>
    <w:rsid w:val="004158DF"/>
    <w:rsid w:val="00422C72"/>
    <w:rsid w:val="00434359"/>
    <w:rsid w:val="004343D2"/>
    <w:rsid w:val="00441C2F"/>
    <w:rsid w:val="0046039C"/>
    <w:rsid w:val="00467AE3"/>
    <w:rsid w:val="00472C5A"/>
    <w:rsid w:val="004826EB"/>
    <w:rsid w:val="004B2915"/>
    <w:rsid w:val="004B3E97"/>
    <w:rsid w:val="004B55B2"/>
    <w:rsid w:val="004C15ED"/>
    <w:rsid w:val="004F5E96"/>
    <w:rsid w:val="00501EFA"/>
    <w:rsid w:val="0050394F"/>
    <w:rsid w:val="00512F64"/>
    <w:rsid w:val="00521A2A"/>
    <w:rsid w:val="005363B3"/>
    <w:rsid w:val="0054325E"/>
    <w:rsid w:val="00563F68"/>
    <w:rsid w:val="00582064"/>
    <w:rsid w:val="005A4CF8"/>
    <w:rsid w:val="005B05ED"/>
    <w:rsid w:val="005B1029"/>
    <w:rsid w:val="005B6C5C"/>
    <w:rsid w:val="005B7DE8"/>
    <w:rsid w:val="005E0896"/>
    <w:rsid w:val="0061414C"/>
    <w:rsid w:val="0066039F"/>
    <w:rsid w:val="006663FD"/>
    <w:rsid w:val="006C55E8"/>
    <w:rsid w:val="006C7CCA"/>
    <w:rsid w:val="006E4647"/>
    <w:rsid w:val="006E4AB5"/>
    <w:rsid w:val="006F343F"/>
    <w:rsid w:val="00710E53"/>
    <w:rsid w:val="00716A10"/>
    <w:rsid w:val="00730A02"/>
    <w:rsid w:val="007375FA"/>
    <w:rsid w:val="00747098"/>
    <w:rsid w:val="00763918"/>
    <w:rsid w:val="00774A2C"/>
    <w:rsid w:val="00776883"/>
    <w:rsid w:val="00783DBE"/>
    <w:rsid w:val="00791701"/>
    <w:rsid w:val="00794EB6"/>
    <w:rsid w:val="007954B8"/>
    <w:rsid w:val="00795E5A"/>
    <w:rsid w:val="007E2BD0"/>
    <w:rsid w:val="007E6C6D"/>
    <w:rsid w:val="0080516A"/>
    <w:rsid w:val="008417C1"/>
    <w:rsid w:val="00865D10"/>
    <w:rsid w:val="0087058F"/>
    <w:rsid w:val="008973D5"/>
    <w:rsid w:val="008A4573"/>
    <w:rsid w:val="008A775B"/>
    <w:rsid w:val="008C1E66"/>
    <w:rsid w:val="008C354A"/>
    <w:rsid w:val="008D5716"/>
    <w:rsid w:val="008E03B1"/>
    <w:rsid w:val="008F3991"/>
    <w:rsid w:val="008F3B12"/>
    <w:rsid w:val="00901BFD"/>
    <w:rsid w:val="00943D81"/>
    <w:rsid w:val="00982920"/>
    <w:rsid w:val="009876D9"/>
    <w:rsid w:val="009A5A19"/>
    <w:rsid w:val="009B6A7C"/>
    <w:rsid w:val="009C2D18"/>
    <w:rsid w:val="009D7DEC"/>
    <w:rsid w:val="009E26BA"/>
    <w:rsid w:val="009E4B36"/>
    <w:rsid w:val="009E7E58"/>
    <w:rsid w:val="00A019E8"/>
    <w:rsid w:val="00A02513"/>
    <w:rsid w:val="00A26E6B"/>
    <w:rsid w:val="00A311C8"/>
    <w:rsid w:val="00A765BA"/>
    <w:rsid w:val="00A76998"/>
    <w:rsid w:val="00AA700C"/>
    <w:rsid w:val="00AB68D9"/>
    <w:rsid w:val="00AB714F"/>
    <w:rsid w:val="00AC7339"/>
    <w:rsid w:val="00AE3292"/>
    <w:rsid w:val="00B10590"/>
    <w:rsid w:val="00B12FA7"/>
    <w:rsid w:val="00B2434B"/>
    <w:rsid w:val="00B24AE9"/>
    <w:rsid w:val="00B412E9"/>
    <w:rsid w:val="00B5749E"/>
    <w:rsid w:val="00B601D4"/>
    <w:rsid w:val="00B81010"/>
    <w:rsid w:val="00BA0C05"/>
    <w:rsid w:val="00BA39AF"/>
    <w:rsid w:val="00BB6BAA"/>
    <w:rsid w:val="00BC19E4"/>
    <w:rsid w:val="00BC6F7B"/>
    <w:rsid w:val="00BD3F89"/>
    <w:rsid w:val="00BD4205"/>
    <w:rsid w:val="00C024C3"/>
    <w:rsid w:val="00C2153A"/>
    <w:rsid w:val="00C261BF"/>
    <w:rsid w:val="00C2713A"/>
    <w:rsid w:val="00C56F11"/>
    <w:rsid w:val="00C77914"/>
    <w:rsid w:val="00C87BE4"/>
    <w:rsid w:val="00C90B36"/>
    <w:rsid w:val="00D013D1"/>
    <w:rsid w:val="00D0220F"/>
    <w:rsid w:val="00D11A0F"/>
    <w:rsid w:val="00D22809"/>
    <w:rsid w:val="00D237E1"/>
    <w:rsid w:val="00D42111"/>
    <w:rsid w:val="00D4565A"/>
    <w:rsid w:val="00D50225"/>
    <w:rsid w:val="00DA28AA"/>
    <w:rsid w:val="00DA362F"/>
    <w:rsid w:val="00DA3F21"/>
    <w:rsid w:val="00DD5E64"/>
    <w:rsid w:val="00E0055A"/>
    <w:rsid w:val="00E208EC"/>
    <w:rsid w:val="00E61B36"/>
    <w:rsid w:val="00E65746"/>
    <w:rsid w:val="00E70213"/>
    <w:rsid w:val="00E8018C"/>
    <w:rsid w:val="00E934CA"/>
    <w:rsid w:val="00EA2758"/>
    <w:rsid w:val="00EB2885"/>
    <w:rsid w:val="00EC0B9C"/>
    <w:rsid w:val="00ED0BA8"/>
    <w:rsid w:val="00EE0C2F"/>
    <w:rsid w:val="00EF4CFD"/>
    <w:rsid w:val="00F108F1"/>
    <w:rsid w:val="00F205FD"/>
    <w:rsid w:val="00F506CA"/>
    <w:rsid w:val="00F73138"/>
    <w:rsid w:val="00FC56D3"/>
    <w:rsid w:val="00FD3590"/>
    <w:rsid w:val="00FE2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8973D5"/>
    <w:pPr>
      <w:spacing w:after="200" w:line="240" w:lineRule="auto"/>
    </w:pPr>
    <w:rPr>
      <w:sz w:val="24"/>
      <w:szCs w:val="24"/>
    </w:rPr>
  </w:style>
  <w:style w:type="paragraph" w:styleId="Heading1">
    <w:name w:val="heading 1"/>
    <w:basedOn w:val="Normal"/>
    <w:next w:val="Normal"/>
    <w:link w:val="Heading1Char"/>
    <w:uiPriority w:val="9"/>
    <w:qFormat/>
    <w:rsid w:val="008973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
    <w:link w:val="Heading2Char"/>
    <w:uiPriority w:val="9"/>
    <w:unhideWhenUsed/>
    <w:qFormat/>
    <w:rsid w:val="008973D5"/>
    <w:pPr>
      <w:keepNext/>
      <w:keepLines/>
      <w:spacing w:before="200" w:after="0"/>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Normal"/>
    <w:link w:val="Heading3Char"/>
    <w:uiPriority w:val="9"/>
    <w:semiHidden/>
    <w:unhideWhenUsed/>
    <w:qFormat/>
    <w:rsid w:val="008973D5"/>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3D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qFormat/>
    <w:rsid w:val="008973D5"/>
    <w:pPr>
      <w:spacing w:before="180" w:after="180"/>
    </w:pPr>
  </w:style>
  <w:style w:type="character" w:customStyle="1" w:styleId="BodyTextChar">
    <w:name w:val="Body Text Char"/>
    <w:basedOn w:val="DefaultParagraphFont"/>
    <w:link w:val="BodyText"/>
    <w:rsid w:val="008973D5"/>
    <w:rPr>
      <w:sz w:val="24"/>
      <w:szCs w:val="24"/>
    </w:rPr>
  </w:style>
  <w:style w:type="character" w:customStyle="1" w:styleId="Heading2Char">
    <w:name w:val="Heading 2 Char"/>
    <w:basedOn w:val="DefaultParagraphFont"/>
    <w:link w:val="Heading2"/>
    <w:uiPriority w:val="9"/>
    <w:rsid w:val="008973D5"/>
    <w:rPr>
      <w:rFonts w:asciiTheme="majorHAnsi" w:eastAsiaTheme="majorEastAsia" w:hAnsiTheme="majorHAnsi" w:cstheme="majorBidi"/>
      <w:b/>
      <w:bCs/>
      <w:color w:val="5B9BD5" w:themeColor="accent1"/>
      <w:sz w:val="32"/>
      <w:szCs w:val="32"/>
    </w:rPr>
  </w:style>
  <w:style w:type="character" w:customStyle="1" w:styleId="Heading3Char">
    <w:name w:val="Heading 3 Char"/>
    <w:basedOn w:val="DefaultParagraphFont"/>
    <w:link w:val="Heading3"/>
    <w:uiPriority w:val="9"/>
    <w:semiHidden/>
    <w:rsid w:val="008973D5"/>
    <w:rPr>
      <w:rFonts w:asciiTheme="majorHAnsi" w:eastAsiaTheme="majorEastAsia" w:hAnsiTheme="majorHAnsi" w:cstheme="majorBidi"/>
      <w:color w:val="1F4D78" w:themeColor="accent1" w:themeShade="7F"/>
      <w:sz w:val="24"/>
      <w:szCs w:val="24"/>
    </w:rPr>
  </w:style>
  <w:style w:type="paragraph" w:customStyle="1" w:styleId="FirstParagraph">
    <w:name w:val="First Paragraph"/>
    <w:basedOn w:val="BodyText"/>
    <w:next w:val="BodyText"/>
    <w:qFormat/>
    <w:rsid w:val="008973D5"/>
  </w:style>
  <w:style w:type="paragraph" w:customStyle="1" w:styleId="Compact">
    <w:name w:val="Compact"/>
    <w:basedOn w:val="BodyText"/>
    <w:qFormat/>
    <w:rsid w:val="008973D5"/>
    <w:pPr>
      <w:spacing w:before="36" w:after="36"/>
    </w:pPr>
  </w:style>
  <w:style w:type="paragraph" w:styleId="Title">
    <w:name w:val="Title"/>
    <w:basedOn w:val="Normal"/>
    <w:next w:val="BodyText"/>
    <w:link w:val="TitleChar"/>
    <w:qFormat/>
    <w:rsid w:val="008973D5"/>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8973D5"/>
    <w:rPr>
      <w:rFonts w:asciiTheme="majorHAnsi" w:eastAsiaTheme="majorEastAsia" w:hAnsiTheme="majorHAnsi" w:cstheme="majorBidi"/>
      <w:b/>
      <w:bCs/>
      <w:color w:val="2C6EAB" w:themeColor="accent1" w:themeShade="B5"/>
      <w:sz w:val="36"/>
      <w:szCs w:val="36"/>
    </w:rPr>
  </w:style>
  <w:style w:type="paragraph" w:styleId="Bibliography">
    <w:name w:val="Bibliography"/>
    <w:basedOn w:val="Normal"/>
    <w:qFormat/>
    <w:rsid w:val="008973D5"/>
  </w:style>
  <w:style w:type="paragraph" w:customStyle="1" w:styleId="ImageCaption">
    <w:name w:val="Image Caption"/>
    <w:basedOn w:val="Caption"/>
    <w:rsid w:val="008973D5"/>
    <w:pPr>
      <w:spacing w:after="120"/>
    </w:pPr>
    <w:rPr>
      <w:iCs w:val="0"/>
      <w:color w:val="auto"/>
      <w:sz w:val="24"/>
      <w:szCs w:val="24"/>
    </w:rPr>
  </w:style>
  <w:style w:type="paragraph" w:styleId="Caption">
    <w:name w:val="caption"/>
    <w:basedOn w:val="Normal"/>
    <w:next w:val="Normal"/>
    <w:uiPriority w:val="35"/>
    <w:unhideWhenUsed/>
    <w:qFormat/>
    <w:rsid w:val="008973D5"/>
    <w:rPr>
      <w:i/>
      <w:iCs/>
      <w:color w:val="44546A" w:themeColor="text2"/>
      <w:sz w:val="18"/>
      <w:szCs w:val="18"/>
    </w:rPr>
  </w:style>
  <w:style w:type="paragraph" w:customStyle="1" w:styleId="FigurewithCaption">
    <w:name w:val="Figure with Caption"/>
    <w:basedOn w:val="Normal"/>
    <w:rsid w:val="008973D5"/>
    <w:pPr>
      <w:keepNext/>
    </w:pPr>
  </w:style>
  <w:style w:type="character" w:styleId="Hyperlink">
    <w:name w:val="Hyperlink"/>
    <w:basedOn w:val="DefaultParagraphFont"/>
    <w:rsid w:val="008973D5"/>
    <w:rPr>
      <w:color w:val="5B9BD5" w:themeColor="accent1"/>
    </w:rPr>
  </w:style>
  <w:style w:type="character" w:customStyle="1" w:styleId="BalloonTextChar">
    <w:name w:val="Balloon Text Char"/>
    <w:basedOn w:val="DefaultParagraphFont"/>
    <w:link w:val="BalloonText"/>
    <w:uiPriority w:val="99"/>
    <w:semiHidden/>
    <w:rsid w:val="008973D5"/>
    <w:rPr>
      <w:rFonts w:ascii="Segoe UI" w:hAnsi="Segoe UI" w:cs="Segoe UI"/>
      <w:sz w:val="18"/>
      <w:szCs w:val="18"/>
    </w:rPr>
  </w:style>
  <w:style w:type="paragraph" w:styleId="BalloonText">
    <w:name w:val="Balloon Text"/>
    <w:basedOn w:val="Normal"/>
    <w:link w:val="BalloonTextChar"/>
    <w:uiPriority w:val="99"/>
    <w:semiHidden/>
    <w:unhideWhenUsed/>
    <w:rsid w:val="008973D5"/>
    <w:pPr>
      <w:spacing w:after="0"/>
    </w:pPr>
    <w:rPr>
      <w:rFonts w:ascii="Segoe UI" w:hAnsi="Segoe UI" w:cs="Segoe UI"/>
      <w:sz w:val="18"/>
      <w:szCs w:val="18"/>
    </w:rPr>
  </w:style>
  <w:style w:type="character" w:customStyle="1" w:styleId="BalloonTextChar1">
    <w:name w:val="Balloon Text Char1"/>
    <w:basedOn w:val="DefaultParagraphFont"/>
    <w:uiPriority w:val="99"/>
    <w:semiHidden/>
    <w:rsid w:val="008973D5"/>
    <w:rPr>
      <w:rFonts w:ascii="Segoe UI" w:hAnsi="Segoe UI" w:cs="Segoe UI"/>
      <w:sz w:val="18"/>
      <w:szCs w:val="18"/>
    </w:rPr>
  </w:style>
  <w:style w:type="character" w:customStyle="1" w:styleId="A1">
    <w:name w:val="A1"/>
    <w:uiPriority w:val="99"/>
    <w:rsid w:val="008973D5"/>
    <w:rPr>
      <w:rFonts w:cs="Minion Pro"/>
      <w:color w:val="221E1F"/>
      <w:sz w:val="20"/>
      <w:szCs w:val="20"/>
    </w:rPr>
  </w:style>
  <w:style w:type="character" w:customStyle="1" w:styleId="A2">
    <w:name w:val="A2"/>
    <w:uiPriority w:val="99"/>
    <w:rsid w:val="008973D5"/>
    <w:rPr>
      <w:rFonts w:cs="Minion Pro"/>
      <w:color w:val="4A0082"/>
      <w:sz w:val="11"/>
      <w:szCs w:val="11"/>
    </w:rPr>
  </w:style>
  <w:style w:type="paragraph" w:styleId="ListParagraph">
    <w:name w:val="List Paragraph"/>
    <w:basedOn w:val="Normal"/>
    <w:uiPriority w:val="34"/>
    <w:qFormat/>
    <w:rsid w:val="008973D5"/>
    <w:pPr>
      <w:spacing w:after="80"/>
      <w:ind w:left="720"/>
      <w:contextualSpacing/>
    </w:pPr>
    <w:rPr>
      <w:sz w:val="22"/>
      <w:szCs w:val="22"/>
      <w:lang w:val="en-GB"/>
    </w:rPr>
  </w:style>
  <w:style w:type="paragraph" w:customStyle="1" w:styleId="Default">
    <w:name w:val="Default"/>
    <w:rsid w:val="008973D5"/>
    <w:pPr>
      <w:autoSpaceDE w:val="0"/>
      <w:autoSpaceDN w:val="0"/>
      <w:adjustRightInd w:val="0"/>
      <w:spacing w:after="0" w:line="240" w:lineRule="auto"/>
    </w:pPr>
    <w:rPr>
      <w:rFonts w:ascii="Meta Bold" w:hAnsi="Meta Bold" w:cs="Meta Bold"/>
      <w:color w:val="000000"/>
      <w:sz w:val="24"/>
      <w:szCs w:val="24"/>
    </w:rPr>
  </w:style>
  <w:style w:type="paragraph" w:customStyle="1" w:styleId="Pa4">
    <w:name w:val="Pa4"/>
    <w:basedOn w:val="Default"/>
    <w:next w:val="Default"/>
    <w:uiPriority w:val="99"/>
    <w:rsid w:val="008973D5"/>
    <w:pPr>
      <w:spacing w:line="191" w:lineRule="atLeast"/>
    </w:pPr>
    <w:rPr>
      <w:rFonts w:ascii="Meta Normal" w:hAnsi="Meta Normal" w:cstheme="minorBidi"/>
      <w:color w:val="auto"/>
    </w:rPr>
  </w:style>
  <w:style w:type="paragraph" w:styleId="FootnoteText">
    <w:name w:val="footnote text"/>
    <w:basedOn w:val="Normal"/>
    <w:link w:val="FootnoteTextChar"/>
    <w:semiHidden/>
    <w:rsid w:val="008973D5"/>
    <w:pPr>
      <w:spacing w:after="0"/>
    </w:pPr>
    <w:rPr>
      <w:rFonts w:ascii="Cambria" w:eastAsia="Times New Roman" w:hAnsi="Cambria" w:cs="Times New Roman"/>
      <w:sz w:val="20"/>
      <w:szCs w:val="20"/>
      <w:lang w:val="en-GB" w:eastAsia="en-GB"/>
    </w:rPr>
  </w:style>
  <w:style w:type="character" w:customStyle="1" w:styleId="FootnoteTextChar">
    <w:name w:val="Footnote Text Char"/>
    <w:basedOn w:val="DefaultParagraphFont"/>
    <w:link w:val="FootnoteText"/>
    <w:semiHidden/>
    <w:rsid w:val="008973D5"/>
    <w:rPr>
      <w:rFonts w:ascii="Cambria" w:eastAsia="Times New Roman" w:hAnsi="Cambria" w:cs="Times New Roman"/>
      <w:sz w:val="20"/>
      <w:szCs w:val="20"/>
      <w:lang w:val="en-GB" w:eastAsia="en-GB"/>
    </w:rPr>
  </w:style>
  <w:style w:type="character" w:customStyle="1" w:styleId="CommentTextChar">
    <w:name w:val="Comment Text Char"/>
    <w:basedOn w:val="DefaultParagraphFont"/>
    <w:link w:val="CommentText"/>
    <w:uiPriority w:val="99"/>
    <w:semiHidden/>
    <w:rsid w:val="008973D5"/>
    <w:rPr>
      <w:sz w:val="20"/>
      <w:szCs w:val="20"/>
    </w:rPr>
  </w:style>
  <w:style w:type="paragraph" w:styleId="CommentText">
    <w:name w:val="annotation text"/>
    <w:basedOn w:val="Normal"/>
    <w:link w:val="CommentTextChar"/>
    <w:uiPriority w:val="99"/>
    <w:semiHidden/>
    <w:unhideWhenUsed/>
    <w:rsid w:val="008973D5"/>
    <w:rPr>
      <w:sz w:val="20"/>
      <w:szCs w:val="20"/>
    </w:rPr>
  </w:style>
  <w:style w:type="character" w:customStyle="1" w:styleId="CommentSubjectChar">
    <w:name w:val="Comment Subject Char"/>
    <w:basedOn w:val="CommentTextChar"/>
    <w:link w:val="CommentSubject"/>
    <w:uiPriority w:val="99"/>
    <w:semiHidden/>
    <w:rsid w:val="008973D5"/>
    <w:rPr>
      <w:b/>
      <w:bCs/>
      <w:sz w:val="20"/>
      <w:szCs w:val="20"/>
    </w:rPr>
  </w:style>
  <w:style w:type="paragraph" w:styleId="CommentSubject">
    <w:name w:val="annotation subject"/>
    <w:basedOn w:val="CommentText"/>
    <w:next w:val="CommentText"/>
    <w:link w:val="CommentSubjectChar"/>
    <w:uiPriority w:val="99"/>
    <w:semiHidden/>
    <w:unhideWhenUsed/>
    <w:rsid w:val="008973D5"/>
    <w:rPr>
      <w:b/>
      <w:bCs/>
    </w:rPr>
  </w:style>
  <w:style w:type="character" w:styleId="CommentReference">
    <w:name w:val="annotation reference"/>
    <w:basedOn w:val="DefaultParagraphFont"/>
    <w:uiPriority w:val="99"/>
    <w:semiHidden/>
    <w:unhideWhenUsed/>
    <w:rsid w:val="00730A02"/>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8973D5"/>
    <w:pPr>
      <w:spacing w:after="200" w:line="240" w:lineRule="auto"/>
    </w:pPr>
    <w:rPr>
      <w:sz w:val="24"/>
      <w:szCs w:val="24"/>
    </w:rPr>
  </w:style>
  <w:style w:type="paragraph" w:styleId="Heading1">
    <w:name w:val="heading 1"/>
    <w:basedOn w:val="Normal"/>
    <w:next w:val="Normal"/>
    <w:link w:val="Heading1Char"/>
    <w:uiPriority w:val="9"/>
    <w:qFormat/>
    <w:rsid w:val="008973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
    <w:link w:val="Heading2Char"/>
    <w:uiPriority w:val="9"/>
    <w:unhideWhenUsed/>
    <w:qFormat/>
    <w:rsid w:val="008973D5"/>
    <w:pPr>
      <w:keepNext/>
      <w:keepLines/>
      <w:spacing w:before="200" w:after="0"/>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Normal"/>
    <w:link w:val="Heading3Char"/>
    <w:uiPriority w:val="9"/>
    <w:semiHidden/>
    <w:unhideWhenUsed/>
    <w:qFormat/>
    <w:rsid w:val="008973D5"/>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3D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qFormat/>
    <w:rsid w:val="008973D5"/>
    <w:pPr>
      <w:spacing w:before="180" w:after="180"/>
    </w:pPr>
  </w:style>
  <w:style w:type="character" w:customStyle="1" w:styleId="BodyTextChar">
    <w:name w:val="Body Text Char"/>
    <w:basedOn w:val="DefaultParagraphFont"/>
    <w:link w:val="BodyText"/>
    <w:rsid w:val="008973D5"/>
    <w:rPr>
      <w:sz w:val="24"/>
      <w:szCs w:val="24"/>
    </w:rPr>
  </w:style>
  <w:style w:type="character" w:customStyle="1" w:styleId="Heading2Char">
    <w:name w:val="Heading 2 Char"/>
    <w:basedOn w:val="DefaultParagraphFont"/>
    <w:link w:val="Heading2"/>
    <w:uiPriority w:val="9"/>
    <w:rsid w:val="008973D5"/>
    <w:rPr>
      <w:rFonts w:asciiTheme="majorHAnsi" w:eastAsiaTheme="majorEastAsia" w:hAnsiTheme="majorHAnsi" w:cstheme="majorBidi"/>
      <w:b/>
      <w:bCs/>
      <w:color w:val="5B9BD5" w:themeColor="accent1"/>
      <w:sz w:val="32"/>
      <w:szCs w:val="32"/>
    </w:rPr>
  </w:style>
  <w:style w:type="character" w:customStyle="1" w:styleId="Heading3Char">
    <w:name w:val="Heading 3 Char"/>
    <w:basedOn w:val="DefaultParagraphFont"/>
    <w:link w:val="Heading3"/>
    <w:uiPriority w:val="9"/>
    <w:semiHidden/>
    <w:rsid w:val="008973D5"/>
    <w:rPr>
      <w:rFonts w:asciiTheme="majorHAnsi" w:eastAsiaTheme="majorEastAsia" w:hAnsiTheme="majorHAnsi" w:cstheme="majorBidi"/>
      <w:color w:val="1F4D78" w:themeColor="accent1" w:themeShade="7F"/>
      <w:sz w:val="24"/>
      <w:szCs w:val="24"/>
    </w:rPr>
  </w:style>
  <w:style w:type="paragraph" w:customStyle="1" w:styleId="FirstParagraph">
    <w:name w:val="First Paragraph"/>
    <w:basedOn w:val="BodyText"/>
    <w:next w:val="BodyText"/>
    <w:qFormat/>
    <w:rsid w:val="008973D5"/>
  </w:style>
  <w:style w:type="paragraph" w:customStyle="1" w:styleId="Compact">
    <w:name w:val="Compact"/>
    <w:basedOn w:val="BodyText"/>
    <w:qFormat/>
    <w:rsid w:val="008973D5"/>
    <w:pPr>
      <w:spacing w:before="36" w:after="36"/>
    </w:pPr>
  </w:style>
  <w:style w:type="paragraph" w:styleId="Title">
    <w:name w:val="Title"/>
    <w:basedOn w:val="Normal"/>
    <w:next w:val="BodyText"/>
    <w:link w:val="TitleChar"/>
    <w:qFormat/>
    <w:rsid w:val="008973D5"/>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8973D5"/>
    <w:rPr>
      <w:rFonts w:asciiTheme="majorHAnsi" w:eastAsiaTheme="majorEastAsia" w:hAnsiTheme="majorHAnsi" w:cstheme="majorBidi"/>
      <w:b/>
      <w:bCs/>
      <w:color w:val="2C6EAB" w:themeColor="accent1" w:themeShade="B5"/>
      <w:sz w:val="36"/>
      <w:szCs w:val="36"/>
    </w:rPr>
  </w:style>
  <w:style w:type="paragraph" w:styleId="Bibliography">
    <w:name w:val="Bibliography"/>
    <w:basedOn w:val="Normal"/>
    <w:qFormat/>
    <w:rsid w:val="008973D5"/>
  </w:style>
  <w:style w:type="paragraph" w:customStyle="1" w:styleId="ImageCaption">
    <w:name w:val="Image Caption"/>
    <w:basedOn w:val="Caption"/>
    <w:rsid w:val="008973D5"/>
    <w:pPr>
      <w:spacing w:after="120"/>
    </w:pPr>
    <w:rPr>
      <w:iCs w:val="0"/>
      <w:color w:val="auto"/>
      <w:sz w:val="24"/>
      <w:szCs w:val="24"/>
    </w:rPr>
  </w:style>
  <w:style w:type="paragraph" w:styleId="Caption">
    <w:name w:val="caption"/>
    <w:basedOn w:val="Normal"/>
    <w:next w:val="Normal"/>
    <w:uiPriority w:val="35"/>
    <w:unhideWhenUsed/>
    <w:qFormat/>
    <w:rsid w:val="008973D5"/>
    <w:rPr>
      <w:i/>
      <w:iCs/>
      <w:color w:val="44546A" w:themeColor="text2"/>
      <w:sz w:val="18"/>
      <w:szCs w:val="18"/>
    </w:rPr>
  </w:style>
  <w:style w:type="paragraph" w:customStyle="1" w:styleId="FigurewithCaption">
    <w:name w:val="Figure with Caption"/>
    <w:basedOn w:val="Normal"/>
    <w:rsid w:val="008973D5"/>
    <w:pPr>
      <w:keepNext/>
    </w:pPr>
  </w:style>
  <w:style w:type="character" w:styleId="Hyperlink">
    <w:name w:val="Hyperlink"/>
    <w:basedOn w:val="DefaultParagraphFont"/>
    <w:rsid w:val="008973D5"/>
    <w:rPr>
      <w:color w:val="5B9BD5" w:themeColor="accent1"/>
    </w:rPr>
  </w:style>
  <w:style w:type="character" w:customStyle="1" w:styleId="BalloonTextChar">
    <w:name w:val="Balloon Text Char"/>
    <w:basedOn w:val="DefaultParagraphFont"/>
    <w:link w:val="BalloonText"/>
    <w:uiPriority w:val="99"/>
    <w:semiHidden/>
    <w:rsid w:val="008973D5"/>
    <w:rPr>
      <w:rFonts w:ascii="Segoe UI" w:hAnsi="Segoe UI" w:cs="Segoe UI"/>
      <w:sz w:val="18"/>
      <w:szCs w:val="18"/>
    </w:rPr>
  </w:style>
  <w:style w:type="paragraph" w:styleId="BalloonText">
    <w:name w:val="Balloon Text"/>
    <w:basedOn w:val="Normal"/>
    <w:link w:val="BalloonTextChar"/>
    <w:uiPriority w:val="99"/>
    <w:semiHidden/>
    <w:unhideWhenUsed/>
    <w:rsid w:val="008973D5"/>
    <w:pPr>
      <w:spacing w:after="0"/>
    </w:pPr>
    <w:rPr>
      <w:rFonts w:ascii="Segoe UI" w:hAnsi="Segoe UI" w:cs="Segoe UI"/>
      <w:sz w:val="18"/>
      <w:szCs w:val="18"/>
    </w:rPr>
  </w:style>
  <w:style w:type="character" w:customStyle="1" w:styleId="BalloonTextChar1">
    <w:name w:val="Balloon Text Char1"/>
    <w:basedOn w:val="DefaultParagraphFont"/>
    <w:uiPriority w:val="99"/>
    <w:semiHidden/>
    <w:rsid w:val="008973D5"/>
    <w:rPr>
      <w:rFonts w:ascii="Segoe UI" w:hAnsi="Segoe UI" w:cs="Segoe UI"/>
      <w:sz w:val="18"/>
      <w:szCs w:val="18"/>
    </w:rPr>
  </w:style>
  <w:style w:type="character" w:customStyle="1" w:styleId="A1">
    <w:name w:val="A1"/>
    <w:uiPriority w:val="99"/>
    <w:rsid w:val="008973D5"/>
    <w:rPr>
      <w:rFonts w:cs="Minion Pro"/>
      <w:color w:val="221E1F"/>
      <w:sz w:val="20"/>
      <w:szCs w:val="20"/>
    </w:rPr>
  </w:style>
  <w:style w:type="character" w:customStyle="1" w:styleId="A2">
    <w:name w:val="A2"/>
    <w:uiPriority w:val="99"/>
    <w:rsid w:val="008973D5"/>
    <w:rPr>
      <w:rFonts w:cs="Minion Pro"/>
      <w:color w:val="4A0082"/>
      <w:sz w:val="11"/>
      <w:szCs w:val="11"/>
    </w:rPr>
  </w:style>
  <w:style w:type="paragraph" w:styleId="ListParagraph">
    <w:name w:val="List Paragraph"/>
    <w:basedOn w:val="Normal"/>
    <w:uiPriority w:val="34"/>
    <w:qFormat/>
    <w:rsid w:val="008973D5"/>
    <w:pPr>
      <w:spacing w:after="80"/>
      <w:ind w:left="720"/>
      <w:contextualSpacing/>
    </w:pPr>
    <w:rPr>
      <w:sz w:val="22"/>
      <w:szCs w:val="22"/>
      <w:lang w:val="en-GB"/>
    </w:rPr>
  </w:style>
  <w:style w:type="paragraph" w:customStyle="1" w:styleId="Default">
    <w:name w:val="Default"/>
    <w:rsid w:val="008973D5"/>
    <w:pPr>
      <w:autoSpaceDE w:val="0"/>
      <w:autoSpaceDN w:val="0"/>
      <w:adjustRightInd w:val="0"/>
      <w:spacing w:after="0" w:line="240" w:lineRule="auto"/>
    </w:pPr>
    <w:rPr>
      <w:rFonts w:ascii="Meta Bold" w:hAnsi="Meta Bold" w:cs="Meta Bold"/>
      <w:color w:val="000000"/>
      <w:sz w:val="24"/>
      <w:szCs w:val="24"/>
    </w:rPr>
  </w:style>
  <w:style w:type="paragraph" w:customStyle="1" w:styleId="Pa4">
    <w:name w:val="Pa4"/>
    <w:basedOn w:val="Default"/>
    <w:next w:val="Default"/>
    <w:uiPriority w:val="99"/>
    <w:rsid w:val="008973D5"/>
    <w:pPr>
      <w:spacing w:line="191" w:lineRule="atLeast"/>
    </w:pPr>
    <w:rPr>
      <w:rFonts w:ascii="Meta Normal" w:hAnsi="Meta Normal" w:cstheme="minorBidi"/>
      <w:color w:val="auto"/>
    </w:rPr>
  </w:style>
  <w:style w:type="paragraph" w:styleId="FootnoteText">
    <w:name w:val="footnote text"/>
    <w:basedOn w:val="Normal"/>
    <w:link w:val="FootnoteTextChar"/>
    <w:semiHidden/>
    <w:rsid w:val="008973D5"/>
    <w:pPr>
      <w:spacing w:after="0"/>
    </w:pPr>
    <w:rPr>
      <w:rFonts w:ascii="Cambria" w:eastAsia="Times New Roman" w:hAnsi="Cambria" w:cs="Times New Roman"/>
      <w:sz w:val="20"/>
      <w:szCs w:val="20"/>
      <w:lang w:val="en-GB" w:eastAsia="en-GB"/>
    </w:rPr>
  </w:style>
  <w:style w:type="character" w:customStyle="1" w:styleId="FootnoteTextChar">
    <w:name w:val="Footnote Text Char"/>
    <w:basedOn w:val="DefaultParagraphFont"/>
    <w:link w:val="FootnoteText"/>
    <w:semiHidden/>
    <w:rsid w:val="008973D5"/>
    <w:rPr>
      <w:rFonts w:ascii="Cambria" w:eastAsia="Times New Roman" w:hAnsi="Cambria" w:cs="Times New Roman"/>
      <w:sz w:val="20"/>
      <w:szCs w:val="20"/>
      <w:lang w:val="en-GB" w:eastAsia="en-GB"/>
    </w:rPr>
  </w:style>
  <w:style w:type="character" w:customStyle="1" w:styleId="CommentTextChar">
    <w:name w:val="Comment Text Char"/>
    <w:basedOn w:val="DefaultParagraphFont"/>
    <w:link w:val="CommentText"/>
    <w:uiPriority w:val="99"/>
    <w:semiHidden/>
    <w:rsid w:val="008973D5"/>
    <w:rPr>
      <w:sz w:val="20"/>
      <w:szCs w:val="20"/>
    </w:rPr>
  </w:style>
  <w:style w:type="paragraph" w:styleId="CommentText">
    <w:name w:val="annotation text"/>
    <w:basedOn w:val="Normal"/>
    <w:link w:val="CommentTextChar"/>
    <w:uiPriority w:val="99"/>
    <w:semiHidden/>
    <w:unhideWhenUsed/>
    <w:rsid w:val="008973D5"/>
    <w:rPr>
      <w:sz w:val="20"/>
      <w:szCs w:val="20"/>
    </w:rPr>
  </w:style>
  <w:style w:type="character" w:customStyle="1" w:styleId="CommentSubjectChar">
    <w:name w:val="Comment Subject Char"/>
    <w:basedOn w:val="CommentTextChar"/>
    <w:link w:val="CommentSubject"/>
    <w:uiPriority w:val="99"/>
    <w:semiHidden/>
    <w:rsid w:val="008973D5"/>
    <w:rPr>
      <w:b/>
      <w:bCs/>
      <w:sz w:val="20"/>
      <w:szCs w:val="20"/>
    </w:rPr>
  </w:style>
  <w:style w:type="paragraph" w:styleId="CommentSubject">
    <w:name w:val="annotation subject"/>
    <w:basedOn w:val="CommentText"/>
    <w:next w:val="CommentText"/>
    <w:link w:val="CommentSubjectChar"/>
    <w:uiPriority w:val="99"/>
    <w:semiHidden/>
    <w:unhideWhenUsed/>
    <w:rsid w:val="008973D5"/>
    <w:rPr>
      <w:b/>
      <w:bCs/>
    </w:rPr>
  </w:style>
  <w:style w:type="character" w:styleId="CommentReference">
    <w:name w:val="annotation reference"/>
    <w:basedOn w:val="DefaultParagraphFont"/>
    <w:uiPriority w:val="99"/>
    <w:semiHidden/>
    <w:unhideWhenUsed/>
    <w:rsid w:val="00730A0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42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sprogram.com/publications/publication-fr293-dhs-final-reports.cfm" TargetMode="External"/><Relationship Id="rId13" Type="http://schemas.openxmlformats.org/officeDocument/2006/relationships/hyperlink" Target="http://surepmch.org/sp_about.php" TargetMode="External"/><Relationship Id="rId3" Type="http://schemas.microsoft.com/office/2007/relationships/stylesWithEffects" Target="stylesWithEffects.xml"/><Relationship Id="rId7" Type="http://schemas.openxmlformats.org/officeDocument/2006/relationships/hyperlink" Target="https://www.unicef.org/nigeria/NG_publications_mics_201617feb2018.pdf%20Accessed%2020.06.18" TargetMode="External"/><Relationship Id="rId12" Type="http://schemas.openxmlformats.org/officeDocument/2006/relationships/hyperlink" Target="https://www.vanguardngr.com/2018/05/fg-pays-n5000-400000-poor-nigerians-cash-transfer-proframme-20-stat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www.agrodep.org/sites/default/files/annualmeeting/Seed_Salman_KK_final.pdf" TargetMode="External"/><Relationship Id="rId5" Type="http://schemas.openxmlformats.org/officeDocument/2006/relationships/webSettings" Target="webSettings.xml"/><Relationship Id="rId15" Type="http://schemas.openxmlformats.org/officeDocument/2006/relationships/hyperlink" Target="https://doi.org/10.1371/journal.pmed.1001211" TargetMode="External"/><Relationship Id="rId10" Type="http://schemas.openxmlformats.org/officeDocument/2006/relationships/hyperlink" Target="http://www.mdrc.org/publications/549/full.pdf" TargetMode="External"/><Relationship Id="rId4" Type="http://schemas.openxmlformats.org/officeDocument/2006/relationships/settings" Target="settings.xml"/><Relationship Id="rId9" Type="http://schemas.openxmlformats.org/officeDocument/2006/relationships/hyperlink" Target="http://www.worldbank.org/en/programs/sief-trust-fund/brief/nigeria-subsidy-reinvestment-and-empowerment-programme-sure-p" TargetMode="External"/><Relationship Id="rId14" Type="http://schemas.openxmlformats.org/officeDocument/2006/relationships/hyperlink" Target="http://pubdocs.worldbank.org/en/284981453222884744/Policy-brief-Nigeria-SURE-P-MCH-I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22</Pages>
  <Words>8219</Words>
  <Characters>46850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Jhpiego</Company>
  <LinksUpToDate>false</LinksUpToDate>
  <CharactersWithSpaces>54960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Chioma Oduenyi</dc:creator>
  <cp:keywords/>
  <dc:description/>
  <cp:lastModifiedBy>DR Ugo Okoli</cp:lastModifiedBy>
  <cp:revision>139</cp:revision>
  <cp:lastPrinted>2019-01-10T08:22:00Z</cp:lastPrinted>
  <dcterms:created xsi:type="dcterms:W3CDTF">2019-01-09T11:58:00Z</dcterms:created>
  <dcterms:modified xsi:type="dcterms:W3CDTF">2019-01-26T21:42:00Z</dcterms:modified>
</cp:coreProperties>
</file>