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Arial"/>
          <w:b/>
          <w:i w:val="0"/>
          <w:color w:val="321943"/>
          <w:sz w:val="40"/>
        </w:rPr>
        <w:t>PALÁCIO MENTAL</w:t>
      </w:r>
    </w:p>
    <w:p>
      <w:pPr>
        <w:jc w:val="center"/>
      </w:pPr>
      <w:r>
        <w:rPr>
          <w:rFonts w:ascii="Arial" w:hAnsi="Arial" w:eastAsia="Arial"/>
          <w:b/>
          <w:i w:val="0"/>
          <w:color w:val="1FAE6D"/>
          <w:sz w:val="28"/>
        </w:rPr>
        <w:t>ATUALIZAÇÃO ESTRATÉGICA DO CONTEXTO MESTRE</w:t>
      </w:r>
    </w:p>
    <w:p>
      <w:pPr>
        <w:spacing w:before="560"/>
        <w:jc w:val="center"/>
      </w:pPr>
      <w:r>
        <w:rPr>
          <w:rFonts w:ascii="Arial" w:hAnsi="Arial" w:eastAsia="Arial"/>
          <w:b w:val="0"/>
          <w:i w:val="0"/>
          <w:color w:val="321943"/>
          <w:sz w:val="24"/>
        </w:rPr>
        <w:t>Arquitetura de planos, sustentabilidade e ecossistema</w:t>
      </w:r>
    </w:p>
    <w:p>
      <w:pPr>
        <w:spacing w:before="2400"/>
        <w:jc w:val="center"/>
      </w:pPr>
      <w:r>
        <w:rPr>
          <w:rFonts w:ascii="Arial" w:hAnsi="Arial" w:eastAsia="Arial"/>
          <w:b w:val="0"/>
          <w:i w:val="0"/>
          <w:color w:val="5B5660"/>
          <w:sz w:val="22"/>
        </w:rPr>
        <w:t>Documento de apoio para revisão da equipe</w:t>
      </w:r>
    </w:p>
    <w:p>
      <w:pPr>
        <w:jc w:val="center"/>
      </w:pPr>
      <w:r>
        <w:rPr>
          <w:rFonts w:ascii="Arial" w:hAnsi="Arial" w:eastAsia="Arial"/>
          <w:b w:val="0"/>
          <w:i w:val="0"/>
          <w:color w:val="5B5660"/>
          <w:sz w:val="22"/>
        </w:rPr>
        <w:t>Outubro de 2026</w:t>
      </w:r>
    </w:p>
    <w:p>
      <w:r>
        <w:br w:type="page"/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1. Finalidade e status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Este documento resume as atualizações recentes do Palácio Mental a partir do Contexto Mestre oficial. Ele não substitui nem altera o documento oficial; serve como material de revisão para que pessoas técnicas e não técnicas entendam as decisões de produto, negócio e arquitetura.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/>
          <w:i w:val="0"/>
          <w:color w:val="321943"/>
          <w:sz w:val="22"/>
        </w:rPr>
        <w:t>As definições abaixo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combinam decisões já estruturadas com hipóteses que ainda precisam ser validadas por uso real, pilotos, entrevistas e acompanhamento de custos.</w:t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2. Síntese do produto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 Palácio Mental é uma plataforma para transformar ideias em projetos compreensíveis e persistentes. Ela preserva contexto, autoria e evolução para que as criações possam ser descobertas, apresentadas, reutilizadas ou continuadas.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plataforma possui dois caminhos complementares: projetos autorais de pessoas e ambientes institucionais para organizações. O núcleo de valor é o mesmo; mudam o contexto de acesso, a governança e a responsabilidade sobre os projetos.</w:t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3. Ambiente institucional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 ambiente institucional é um espaço próprio de uma ONG, escola, faculdade, empresa, programa ou laboratório. No caso inicial, o CAMPPG terá uma vitrine própria, projetos, membros, programas, grupos e permissões. Seus projetos não são misturados automaticamente à vitrine global.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arquitetura será multi-tenant com banco compartilhado e isolamento por linhas. O subdomínio identifica o ambiente, por exemplo, camppg.palaciomental.com.br. O PostgreSQL mantém os dados oficiais; Redis acelera cache, sessões, rankings derivados e eventos transitórios.</w:t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4. Arquitetura de planos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Os planos devem ampliar profundidade, potência, volume, governança e suporte — não comprar relevância artificial. O valor essencial de criar, contextualizar e descobrir projetos precisa permanecer acessível. Os números abaixo são limites iniciais para teste, não promessa comercial definitiva; devem ser ajustados com telemetria de uso e custo real.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368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Plano</w:t>
            </w:r>
          </w:p>
        </w:tc>
        <w:tc>
          <w:tcPr>
            <w:tcW w:type="dxa" w:w="338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Potência: o que pode fazer</w:t>
            </w:r>
          </w:p>
        </w:tc>
        <w:tc>
          <w:tcPr>
            <w:tcW w:type="dxa" w:w="2952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Volume inicial proposto</w:t>
            </w:r>
          </w:p>
        </w:tc>
        <w:tc>
          <w:tcPr>
            <w:tcW w:type="dxa" w:w="2088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Regra de justiça</w:t>
            </w:r>
          </w:p>
        </w:tc>
      </w:tr>
      <w:tr>
        <w:tc>
          <w:tcPr>
            <w:tcW w:type="dxa" w:w="136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Free</w:t>
            </w:r>
          </w:p>
        </w:tc>
        <w:tc>
          <w:tcPr>
            <w:tcW w:type="dxa" w:w="338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Criar, contextualizar, explorar, publicar conforme a visibilidade e usar links manuais. Sem automações avançadas.</w:t>
            </w:r>
          </w:p>
        </w:tc>
        <w:tc>
          <w:tcPr>
            <w:tcW w:type="dxa" w:w="295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20 projetos pessoais, 10 ativos e até 12 links por projeto.</w:t>
            </w:r>
          </w:p>
        </w:tc>
        <w:tc>
          <w:tcPr>
            <w:tcW w:type="dxa" w:w="208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Sem bloqueio do valor central; limite protege operação.</w:t>
            </w:r>
          </w:p>
        </w:tc>
      </w:tr>
      <w:tr>
        <w:tc>
          <w:tcPr>
            <w:tcW w:type="dxa" w:w="13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Tudo do Free, mais coleções, organização avançada, integrações e automações pessoais.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100 projetos pessoais, 50 ativos e maior volume de coleções.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Mais potência e conveniência, nunca votos ou posição artificial no ranking.</w:t>
            </w:r>
          </w:p>
        </w:tc>
      </w:tr>
      <w:tr>
        <w:tc>
          <w:tcPr>
            <w:tcW w:type="dxa" w:w="136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Institucional</w:t>
            </w:r>
          </w:p>
        </w:tc>
        <w:tc>
          <w:tcPr>
            <w:tcW w:type="dxa" w:w="338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Ambiente próprio, membros, programas, grupos, permissões, vitrine, relatórios e governança.</w:t>
            </w:r>
          </w:p>
        </w:tc>
        <w:tc>
          <w:tcPr>
            <w:tcW w:type="dxa" w:w="295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Piloto CAMPPG: até 100 usuários, 10 programas e 30 grupos; revisar após 8 semanas.</w:t>
            </w:r>
          </w:p>
        </w:tc>
        <w:tc>
          <w:tcPr>
            <w:tcW w:type="dxa" w:w="208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Limites por escala e governança, não por acesso ao projeto básico.</w:t>
            </w:r>
          </w:p>
        </w:tc>
      </w:tr>
      <w:tr>
        <w:tc>
          <w:tcPr>
            <w:tcW w:type="dxa" w:w="13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ONG subsidiada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Base Institucional, com recursos compatíveis com a capacidade de suporte da equipe.</w:t>
            </w:r>
          </w:p>
        </w:tc>
        <w:tc>
          <w:tcPr>
            <w:tcW w:type="dxa" w:w="295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Mesmo limite operacional do piloto ou menor; sem expansão automática ilimitada.</w:t>
            </w:r>
          </w:p>
        </w:tc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Concessão condicionada a critérios, consentimento e revisão periódica.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assinatura individual pertence ao usuário e controla recursos pessoais. A assinatura institucional pertence à organização e controla recursos coletivos. Essa separação preserva a autonomia dos projetos autorais e evita que uma conta individual controle todo o ambiente institucional.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4.1 Regras de potência e volume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Dimensão</w:t>
            </w:r>
          </w:p>
        </w:tc>
        <w:tc>
          <w:tcPr>
            <w:tcW w:type="dxa" w:w="4896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Regra</w:t>
            </w:r>
          </w:p>
        </w:tc>
        <w:tc>
          <w:tcPr>
            <w:tcW w:type="dxa" w:w="3312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Como medir</w:t>
            </w:r>
          </w:p>
        </w:tc>
      </w:tr>
      <w:tr>
        <w:tc>
          <w:tcPr>
            <w:tcW w:type="dxa" w:w="158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Potência</w:t>
            </w:r>
          </w:p>
        </w:tc>
        <w:tc>
          <w:tcPr>
            <w:tcW w:type="dxa" w:w="489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Diferencia recursos que aumentam capacidade: automações, integrações, coleções, relatórios e governança.</w:t>
            </w:r>
          </w:p>
        </w:tc>
        <w:tc>
          <w:tcPr>
            <w:tcW w:type="dxa" w:w="331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Recurso habilitado, frequência de uso e valor percebido; não usar ranking como benefício pago.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Volume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Diferencia quantidade: projetos, usuários, programas, grupos, armazenamento, chamadas e execuções.</w:t>
            </w:r>
          </w:p>
        </w:tc>
        <w:tc>
          <w:tcPr>
            <w:tcW w:type="dxa" w:w="33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Contagem mensal e pico de uso por conta ou organização.</w:t>
            </w:r>
          </w:p>
        </w:tc>
      </w:tr>
      <w:tr>
        <w:tc>
          <w:tcPr>
            <w:tcW w:type="dxa" w:w="158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Vitrine</w:t>
            </w:r>
          </w:p>
        </w:tc>
        <w:tc>
          <w:tcPr>
            <w:tcW w:type="dxa" w:w="489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Projetos públicos devem obedecer à mesma lógica de relevância, independentemente do plano.</w:t>
            </w:r>
          </w:p>
        </w:tc>
        <w:tc>
          <w:tcPr>
            <w:tcW w:type="dxa" w:w="331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Distribuição de alcance e cliques por plano; investigar qualquer viés.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Proteção operacional</w:t>
            </w:r>
          </w:p>
        </w:tc>
        <w:tc>
          <w:tcPr>
            <w:tcW w:type="dxa" w:w="48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Limites devem evitar abuso e custo imprevisível, com aviso antes do bloqueio.</w:t>
            </w:r>
          </w:p>
        </w:tc>
        <w:tc>
          <w:tcPr>
            <w:tcW w:type="dxa" w:w="33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Incidentes, custo por tenant, taxa de usuários atingindo o limite.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Quando um limite for atingido, o produto deve explicar o motivo, mostrar o consumo e oferecer uma alternativa proporcional: arquivar, reduzir volume, aguardar a renovação ou migrar de plano. O usuário nunca deve perder dados por atingir um limite. Recursos essenciais devem ter exportação e comunicação clara.</w:t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5. Ecossistema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88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Camada</w:t>
            </w:r>
          </w:p>
        </w:tc>
        <w:tc>
          <w:tcPr>
            <w:tcW w:type="dxa" w:w="482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O que é</w:t>
            </w:r>
          </w:p>
        </w:tc>
        <w:tc>
          <w:tcPr>
            <w:tcW w:type="dxa" w:w="2880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Situação</w:t>
            </w:r>
          </w:p>
        </w:tc>
      </w:tr>
      <w:tr>
        <w:tc>
          <w:tcPr>
            <w:tcW w:type="dxa" w:w="208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PM Plataforma</w:t>
            </w:r>
          </w:p>
        </w:tc>
        <w:tc>
          <w:tcPr>
            <w:tcW w:type="dxa" w:w="482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Projetos, contexto, autoria, descoberta e continuidade.</w:t>
            </w:r>
          </w:p>
        </w:tc>
        <w:tc>
          <w:tcPr>
            <w:tcW w:type="dxa" w:w="288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Núcleo atual e prioridade do MVP.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Ambiente institucional</w:t>
            </w:r>
          </w:p>
        </w:tc>
        <w:tc>
          <w:tcPr>
            <w:tcW w:type="dxa" w:w="48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Multi-tenant, membros, permissões, programas, grupos e vitrine própria.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Próxima evolução em desenvolvimento.</w:t>
            </w:r>
          </w:p>
        </w:tc>
      </w:tr>
      <w:tr>
        <w:tc>
          <w:tcPr>
            <w:tcW w:type="dxa" w:w="208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PM Flow</w:t>
            </w:r>
          </w:p>
        </w:tc>
        <w:tc>
          <w:tcPr>
            <w:tcW w:type="dxa" w:w="482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Fluxos, tarefas e acompanhamento operacional.</w:t>
            </w:r>
          </w:p>
        </w:tc>
        <w:tc>
          <w:tcPr>
            <w:tcW w:type="dxa" w:w="288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Hipótese futura; não bloqueia o MVP.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PM VCS</w:t>
            </w:r>
          </w:p>
        </w:tc>
        <w:tc>
          <w:tcPr>
            <w:tcW w:type="dxa" w:w="48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Versões, histórico e evolução avançada dos projetos.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Hipótese futura; validar antes de ampliar.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PM Flow e PM VCS devem ser tratados como módulos ou produtos futuros do ecossistema, não como dependências obrigatórias do MVP institucional. O núcleo compartilhado deve ser capaz de atender diferentes organizações por configuração, sem criar um produto exclusivo para cada cliente.</w:t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6. Sustentabilidade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sustentabilidade financeira ainda é uma hipótese, mas já pode ser organizada por economia unitária. O objetivo é crescer conforme o uso real, preservar o acesso essencial e evitar custos ou customizações antes de comprovar valor. A equipe deve separar custo de caixa, custo econômico do trabalho da equipe e custo marginal de cada organização.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6.1 Custos fixos e variáveis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4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4320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Composição atual</w:t>
            </w:r>
          </w:p>
        </w:tc>
        <w:tc>
          <w:tcPr>
            <w:tcW w:type="dxa" w:w="3528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Premissa de planejamento</w:t>
            </w:r>
          </w:p>
        </w:tc>
      </w:tr>
      <w:tr>
        <w:tc>
          <w:tcPr>
            <w:tcW w:type="dxa" w:w="194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Fixos de infraestrutura</w:t>
            </w:r>
          </w:p>
        </w:tc>
        <w:tc>
          <w:tcPr>
            <w:tcW w:type="dxa" w:w="432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Railway, domínio principal, monitoramento mínimo e ferramentas essenciais.</w:t>
            </w:r>
          </w:p>
        </w:tc>
        <w:tc>
          <w:tcPr>
            <w:tcW w:type="dxa" w:w="352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Railway Pro custa US$ 20/mês e inclui US$ 20 de uso; o plano Hobby custa US$ 5/mês e inclui US$ 5 de uso. [1]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Domínio e DNS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Domínio palaciomental.com.br e gestão de DNS/subdomínios.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Registro.br informa R$ 40/ano para a maioria dos domínios .br; Cloudflare oferece DNS, SSL e CDN no plano gratuito. [2] [3]</w:t>
            </w:r>
          </w:p>
        </w:tc>
      </w:tr>
      <w:tr>
        <w:tc>
          <w:tcPr>
            <w:tcW w:type="dxa" w:w="194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Variáveis de infraestrutura</w:t>
            </w:r>
          </w:p>
        </w:tc>
        <w:tc>
          <w:tcPr>
            <w:tcW w:type="dxa" w:w="432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CPU, memória, volume, egress e object storage.</w:t>
            </w:r>
          </w:p>
        </w:tc>
        <w:tc>
          <w:tcPr>
            <w:tcW w:type="dxa" w:w="352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Railway cobra por segundo; as referências atuais são US$ 20/GB de memória/mês, US$ 20/vCPU/mês, US$ 0,15/GB de volume, US$ 0,05/GB de egress e US$ 0,015/GB-mês de object storage. [1]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Variáveis operacionais</w:t>
            </w:r>
          </w:p>
        </w:tc>
        <w:tc>
          <w:tcPr>
            <w:tcW w:type="dxa" w:w="43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Suporte, implantação, treinamento, moderação e atendimento.</w:t>
            </w:r>
          </w:p>
        </w:tc>
        <w:tc>
          <w:tcPr>
            <w:tcW w:type="dxa" w:w="35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Crescem com organizações e complexidade, não apenas com número de usuários.</w:t>
            </w:r>
          </w:p>
        </w:tc>
      </w:tr>
      <w:tr>
        <w:tc>
          <w:tcPr>
            <w:tcW w:type="dxa" w:w="194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Custo econômico</w:t>
            </w:r>
          </w:p>
        </w:tc>
        <w:tc>
          <w:tcPr>
            <w:tcW w:type="dxa" w:w="432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Horas de desenvolvimento, design, segurança e gestão.</w:t>
            </w:r>
          </w:p>
        </w:tc>
        <w:tc>
          <w:tcPr>
            <w:tcW w:type="dxa" w:w="352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Mesmo quando não há salário ou pagamento imediato, registrar horas para conhecer o custo real.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 plano Railway não é o custo total do produto. Banco PostgreSQL, Django e Redis consomem recursos dentro do ambiente e devem ser medidos pela fatura real. O valor de US$ 20/mês para Railway Pro é uma referência de plano, não uma garantia de que o uso mensal permanecerá nesse valor.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6.2 Quanto custa manter um usuário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Não existe um custo fixo por cadastro. O indicador correto é o custo mensal por usuário ativo, calculado assim: custo variável mensal de infraestrutura dividido por usuários ativos no mês. Usuários cadastrados que nunca entram não devem ser tratados como usuários ativos para medir consumo.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4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Cenário de planejamento</w:t>
            </w:r>
          </w:p>
        </w:tc>
        <w:tc>
          <w:tcPr>
            <w:tcW w:type="dxa" w:w="1512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Usuários ativos/mês</w:t>
            </w:r>
          </w:p>
        </w:tc>
        <w:tc>
          <w:tcPr>
            <w:tcW w:type="dxa" w:w="1296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Organizações</w:t>
            </w:r>
          </w:p>
        </w:tc>
        <w:tc>
          <w:tcPr>
            <w:tcW w:type="dxa" w:w="1656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Infraestrutura/mês</w:t>
            </w:r>
          </w:p>
        </w:tc>
        <w:tc>
          <w:tcPr>
            <w:tcW w:type="dxa" w:w="1728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Infra por usuário</w:t>
            </w:r>
          </w:p>
        </w:tc>
        <w:tc>
          <w:tcPr>
            <w:tcW w:type="dxa" w:w="194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Infra por organização</w:t>
            </w:r>
          </w:p>
        </w:tc>
      </w:tr>
      <w:tr>
        <w:tc>
          <w:tcPr>
            <w:tcW w:type="dxa" w:w="194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Piloto CAMPPG</w:t>
            </w:r>
          </w:p>
        </w:tc>
        <w:tc>
          <w:tcPr>
            <w:tcW w:type="dxa" w:w="151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29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65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US$ 30</w:t>
            </w:r>
          </w:p>
        </w:tc>
        <w:tc>
          <w:tcPr>
            <w:tcW w:type="dxa" w:w="172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US$ 0,60</w:t>
            </w:r>
          </w:p>
        </w:tc>
        <w:tc>
          <w:tcPr>
            <w:tcW w:type="dxa" w:w="194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US$ 30,00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Validação inicial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US$ 45</w:t>
            </w:r>
          </w:p>
        </w:tc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US$ 0,30</w:t>
            </w:r>
          </w:p>
        </w:tc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US$ 22,50</w:t>
            </w:r>
          </w:p>
        </w:tc>
      </w:tr>
      <w:tr>
        <w:tc>
          <w:tcPr>
            <w:tcW w:type="dxa" w:w="194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Primeira escala</w:t>
            </w:r>
          </w:p>
        </w:tc>
        <w:tc>
          <w:tcPr>
            <w:tcW w:type="dxa" w:w="151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500</w:t>
            </w:r>
          </w:p>
        </w:tc>
        <w:tc>
          <w:tcPr>
            <w:tcW w:type="dxa" w:w="129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65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US$ 100</w:t>
            </w:r>
          </w:p>
        </w:tc>
        <w:tc>
          <w:tcPr>
            <w:tcW w:type="dxa" w:w="172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US$ 0,20</w:t>
            </w:r>
          </w:p>
        </w:tc>
        <w:tc>
          <w:tcPr>
            <w:tcW w:type="dxa" w:w="194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US$ 20,00</w:t>
            </w:r>
          </w:p>
        </w:tc>
      </w:tr>
      <w:tr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Escala inicial</w:t>
            </w:r>
          </w:p>
        </w:tc>
        <w:tc>
          <w:tcPr>
            <w:tcW w:type="dxa" w:w="15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2.000</w:t>
            </w:r>
          </w:p>
        </w:tc>
        <w:tc>
          <w:tcPr>
            <w:tcW w:type="dxa" w:w="12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65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US$ 250</w:t>
            </w:r>
          </w:p>
        </w:tc>
        <w:tc>
          <w:tcPr>
            <w:tcW w:type="dxa" w:w="172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US$ 0,125</w:t>
            </w:r>
          </w:p>
        </w:tc>
        <w:tc>
          <w:tcPr>
            <w:tcW w:type="dxa" w:w="194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US$ 25,00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Esses cenários são premissas de planejamento, não dados medidos nem orçamento aprovado. Eles mostram que o custo de infraestrutura por usuário tende a cair com escala, mas o custo por organização não desaparece: cada tenant pode gerar configuração, suporte, armazenamento, governança e atendimento próprios. O piloto deve substituir essas premissas por fatura, consumo e horas reais.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6.3 Custo por organização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 custo mensal de uma organização deve ser calculado em três camadas: (1) infraestrutura incremental, (2) suporte e operação e (3) implantação amortizada. Uma organização pequena pode consumir pouca infraestrutura e ainda ser cara de atender se exigir muitas reuniões, treinamento ou customizações.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32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5112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Cálculo recomendado</w:t>
            </w:r>
          </w:p>
        </w:tc>
        <w:tc>
          <w:tcPr>
            <w:tcW w:type="dxa" w:w="2880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Decisão saudável</w:t>
            </w:r>
          </w:p>
        </w:tc>
      </w:tr>
      <w:tr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Infraestrutura incremental</w:t>
            </w:r>
          </w:p>
        </w:tc>
        <w:tc>
          <w:tcPr>
            <w:tcW w:type="dxa" w:w="511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Consumo adicional de CPU, memória, banco, armazenamento e tráfego.</w:t>
            </w:r>
          </w:p>
        </w:tc>
        <w:tc>
          <w:tcPr>
            <w:tcW w:type="dxa" w:w="288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Medir por tenant e separar do custo compartilhado.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Suporte e operação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Horas mensais × custo-hora interno da equipe.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Definir nível de suporte incluído e cobrar atendimento especializado.</w:t>
            </w:r>
          </w:p>
        </w:tc>
      </w:tr>
      <w:tr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Implantação</w:t>
            </w:r>
          </w:p>
        </w:tc>
        <w:tc>
          <w:tcPr>
            <w:tcW w:type="dxa" w:w="511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Horas iniciais de configuração e treinamento ÷ meses do contrato.</w:t>
            </w:r>
          </w:p>
        </w:tc>
        <w:tc>
          <w:tcPr>
            <w:tcW w:type="dxa" w:w="288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Evitar implantação gratuita sem limite ou prazo.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Margem de segurança</w:t>
            </w:r>
          </w:p>
        </w:tc>
        <w:tc>
          <w:tcPr>
            <w:tcW w:type="dxa" w:w="51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Reserva para incidentes, crescimento e inadimplência.</w:t>
            </w:r>
          </w:p>
        </w:tc>
        <w:tc>
          <w:tcPr>
            <w:tcW w:type="dxa" w:w="28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Não comprometer toda a receita com custo direto.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fórmula de referência é: custo mensal por organização = infraestrutura incremental + suporte mensal + parcela de implantação + reserva operacional. O custo real só estará validado após o piloto CAMPPG registrar consumo, horas e incidentes durante pelo menos oito semanas.</w:t>
      </w:r>
    </w:p>
    <w:p>
      <w:r>
        <w:drawing>
          <wp:inline xmlns:a="http://schemas.openxmlformats.org/drawingml/2006/main" xmlns:pic="http://schemas.openxmlformats.org/drawingml/2006/picture">
            <wp:extent cx="5806440" cy="2832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-sustentabilidade-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32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 w:eastAsia="Arial"/>
          <w:b w:val="0"/>
          <w:i/>
          <w:color w:val="5B5660"/>
          <w:sz w:val="18"/>
        </w:rPr>
        <w:t>Figura 1 — Mapa qualitativo das pressões de custo. Os pesos são uma ferramenta de planejamento, não uma previsão financeira.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personalização institucional deve ocorrer preferencialmente por configuração. Código exclusivo, integrações específicas e fluxos sob medida só devem ser aprovados quando houver valor comprovado, capacidade de suporte e margem suficiente.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6.4 Como a receita sustenta a plataforma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sustentabilidade dos planos depende de separar aquisição, monetização e impacto. A conta Free funciona como porta de entrada e mecanismo de validação. Ela não precisa gerar receita direta no início, desde que o custo variável por usuário permaneça controlado e que o uso gratuito gere projetos, aprendizagem e demanda para os planos pagos. O Free não deve oferecer volume ilimitado nem serviços que gerem custo imprevisível.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conta Pro monetiza potência e volume individual. Ela pode incluir organização avançada, coleções, integrações e automações, mas não pode vender votos, posição na vitrine, relevância artificial ou exposição privilegiada. Sua margem deve contribuir para pagar parte dos custos fixos compartilhados e compensar usuários Free que não geram receita direta.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conta Institucional é a principal unidade de receita recorrente. Ela deve financiar o custo incremental do tenant, a governança, o suporte incluído, a manutenção do ambiente e uma margem para evolução. O preço precisa considerar usuários, programas, grupos, armazenamento, nível de suporte e complexidade de implantação — não somente o número de contas cadastradas.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Implantação, treinamento e integrações podem gerar receita adicional, mas não devem esconder uma mensalidade insuficiente. Customizações só devem ser aceitas com escopo, prazo, preço, manutenção e responsável definidos. Uma organização que exige muitas horas de suporte não pode ser tratada financeiramente como um tenant de baixo contato.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Como regra interna de saúde financeira, cada plano pago deve cobrir seus custos variáveis diretamente atribuíveis e contribuir para os custos fixos. A equipe pode usar como alvo inicial uma margem bruta de planejamento de 60% ou mais após custos diretamente variáveis, mas esse percentual é uma premissa interna a validar, não uma garantia de mercado.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Fonte de receita</w:t>
            </w:r>
          </w:p>
        </w:tc>
        <w:tc>
          <w:tcPr>
            <w:tcW w:type="dxa" w:w="482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Função econômica</w:t>
            </w:r>
          </w:p>
        </w:tc>
        <w:tc>
          <w:tcPr>
            <w:tcW w:type="dxa" w:w="338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Limite estratégico</w:t>
            </w:r>
          </w:p>
        </w:tc>
      </w:tr>
      <w:tr>
        <w:tc>
          <w:tcPr>
            <w:tcW w:type="dxa" w:w="201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Free</w:t>
            </w:r>
          </w:p>
        </w:tc>
        <w:tc>
          <w:tcPr>
            <w:tcW w:type="dxa" w:w="482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Adquire usuários, gera aprendizado e forma demanda.</w:t>
            </w:r>
          </w:p>
        </w:tc>
        <w:tc>
          <w:tcPr>
            <w:tcW w:type="dxa" w:w="338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Limites de volume e sem custo operacional ilimitado.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</w:t>
            </w:r>
          </w:p>
        </w:tc>
        <w:tc>
          <w:tcPr>
            <w:tcW w:type="dxa" w:w="48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Monetiza potência e volume individual e ajuda a absorver custos fixos.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Não vender relevância, votos ou exposição.</w:t>
            </w:r>
          </w:p>
        </w:tc>
      </w:tr>
      <w:tr>
        <w:tc>
          <w:tcPr>
            <w:tcW w:type="dxa" w:w="201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Institucional</w:t>
            </w:r>
          </w:p>
        </w:tc>
        <w:tc>
          <w:tcPr>
            <w:tcW w:type="dxa" w:w="482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Financia tenant, governança, escala, suporte e margem recorrente.</w:t>
            </w:r>
          </w:p>
        </w:tc>
        <w:tc>
          <w:tcPr>
            <w:tcW w:type="dxa" w:w="338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Preço deve refletir usuários, programas, suporte e complexidade.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Implantação e treinamento</w:t>
            </w:r>
          </w:p>
        </w:tc>
        <w:tc>
          <w:tcPr>
            <w:tcW w:type="dxa" w:w="48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Recupera custo inicial de configuração e adoção.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Escopo fechado; não virar suporte ilimitado.</w:t>
            </w:r>
          </w:p>
        </w:tc>
      </w:tr>
      <w:tr>
        <w:tc>
          <w:tcPr>
            <w:tcW w:type="dxa" w:w="201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Integrações e automações</w:t>
            </w:r>
          </w:p>
        </w:tc>
        <w:tc>
          <w:tcPr>
            <w:tcW w:type="dxa" w:w="482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Monetiza complexidade adicional quando comprovada.</w:t>
            </w:r>
          </w:p>
        </w:tc>
        <w:tc>
          <w:tcPr>
            <w:tcW w:type="dxa" w:w="338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Só desenvolver com demanda, preço e manutenção definidos.</w:t>
            </w:r>
          </w:p>
        </w:tc>
      </w:tr>
      <w:tr>
        <w:tc>
          <w:tcPr>
            <w:tcW w:type="dxa" w:w="201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ONG subsidiada</w:t>
            </w:r>
          </w:p>
        </w:tc>
        <w:tc>
          <w:tcPr>
            <w:tcW w:type="dxa" w:w="482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Gera impacto, aprendizado e casos de uso.</w:t>
            </w:r>
          </w:p>
        </w:tc>
        <w:tc>
          <w:tcPr>
            <w:tcW w:type="dxa" w:w="33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Subsídio com critério, orçamento e revisão; não é ilimitado.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58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Plano</w:t>
            </w:r>
          </w:p>
        </w:tc>
        <w:tc>
          <w:tcPr>
            <w:tcW w:type="dxa" w:w="4536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O que precisa pagar</w:t>
            </w:r>
          </w:p>
        </w:tc>
        <w:tc>
          <w:tcPr>
            <w:tcW w:type="dxa" w:w="4104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Condição de sustentabilidade</w:t>
            </w:r>
          </w:p>
        </w:tc>
      </w:tr>
      <w:tr>
        <w:tc>
          <w:tcPr>
            <w:tcW w:type="dxa" w:w="158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Free</w:t>
            </w:r>
          </w:p>
        </w:tc>
        <w:tc>
          <w:tcPr>
            <w:tcW w:type="dxa" w:w="453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Custo variável básico de uso.</w:t>
            </w:r>
          </w:p>
        </w:tc>
        <w:tc>
          <w:tcPr>
            <w:tcW w:type="dxa" w:w="410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Limitar volume, automações e armazenamento; monitorar custo por usuário ativo.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Custo variável pessoal + parcela dos custos fixos.</w:t>
            </w:r>
          </w:p>
        </w:tc>
        <w:tc>
          <w:tcPr>
            <w:tcW w:type="dxa" w:w="41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Receita mensal superior ao custo incremental e contribuição positiva para a plataforma.</w:t>
            </w:r>
          </w:p>
        </w:tc>
      </w:tr>
      <w:tr>
        <w:tc>
          <w:tcPr>
            <w:tcW w:type="dxa" w:w="158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Institucional</w:t>
            </w:r>
          </w:p>
        </w:tc>
        <w:tc>
          <w:tcPr>
            <w:tcW w:type="dxa" w:w="453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Tenant + suporte + governança + parcela de implantação.</w:t>
            </w:r>
          </w:p>
        </w:tc>
        <w:tc>
          <w:tcPr>
            <w:tcW w:type="dxa" w:w="4104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Receita recorrente cobre custo direto e alcança a margem interna definida.</w:t>
            </w:r>
          </w:p>
        </w:tc>
      </w:tr>
      <w:tr>
        <w:tc>
          <w:tcPr>
            <w:tcW w:type="dxa" w:w="158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ONG subsidiada</w:t>
            </w:r>
          </w:p>
        </w:tc>
        <w:tc>
          <w:tcPr>
            <w:tcW w:type="dxa" w:w="453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Custo autorizado pelo orçamento de impacto.</w:t>
            </w:r>
          </w:p>
        </w:tc>
        <w:tc>
          <w:tcPr>
            <w:tcW w:type="dxa" w:w="4104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Número de organizações e horas de suporte limitados por capacidade real.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startup se torna financeiramente saudável quando o crescimento de receita recorrente é maior que o crescimento do custo de servir cada organização, quando a implantação deixa de consumir trabalho não remunerado e quando o núcleo compartilhado atende novos tenants sem reescritas exclusivas. Escala saudável não é apenas ter mais usuários; é aumentar uso e receita sem aumentar suporte na mesma proporção.</w:t>
      </w:r>
    </w:p>
    <w:p>
      <w:pPr>
        <w:keepNext/>
        <w:spacing w:before="180" w:after="120" w:line="276" w:lineRule="auto"/>
      </w:pPr>
      <w:r>
        <w:rPr>
          <w:rFonts w:ascii="Arial" w:hAnsi="Arial" w:eastAsia="Arial"/>
          <w:b/>
          <w:i w:val="0"/>
          <w:color w:val="321943"/>
          <w:sz w:val="24"/>
        </w:rPr>
        <w:t>6.5 Custo de implantação e suporte por organização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Implantação e suporte devem ser tratados como custos por organização, porque variam muito mais entre tenants do que entre usuários individuais. O cálculo deve registrar horas reais da equipe, consumo adicional de infraestrutura, reuniões, treinamento, configuração, incidentes e pedidos fora do escopo.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88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4968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Atividades incluídas</w:t>
            </w:r>
          </w:p>
        </w:tc>
        <w:tc>
          <w:tcPr>
            <w:tcW w:type="dxa" w:w="3168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Premissa inicial do piloto</w:t>
            </w:r>
          </w:p>
        </w:tc>
      </w:tr>
      <w:tr>
        <w:tc>
          <w:tcPr>
            <w:tcW w:type="dxa" w:w="208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Descoberta e configuração</w:t>
            </w:r>
          </w:p>
        </w:tc>
        <w:tc>
          <w:tcPr>
            <w:tcW w:type="dxa" w:w="496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Reunião de contexto, cadastro do tenant, domínio, identidade visual e permissões iniciais.</w:t>
            </w:r>
          </w:p>
        </w:tc>
        <w:tc>
          <w:tcPr>
            <w:tcW w:type="dxa" w:w="316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2 horas de equipe.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Preparação do ambiente</w:t>
            </w:r>
          </w:p>
        </w:tc>
        <w:tc>
          <w:tcPr>
            <w:tcW w:type="dxa" w:w="49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Programas, grupos, usuários iniciais, visibilidade e testes de isolamento.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2 horas de equipe.</w:t>
            </w:r>
          </w:p>
        </w:tc>
      </w:tr>
      <w:tr>
        <w:tc>
          <w:tcPr>
            <w:tcW w:type="dxa" w:w="208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Treinamento e ativação</w:t>
            </w:r>
          </w:p>
        </w:tc>
        <w:tc>
          <w:tcPr>
            <w:tcW w:type="dxa" w:w="496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Orientação para gestão, professores/mentores e participantes-chave.</w:t>
            </w:r>
          </w:p>
        </w:tc>
        <w:tc>
          <w:tcPr>
            <w:tcW w:type="dxa" w:w="316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1 hora de equipe.</w:t>
            </w:r>
          </w:p>
        </w:tc>
      </w:tr>
      <w:tr>
        <w:tc>
          <w:tcPr>
            <w:tcW w:type="dxa" w:w="208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Acompanhamento inicial</w:t>
            </w:r>
          </w:p>
        </w:tc>
        <w:tc>
          <w:tcPr>
            <w:tcW w:type="dxa" w:w="49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Correções de adoção, dúvidas e ajustes de configuração após a ativação.</w:t>
            </w:r>
          </w:p>
        </w:tc>
        <w:tc>
          <w:tcPr>
            <w:tcW w:type="dxa" w:w="316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2 horas por semana durante as duas primeiras semanas.</w:t>
            </w:r>
          </w:p>
        </w:tc>
      </w:tr>
      <w:tr>
        <w:tc>
          <w:tcPr>
            <w:tcW w:type="dxa" w:w="208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Suporte recorrente incluído</w:t>
            </w:r>
          </w:p>
        </w:tc>
        <w:tc>
          <w:tcPr>
            <w:tcW w:type="dxa" w:w="496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Dúvidas operacionais, incidentes básicos e acompanhamento do uso.</w:t>
            </w:r>
          </w:p>
        </w:tc>
        <w:tc>
          <w:tcPr>
            <w:tcW w:type="dxa" w:w="3168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2 horas por semana no piloto; revisar com dados reais.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premissa inicial é de até cinco horas para configurar o primeiro ambiente e até quatro horas de suporte nas duas primeiras semanas, além de até duas horas semanais de suporte recorrente durante o piloto. Esses limites não são uma promessa comercial; são um teto para testar a capacidade da equipe e descobrir o esforço real.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 custo econômico de implantação deve ser calculado por: horas de implantação × custo-hora interno + consumo adicional de infraestrutura + despesas externas. O custo de suporte deve ser calculado por: horas mensais de suporte × custo-hora interno + serviços variáveis de atendimento. O custo-hora interno deve incluir remuneração, encargos quando aplicáveis e uma parcela de ferramentas e gestão.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32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Indicador por organização</w:t>
            </w:r>
          </w:p>
        </w:tc>
        <w:tc>
          <w:tcPr>
            <w:tcW w:type="dxa" w:w="4680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Fórmula</w:t>
            </w:r>
          </w:p>
        </w:tc>
        <w:tc>
          <w:tcPr>
            <w:tcW w:type="dxa" w:w="3312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Sinal saudável</w:t>
            </w:r>
          </w:p>
        </w:tc>
      </w:tr>
      <w:tr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Custo de implantação</w:t>
            </w:r>
          </w:p>
        </w:tc>
        <w:tc>
          <w:tcPr>
            <w:tcW w:type="dxa" w:w="468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Horas iniciais × custo-hora + despesas de configuração.</w:t>
            </w:r>
          </w:p>
        </w:tc>
        <w:tc>
          <w:tcPr>
            <w:tcW w:type="dxa" w:w="331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Recuperado por taxa de implantação ou contrato com permanência mínima.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Custo mensal de suporte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Horas de suporte no mês × custo-hora + serviços variáveis.</w:t>
            </w:r>
          </w:p>
        </w:tc>
        <w:tc>
          <w:tcPr>
            <w:tcW w:type="dxa" w:w="33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Cresce mais lentamente que a receita recorrente.</w:t>
            </w:r>
          </w:p>
        </w:tc>
      </w:tr>
      <w:tr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Custo direto do tenant</w:t>
            </w:r>
          </w:p>
        </w:tc>
        <w:tc>
          <w:tcPr>
            <w:tcW w:type="dxa" w:w="468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Infraestrutura incremental + suporte incluído + integrações.</w:t>
            </w:r>
          </w:p>
        </w:tc>
        <w:tc>
          <w:tcPr>
            <w:tcW w:type="dxa" w:w="331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Coberto pela mensalidade institucional.</w:t>
            </w:r>
          </w:p>
        </w:tc>
      </w:tr>
      <w:tr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Margem bruta institucional</w:t>
            </w:r>
          </w:p>
        </w:tc>
        <w:tc>
          <w:tcPr>
            <w:tcW w:type="dxa" w:w="468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(receita recorrente − custos diretos) ÷ receita recorrente.</w:t>
            </w:r>
          </w:p>
        </w:tc>
        <w:tc>
          <w:tcPr>
            <w:tcW w:type="dxa" w:w="331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Alvo interno inicial de 60% ou mais; validar com dados reais.</w:t>
            </w:r>
          </w:p>
        </w:tc>
      </w:tr>
      <w:tr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Tempo de implantação</w:t>
            </w:r>
          </w:p>
        </w:tc>
        <w:tc>
          <w:tcPr>
            <w:tcW w:type="dxa" w:w="468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Horas entre aceite e ambiente pronto para uso.</w:t>
            </w:r>
          </w:p>
        </w:tc>
        <w:tc>
          <w:tcPr>
            <w:tcW w:type="dxa" w:w="331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5 horas no piloto, sem código exclusivo.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Se uma organização ultrapassar o suporte incluído, a equipe deve classificar o motivo: problema de produto, falha de documentação, necessidade de treinamento ou pedido específico. Problemas do produto não devem ser cobrados como customização. Treinamento adicional, integração e desenvolvimento específico precisam de escopo e aprovação próprios.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implantação será considerada economicamente viável quando o ambiente puder ser configurado em até cinco horas, quando o suporte recorrente ficar dentro do limite aprovado e quando pelo menos 80% das necessidades do próximo tenant puderem ser atendidas por configuração. O piloto CAMPPG deve medir esses indicadores por oito semanas antes de definir preços finais.</w:t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7. Estratégia de impacto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ONGs podem receber acesso gratuito ou subsidiado para que o Palácio Mental gere impacto e aprenda com necessidades reais. Isso exige critérios de elegibilidade, proteção de dados, consentimento para divulgação de casos, capacidade operacional e revisão periódica.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O benefício para a ONG é ter uma estrutura acessível para organizar e preservar projetos. O benefício para o Palácio Mental é construir aprendizado e casos de uso que demonstrem valor para organizações pagantes, sem transformar pessoas ou projetos vulneráveis em recurso de marketing.</w:t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8. Hipóteses a validar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 validação será feita por ciclos curtos. Cada hipótese precisa ter uma métrica observável, um alvo provisório e uma data de decisão. Os alvos abaixo são critérios de aprendizado, não metas de vaidade nem garantia de sucesso.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520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Frente e hipótese</w:t>
            </w:r>
          </w:p>
        </w:tc>
        <w:tc>
          <w:tcPr>
            <w:tcW w:type="dxa" w:w="3096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Métrica e alvo provisório</w:t>
            </w:r>
          </w:p>
        </w:tc>
        <w:tc>
          <w:tcPr>
            <w:tcW w:type="dxa" w:w="2376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2232"/>
            <w:shd w:fill="32194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Prazo e decisão</w:t>
            </w:r>
          </w:p>
        </w:tc>
      </w:tr>
      <w:tr>
        <w:tc>
          <w:tcPr>
            <w:tcW w:type="dxa" w:w="252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Produto — usuários entendem a proposta.</w:t>
            </w:r>
          </w:p>
        </w:tc>
        <w:tc>
          <w:tcPr>
            <w:tcW w:type="dxa" w:w="309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70% dos novos usuários completam o primeiro projeto sem ajuda; nota média ≥ 4/5 na compreensão.</w:t>
            </w:r>
          </w:p>
        </w:tc>
        <w:tc>
          <w:tcPr>
            <w:tcW w:type="dxa" w:w="237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Teste de primeiro uso + entrevista curta.</w:t>
            </w:r>
          </w:p>
        </w:tc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30/11/2026. Manter se atingir; revisar onboarding se não.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Produto — contexto progressivo gera valor.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60% dos projetos ativados adicionam pelo menos 3 elementos de contexto em 14 dias.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Coorte de projetos e análise de eventos.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15/12/2026. Simplificar etapas se houver abandono.</w:t>
            </w:r>
          </w:p>
        </w:tc>
      </w:tr>
      <w:tr>
        <w:tc>
          <w:tcPr>
            <w:tcW w:type="dxa" w:w="252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Produto — Meu Espaço é útil.</w:t>
            </w:r>
          </w:p>
        </w:tc>
        <w:tc>
          <w:tcPr>
            <w:tcW w:type="dxa" w:w="309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40% dos usuários ativados retornam ao Meu Espaço em 2 semanas diferentes no período de 30 dias.</w:t>
            </w:r>
          </w:p>
        </w:tc>
        <w:tc>
          <w:tcPr>
            <w:tcW w:type="dxa" w:w="237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Telemetria de retorno + entrevista com usuários ativos/inativos.</w:t>
            </w:r>
          </w:p>
        </w:tc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22/12/2026. Manter, reposicionar ou reduzir escopo.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Produto — ambiente CAMPPG atende uso institucional.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Pelo menos 2 perfis institucionais usam o ambiente semanalmente; 70% dos projetos-piloto ficam vinculados ao contexto correto.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Piloto com gestão, orientação e participantes.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 semanas após ativação. Corrigir fluxo antes de replicar.</w:t>
            </w:r>
          </w:p>
        </w:tc>
      </w:tr>
      <w:tr>
        <w:tc>
          <w:tcPr>
            <w:tcW w:type="dxa" w:w="252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Produto — relevância melhora descoberta.</w:t>
            </w:r>
          </w:p>
        </w:tc>
        <w:tc>
          <w:tcPr>
            <w:tcW w:type="dxa" w:w="309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20% dos usuários da vitrine interagem com ranking e a taxa de abertura de projetos relevantes supera a lista cronológica em teste simples.</w:t>
            </w:r>
          </w:p>
        </w:tc>
        <w:tc>
          <w:tcPr>
            <w:tcW w:type="dxa" w:w="237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Experimento comparativo e eventos de clique.</w:t>
            </w:r>
          </w:p>
        </w:tc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Após 4 semanas da feature. Manter apenas se não houver viés por plano.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Produto — PM Flow e PM VCS têm demanda real.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Ao menos 6 de 10 entrevistas descrevem um problema recorrente que o módulo resolveria e aceitam testar um protótipo.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Entrevistas sem vender a solução pronta.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31/01/2027. Priorizar somente se o problema for recorrente.</w:t>
            </w:r>
          </w:p>
        </w:tc>
      </w:tr>
      <w:tr>
        <w:tc>
          <w:tcPr>
            <w:tcW w:type="dxa" w:w="252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Negócio — usuários pagam por profundidade.</w:t>
            </w:r>
          </w:p>
        </w:tc>
        <w:tc>
          <w:tcPr>
            <w:tcW w:type="dxa" w:w="309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Em 10 entrevistas, ≥3 demonstram disposição concreta: preço aceitável, pré-cadastro ou teste pago.</w:t>
            </w:r>
          </w:p>
        </w:tc>
        <w:tc>
          <w:tcPr>
            <w:tcW w:type="dxa" w:w="237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Entrevistas de problema/preço e landing page controlada.</w:t>
            </w:r>
          </w:p>
        </w:tc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31/01/2027. Não lançar plano pago baseado só em opinião.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Negócio — organizações pagam por governança.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5 conversas qualificadas, 2 pilotos interessados e 1 proposta aceita para desenho pago ou patrocinado.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Entrevistas com organizações fora do CAMPPG.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28/02/2027. Revisar pacote e comprador se não houver avanço.</w:t>
            </w:r>
          </w:p>
        </w:tc>
      </w:tr>
      <w:tr>
        <w:tc>
          <w:tcPr>
            <w:tcW w:type="dxa" w:w="252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Negócio — ONG subsidiada é sustentável.</w:t>
            </w:r>
          </w:p>
        </w:tc>
        <w:tc>
          <w:tcPr>
            <w:tcW w:type="dxa" w:w="309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Custo mensal estimado por ONG e horas de suporte ficam dentro do limite aprovado pela equipe.</w:t>
            </w:r>
          </w:p>
        </w:tc>
        <w:tc>
          <w:tcPr>
            <w:tcW w:type="dxa" w:w="237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Registro de custo, horas e infraestrutura do piloto.</w:t>
            </w:r>
          </w:p>
        </w:tc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Revisão mensal por 3 meses. Continuar só com capacidade explícita.</w:t>
            </w:r>
          </w:p>
        </w:tc>
      </w:tr>
      <w:tr>
        <w:tc>
          <w:tcPr>
            <w:tcW w:type="dxa" w:w="2520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Negócio — implantação é viável.</w:t>
            </w:r>
          </w:p>
        </w:tc>
        <w:tc>
          <w:tcPr>
            <w:tcW w:type="dxa" w:w="309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Primeiro ambiente configurado em até 5 horas; suporte recorrente ≤ 2 horas por semana no piloto.</w:t>
            </w:r>
          </w:p>
        </w:tc>
        <w:tc>
          <w:tcPr>
            <w:tcW w:type="dxa" w:w="2376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Cronometragem de implantação e registro de suporte.</w:t>
            </w:r>
          </w:p>
        </w:tc>
        <w:tc>
          <w:tcPr>
            <w:tcW w:type="dxa" w:w="2232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Durante as 8 semanas do piloto. Productizar o que se repetir.</w:t>
            </w:r>
          </w:p>
        </w:tc>
      </w:tr>
      <w:tr>
        <w:tc>
          <w:tcPr>
            <w:tcW w:type="dxa" w:w="2520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Operação — núcleo compartilhado se replica.</w:t>
            </w:r>
          </w:p>
        </w:tc>
        <w:tc>
          <w:tcPr>
            <w:tcW w:type="dxa" w:w="309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80% das necessidades do segundo piloto atendidas por configuração, sem código exclusivo.</w:t>
            </w:r>
          </w:p>
        </w:tc>
        <w:tc>
          <w:tcPr>
            <w:tcW w:type="dxa" w:w="2376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Comparação de requisitos entre CAMPPG e próxima organização.</w:t>
            </w:r>
          </w:p>
        </w:tc>
        <w:tc>
          <w:tcPr>
            <w:tcW w:type="dxa" w:w="2232"/>
            <w:shd w:fill="F7F4EE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4" w:color="D6CBDC"/>
              <w:left w:val="single" w:sz="4" w:color="D6CBDC"/>
              <w:bottom w:val="single" w:sz="4" w:color="D6CBDC"/>
              <w:right w:val="single" w:sz="4" w:color="D6CBDC"/>
            </w:tcBorders>
          </w:tcPr>
          <w:p>
            <w:pPr>
              <w:spacing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Até 31/03/2027. Recusar customização estrutural sem margem.</w:t>
            </w:r>
          </w:p>
        </w:tc>
      </w:tr>
    </w:tbl>
    <w:p>
      <w:pPr>
        <w:spacing w:after="40"/>
      </w:pP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As hipóteses de PM Flow, PM VCS e disposição a pagar não serão tratadas como validadas pelo simples uso do MVP. Elas exigem evidência específica. A equipe deve registrar resultado, amostra, limitações e decisão — continuar, ajustar, pausar ou descartar — ao fim de cada prazo.</w:t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9. Próximas decisões da equipe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Validar o piloto institucional do CAMPPG antes de ampliar segmentos.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Definir limites reais dos planos Free, Pro e Institucional.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Medir custo por tenant, implantação e suporte durante o piloto.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Implementar o núcleo multi-tenant sem misturar projetos institucionais à vitrine global.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Integrar Redis como camada operacional, mantendo PostgreSQL como fonte oficial.</w:t>
      </w:r>
    </w:p>
    <w:p>
      <w:pPr>
        <w:pStyle w:val="ListBullet"/>
        <w:spacing w:line="360" w:lineRule="auto" w:after="40"/>
        <w:ind w:left="504"/>
      </w:pPr>
      <w:r>
        <w:rPr>
          <w:rFonts w:ascii="Arial" w:hAnsi="Arial" w:eastAsia="Arial"/>
          <w:b w:val="0"/>
          <w:i w:val="0"/>
          <w:color w:val="000000"/>
          <w:sz w:val="22"/>
        </w:rPr>
        <w:t>Tratar PM Flow, PM VCS e automações avançadas como hipóteses posteriores.</w:t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10. Nota de governança do documento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Esta versão foi criada separadamente com base no Contexto Mestre oficial indicado pela equipe. O documento oficial permanece intacto. Antes de incorporar qualquer trecho ao documento principal, a equipe deve revisar as hipóteses, os limites dos planos e a capacidade operacional.</w:t>
      </w:r>
    </w:p>
    <w:p>
      <w:pPr>
        <w:keepNext/>
        <w:spacing w:before="280" w:after="120" w:line="276" w:lineRule="auto"/>
      </w:pPr>
      <w:r>
        <w:rPr>
          <w:rFonts w:ascii="Arial" w:hAnsi="Arial" w:eastAsia="Arial"/>
          <w:b/>
          <w:i w:val="0"/>
          <w:color w:val="321943"/>
          <w:sz w:val="28"/>
        </w:rPr>
        <w:t>11. Referências de custos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[1] Railway. Pricing. Consulta em 27 out. 2026. https://railway.com/pricing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[2] Registro.br. Pagamento de domínio. Consulta em 27 out. 2026. https://registro.br/ajuda/pagamento-de-dominio/</w:t>
      </w:r>
    </w:p>
    <w:p>
      <w:pPr>
        <w:spacing w:line="360" w:lineRule="auto" w:after="12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>[3] Cloudflare. Free Plan Overview. Consulta em 27 out. 2026. https://www.cloudflare.com/plans/free/</w:t>
      </w:r>
    </w:p>
    <w:sectPr w:rsidR="00FC693F" w:rsidRPr="0006063C" w:rsidSect="00034616">
      <w:footerReference w:type="default" r:id="rId10"/>
      <w:pgSz w:w="11909" w:h="16834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5B5660"/>
        <w:sz w:val="16"/>
      </w:rPr>
      <w:t>Palácio Mental — documento de revisão estratégica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