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52"/>
          <w:szCs w:val="52"/>
        </w:rPr>
        <w:t xml:space="preserve">CivicPulse</w:t>
      </w:r>
    </w:p>
    <w:p>
      <w:pPr>
        <w:spacing w:after="60"/>
      </w:pPr>
      <w:r>
        <w:rPr>
          <w:color w:val="18181B"/>
          <w:sz w:val="24"/>
          <w:szCs w:val="24"/>
        </w:rPr>
        <w:t xml:space="preserve">Hyperlocal Civic-Issue Platform — Project Description</w:t>
      </w:r>
    </w:p>
    <w:p>
      <w:pPr>
        <w:pBdr>
          <w:bottom w:val="single" w:color="2563EB" w:sz="6" w:space="6"/>
        </w:pBdr>
        <w:spacing w:after="160"/>
      </w:pPr>
      <w:r>
        <w:rPr>
          <w:color w:val="6B7280"/>
          <w:sz w:val="20"/>
          <w:szCs w:val="20"/>
        </w:rPr>
        <w:t xml:space="preserve">Vibe2Ship Hackathon  ·  Problem Statement 2: Community Hero — Hyperlocal Problem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7DBE0" w:sz="1"/>
              <w:left w:val="single" w:color="D7DBE0" w:sz="1"/>
              <w:bottom w:val="single" w:color="D7DBE0" w:sz="1"/>
              <w:right w:val="single" w:color="D7DBE0" w:sz="1"/>
            </w:tcBorders>
            <w:shd w:fill="F5F7FA" w:val="clear"/>
            <w:tcMar>
              <w:top w:type="dxa" w:w="60"/>
              <w:left w:type="dxa" w:w="120"/>
              <w:bottom w:type="dxa" w:w="60"/>
              <w:right w:type="dxa" w:w="120"/>
            </w:tcMar>
            <w:vAlign w:val="center"/>
          </w:tcPr>
          <w:p>
            <w:r>
              <w:rPr>
                <w:b/>
                <w:bCs/>
                <w:color w:val="18181B"/>
              </w:rPr>
              <w:t xml:space="preserve">Live app</w:t>
            </w:r>
          </w:p>
        </w:tc>
        <w:tc>
          <w:tcPr>
            <w:tcW w:type="dxa" w:w="7460"/>
            <w:tcBorders>
              <w:top w:val="single" w:color="D7DBE0" w:sz="1"/>
              <w:left w:val="single" w:color="D7DBE0" w:sz="1"/>
              <w:bottom w:val="single" w:color="D7DBE0" w:sz="1"/>
              <w:right w:val="single" w:color="D7DBE0" w:sz="1"/>
            </w:tcBorders>
            <w:tcMar>
              <w:top w:type="dxa" w:w="60"/>
              <w:left w:type="dxa" w:w="120"/>
              <w:bottom w:type="dxa" w:w="60"/>
              <w:right w:type="dxa" w:w="120"/>
            </w:tcMar>
            <w:vAlign w:val="center"/>
          </w:tcPr>
          <w:p>
            <w:hyperlink w:history="1" r:id="rId_u8mas9nqfzjfjdf8llmn">
              <w:r>
                <w:rPr>
                  <w:rStyle w:val="Hyperlink"/>
                </w:rPr>
                <w:t xml:space="preserve">https://civicpulse-245651121772.us-central1.run.app</w:t>
              </w:r>
            </w:hyperlink>
          </w:p>
        </w:tc>
      </w:tr>
      <w:tr>
        <w:tc>
          <w:tcPr>
            <w:tcW w:type="dxa" w:w="1900"/>
            <w:tcBorders>
              <w:top w:val="single" w:color="D7DBE0" w:sz="1"/>
              <w:left w:val="single" w:color="D7DBE0" w:sz="1"/>
              <w:bottom w:val="single" w:color="D7DBE0" w:sz="1"/>
              <w:right w:val="single" w:color="D7DBE0" w:sz="1"/>
            </w:tcBorders>
            <w:shd w:fill="F5F7FA" w:val="clear"/>
            <w:tcMar>
              <w:top w:type="dxa" w:w="60"/>
              <w:left w:type="dxa" w:w="120"/>
              <w:bottom w:type="dxa" w:w="60"/>
              <w:right w:type="dxa" w:w="120"/>
            </w:tcMar>
            <w:vAlign w:val="center"/>
          </w:tcPr>
          <w:p>
            <w:r>
              <w:rPr>
                <w:b/>
                <w:bCs/>
                <w:color w:val="18181B"/>
              </w:rPr>
              <w:t xml:space="preserve">GitHub</w:t>
            </w:r>
          </w:p>
        </w:tc>
        <w:tc>
          <w:tcPr>
            <w:tcW w:type="dxa" w:w="7460"/>
            <w:tcBorders>
              <w:top w:val="single" w:color="D7DBE0" w:sz="1"/>
              <w:left w:val="single" w:color="D7DBE0" w:sz="1"/>
              <w:bottom w:val="single" w:color="D7DBE0" w:sz="1"/>
              <w:right w:val="single" w:color="D7DBE0" w:sz="1"/>
            </w:tcBorders>
            <w:tcMar>
              <w:top w:type="dxa" w:w="60"/>
              <w:left w:type="dxa" w:w="120"/>
              <w:bottom w:type="dxa" w:w="60"/>
              <w:right w:type="dxa" w:w="120"/>
            </w:tcMar>
            <w:vAlign w:val="center"/>
          </w:tcPr>
          <w:p>
            <w:hyperlink w:history="1" r:id="rId5wwalgwut99ky1am4zllu">
              <w:r>
                <w:rPr>
                  <w:rStyle w:val="Hyperlink"/>
                </w:rPr>
                <w:t xml:space="preserve">https://github.com/DevVaradPatil/civicpulse_vibe2ship</w:t>
              </w:r>
            </w:hyperlink>
          </w:p>
        </w:tc>
      </w:tr>
    </w:tbl>
    <w:p>
      <w:pPr>
        <w:pStyle w:val="Heading1"/>
      </w:pPr>
      <w:r>
        <w:rPr>
          <w:b/>
          <w:bCs/>
          <w:color w:val="2563EB"/>
        </w:rPr>
        <w:t xml:space="preserve">Problem Statement Selected</w:t>
      </w:r>
    </w:p>
    <w:p>
      <w:pPr>
        <w:spacing w:after="120" w:line="276"/>
      </w:pPr>
      <w:r>
        <w:rPr>
          <w:color w:val="18181B"/>
        </w:rPr>
        <w:t xml:space="preserve">Problem Statement 2 — Community Hero: Hyperlocal Problem Solver. Communities face constant civic issues such as potholes, water leakages, damaged streetlights, and waste. Reporting them today is fragmented, hard to track, and lacks transparency, so issues linger and citizens disengage. CivicPulse enables citizens to identify, report, validate, track, and resolve these issues through collaboration, data, and intelligent automation — with transparency and accountability at its core.</w:t>
      </w:r>
    </w:p>
    <w:p>
      <w:pPr>
        <w:pStyle w:val="Heading1"/>
      </w:pPr>
      <w:r>
        <w:rPr>
          <w:b/>
          <w:bCs/>
          <w:color w:val="2563EB"/>
        </w:rPr>
        <w:t xml:space="preserve">Solution Overview</w:t>
      </w:r>
    </w:p>
    <w:p>
      <w:pPr>
        <w:spacing w:after="120" w:line="276"/>
      </w:pPr>
      <w:r>
        <w:rPr>
          <w:color w:val="18181B"/>
        </w:rPr>
        <w:t xml:space="preserve">CivicPulse turns a single citizen photo into a tracked, verified, and resolved civic action, and closes the accountability loop with AI. When a citizen photographs an issue, an orchestrated pipeline of AI agents works alongside the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D7DBE0" w:sz="1"/>
              <w:left w:val="single" w:color="D7DBE0" w:sz="1"/>
              <w:bottom w:val="single" w:color="D7DBE0" w:sz="1"/>
              <w:right w:val="single" w:color="D7DBE0" w:sz="1"/>
            </w:tcBorders>
            <w:shd w:fill="EAF0FE" w:val="clear"/>
            <w:tcMar>
              <w:top w:type="dxa" w:w="70"/>
              <w:left w:type="dxa" w:w="120"/>
              <w:bottom w:type="dxa" w:w="70"/>
              <w:right w:type="dxa" w:w="120"/>
            </w:tcMar>
          </w:tcPr>
          <w:p>
            <w:r>
              <w:rPr>
                <w:b/>
                <w:bCs/>
                <w:color w:val="2563EB"/>
                <w:sz w:val="20"/>
                <w:szCs w:val="20"/>
              </w:rPr>
              <w:t xml:space="preserve">Agent</w:t>
            </w:r>
          </w:p>
        </w:tc>
        <w:tc>
          <w:tcPr>
            <w:tcW w:type="dxa" w:w="1900"/>
            <w:tcBorders>
              <w:top w:val="single" w:color="D7DBE0" w:sz="1"/>
              <w:left w:val="single" w:color="D7DBE0" w:sz="1"/>
              <w:bottom w:val="single" w:color="D7DBE0" w:sz="1"/>
              <w:right w:val="single" w:color="D7DBE0" w:sz="1"/>
            </w:tcBorders>
            <w:shd w:fill="EAF0FE" w:val="clear"/>
            <w:tcMar>
              <w:top w:type="dxa" w:w="70"/>
              <w:left w:type="dxa" w:w="120"/>
              <w:bottom w:type="dxa" w:w="70"/>
              <w:right w:type="dxa" w:w="120"/>
            </w:tcMar>
          </w:tcPr>
          <w:p>
            <w:r>
              <w:rPr>
                <w:b/>
                <w:bCs/>
                <w:color w:val="2563EB"/>
                <w:sz w:val="20"/>
                <w:szCs w:val="20"/>
              </w:rPr>
              <w:t xml:space="preserve">Type</w:t>
            </w:r>
          </w:p>
        </w:tc>
        <w:tc>
          <w:tcPr>
            <w:tcW w:type="dxa" w:w="5260"/>
            <w:tcBorders>
              <w:top w:val="single" w:color="D7DBE0" w:sz="1"/>
              <w:left w:val="single" w:color="D7DBE0" w:sz="1"/>
              <w:bottom w:val="single" w:color="D7DBE0" w:sz="1"/>
              <w:right w:val="single" w:color="D7DBE0" w:sz="1"/>
            </w:tcBorders>
            <w:shd w:fill="EAF0FE" w:val="clear"/>
            <w:tcMar>
              <w:top w:type="dxa" w:w="70"/>
              <w:left w:type="dxa" w:w="120"/>
              <w:bottom w:type="dxa" w:w="70"/>
              <w:right w:type="dxa" w:w="120"/>
            </w:tcMar>
          </w:tcPr>
          <w:p>
            <w:r>
              <w:rPr>
                <w:b/>
                <w:bCs/>
                <w:color w:val="2563EB"/>
                <w:sz w:val="20"/>
                <w:szCs w:val="20"/>
              </w:rPr>
              <w:t xml:space="preserve">What it does</w:t>
            </w:r>
          </w:p>
        </w:tc>
      </w:tr>
      <w:tr>
        <w:trPr>
          <w:tblHeader w:val="false"/>
        </w:trPr>
        <w:tc>
          <w:tcPr>
            <w:tcW w:type="dxa" w:w="22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bCs/>
                <w:color w:val="18181B"/>
                <w:sz w:val="20"/>
                <w:szCs w:val="20"/>
              </w:rPr>
              <w:t xml:space="preserve">Triage</w:t>
            </w:r>
          </w:p>
        </w:tc>
        <w:tc>
          <w:tcPr>
            <w:tcW w:type="dxa" w:w="19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Gemini (vision)</w:t>
            </w:r>
          </w:p>
        </w:tc>
        <w:tc>
          <w:tcPr>
            <w:tcW w:type="dxa" w:w="526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Reads the photo; outputs category, severity, and hazards.</w:t>
            </w:r>
          </w:p>
        </w:tc>
      </w:tr>
      <w:tr>
        <w:trPr>
          <w:tblHeader w:val="false"/>
        </w:trPr>
        <w:tc>
          <w:tcPr>
            <w:tcW w:type="dxa" w:w="22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bCs/>
                <w:color w:val="18181B"/>
                <w:sz w:val="20"/>
                <w:szCs w:val="20"/>
              </w:rPr>
              <w:t xml:space="preserve">Dedup</w:t>
            </w:r>
          </w:p>
        </w:tc>
        <w:tc>
          <w:tcPr>
            <w:tcW w:type="dxa" w:w="19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Deterministic</w:t>
            </w:r>
          </w:p>
        </w:tc>
        <w:tc>
          <w:tcPr>
            <w:tcW w:type="dxa" w:w="526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Clusters nearby same-category reports to keep signal clean.</w:t>
            </w:r>
          </w:p>
        </w:tc>
      </w:tr>
      <w:tr>
        <w:trPr>
          <w:tblHeader w:val="false"/>
        </w:trPr>
        <w:tc>
          <w:tcPr>
            <w:tcW w:type="dxa" w:w="22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bCs/>
                <w:color w:val="18181B"/>
                <w:sz w:val="20"/>
                <w:szCs w:val="20"/>
              </w:rPr>
              <w:t xml:space="preserve">Routing</w:t>
            </w:r>
          </w:p>
        </w:tc>
        <w:tc>
          <w:tcPr>
            <w:tcW w:type="dxa" w:w="19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Gemini (text)</w:t>
            </w:r>
          </w:p>
        </w:tc>
        <w:tc>
          <w:tcPr>
            <w:tcW w:type="dxa" w:w="526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Drafts a formal complaint to the responsible Delhi authority.</w:t>
            </w:r>
          </w:p>
        </w:tc>
      </w:tr>
      <w:tr>
        <w:trPr>
          <w:tblHeader w:val="false"/>
        </w:trPr>
        <w:tc>
          <w:tcPr>
            <w:tcW w:type="dxa" w:w="22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bCs/>
                <w:color w:val="18181B"/>
                <w:sz w:val="20"/>
                <w:szCs w:val="20"/>
              </w:rPr>
              <w:t xml:space="preserve">Resolution Verifier</w:t>
            </w:r>
          </w:p>
        </w:tc>
        <w:tc>
          <w:tcPr>
            <w:tcW w:type="dxa" w:w="19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Gemini (vision)</w:t>
            </w:r>
          </w:p>
        </w:tc>
        <w:tc>
          <w:tcPr>
            <w:tcW w:type="dxa" w:w="526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Compares before/after photos to confirm the fix.</w:t>
            </w:r>
          </w:p>
        </w:tc>
      </w:tr>
      <w:tr>
        <w:trPr>
          <w:tblHeader w:val="false"/>
        </w:trPr>
        <w:tc>
          <w:tcPr>
            <w:tcW w:type="dxa" w:w="22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bCs/>
                <w:color w:val="18181B"/>
                <w:sz w:val="20"/>
                <w:szCs w:val="20"/>
              </w:rPr>
              <w:t xml:space="preserve">Insights</w:t>
            </w:r>
          </w:p>
        </w:tc>
        <w:tc>
          <w:tcPr>
            <w:tcW w:type="dxa" w:w="190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Gemini (cached)</w:t>
            </w:r>
          </w:p>
        </w:tc>
        <w:tc>
          <w:tcPr>
            <w:tcW w:type="dxa" w:w="5260"/>
            <w:tcBorders>
              <w:top w:val="single" w:color="D7DBE0" w:sz="1"/>
              <w:left w:val="single" w:color="D7DBE0" w:sz="1"/>
              <w:bottom w:val="single" w:color="D7DBE0" w:sz="1"/>
              <w:right w:val="single" w:color="D7DBE0" w:sz="1"/>
            </w:tcBorders>
            <w:tcMar>
              <w:top w:type="dxa" w:w="70"/>
              <w:left w:type="dxa" w:w="120"/>
              <w:bottom w:type="dxa" w:w="70"/>
              <w:right w:type="dxa" w:w="120"/>
            </w:tcMar>
          </w:tcPr>
          <w:p>
            <w:r>
              <w:rPr>
                <w:b w:val="false"/>
                <w:bCs w:val="false"/>
                <w:color w:val="18181B"/>
                <w:sz w:val="20"/>
                <w:szCs w:val="20"/>
              </w:rPr>
              <w:t xml:space="preserve">Predicts hotspots and trends for the impact dashboard.</w:t>
            </w:r>
          </w:p>
        </w:tc>
      </w:tr>
    </w:tbl>
    <w:p>
      <w:pPr>
        <w:spacing w:after="80"/>
      </w:pPr>
      <w:r>
        <w:t xml:space="preserve"/>
      </w:r>
    </w:p>
    <w:p>
      <w:pPr>
        <w:spacing w:after="120" w:line="276"/>
      </w:pPr>
      <w:r>
        <w:rPr>
          <w:color w:val="18181B"/>
        </w:rPr>
        <w:t xml:space="preserve">Citizens are recognised as Community Heroes through points, achievement badges, tiers, and public profiles, gamifying civic participation. Every issue exposes its AI agent pipeline, so the automation is transparent to users and judges alike.</w:t>
      </w:r>
    </w:p>
    <w:p>
      <w:pPr>
        <w:spacing w:after="120" w:line="276"/>
      </w:pPr>
      <w:r>
        <w:rPr>
          <w:color w:val="18181B"/>
        </w:rPr>
        <w:t xml:space="preserve">Design principle — minimal, meaningful AI: Gemini is used only where it adds genuine value (visual perception and judgment). Deduplication, statistics, hotspot detection, and authority routing are deterministic code. This makes CivicPulse a true agentic pipeline — agents that reason and use tools — rather than a single prompt wrapper, while staying entirely within free tiers.</w:t>
      </w:r>
    </w:p>
    <w:p>
      <w:pPr>
        <w:pStyle w:val="Heading1"/>
      </w:pPr>
      <w:r>
        <w:rPr>
          <w:b/>
          <w:bCs/>
          <w:color w:val="2563EB"/>
        </w:rPr>
        <w:t xml:space="preserve">Key Features</w:t>
      </w:r>
    </w:p>
    <w:p>
      <w:pPr>
        <w:pStyle w:val="ListParagraph"/>
        <w:numPr>
          <w:ilvl w:val="0"/>
          <w:numId w:val="2"/>
        </w:numPr>
        <w:spacing w:after="60" w:line="264"/>
      </w:pPr>
      <w:r>
        <w:rPr>
          <w:b/>
          <w:bCs/>
          <w:color w:val="18181B"/>
        </w:rPr>
        <w:t xml:space="preserve">Photo-first AI reporting — </w:t>
      </w:r>
      <w:r>
        <w:rPr>
          <w:color w:val="18181B"/>
        </w:rPr>
        <w:t xml:space="preserve">camera or gallery upload, automatic geolocation, optional category hint, and live AI triage (category, severity 1–5, hazards, confidence).</w:t>
      </w:r>
    </w:p>
    <w:p>
      <w:pPr>
        <w:pStyle w:val="ListParagraph"/>
        <w:numPr>
          <w:ilvl w:val="0"/>
          <w:numId w:val="2"/>
        </w:numPr>
        <w:spacing w:after="60" w:line="264"/>
      </w:pPr>
      <w:r>
        <w:rPr>
          <w:b/>
          <w:bCs/>
          <w:color w:val="18181B"/>
        </w:rPr>
        <w:t xml:space="preserve">AI Routing agent — </w:t>
      </w:r>
      <w:r>
        <w:rPr>
          <w:color w:val="18181B"/>
        </w:rPr>
        <w:t xml:space="preserve">drafts a ready-to-send formal complaint to the responsible authority (Delhi Jal Board / MCD / PWD) with priority and SLA; one-tap copy and email.</w:t>
      </w:r>
    </w:p>
    <w:p>
      <w:pPr>
        <w:pStyle w:val="ListParagraph"/>
        <w:numPr>
          <w:ilvl w:val="0"/>
          <w:numId w:val="2"/>
        </w:numPr>
        <w:spacing w:after="60" w:line="264"/>
      </w:pPr>
      <w:r>
        <w:rPr>
          <w:b/>
          <w:bCs/>
          <w:color w:val="18181B"/>
        </w:rPr>
        <w:t xml:space="preserve">Community verification &amp; lifecycle — </w:t>
      </w:r>
      <w:r>
        <w:rPr>
          <w:color w:val="18181B"/>
        </w:rPr>
        <w:t xml:space="preserve">one-tap confirmations (3 auto-verify); status flow Reported → Verified → In Progress → Resolved with a visual timeline.</w:t>
      </w:r>
    </w:p>
    <w:p>
      <w:pPr>
        <w:pStyle w:val="ListParagraph"/>
        <w:numPr>
          <w:ilvl w:val="0"/>
          <w:numId w:val="2"/>
        </w:numPr>
        <w:spacing w:after="60" w:line="264"/>
      </w:pPr>
      <w:r>
        <w:rPr>
          <w:b/>
          <w:bCs/>
          <w:color w:val="18181B"/>
        </w:rPr>
        <w:t xml:space="preserve">AI Resolution Verifier — </w:t>
      </w:r>
      <w:r>
        <w:rPr>
          <w:color w:val="18181B"/>
        </w:rPr>
        <w:t xml:space="preserve">multimodal before/after comparison shown via a draggable before/after photo slider.</w:t>
      </w:r>
    </w:p>
    <w:p>
      <w:pPr>
        <w:pStyle w:val="ListParagraph"/>
        <w:numPr>
          <w:ilvl w:val="0"/>
          <w:numId w:val="2"/>
        </w:numPr>
        <w:spacing w:after="60" w:line="264"/>
      </w:pPr>
      <w:r>
        <w:rPr>
          <w:b/>
          <w:bCs/>
          <w:color w:val="18181B"/>
        </w:rPr>
        <w:t xml:space="preserve">Visible agent pipeline — </w:t>
      </w:r>
      <w:r>
        <w:rPr>
          <w:color w:val="18181B"/>
        </w:rPr>
        <w:t xml:space="preserve">each issue shows every agent's step, status, and reasoning.</w:t>
      </w:r>
    </w:p>
    <w:p>
      <w:pPr>
        <w:pStyle w:val="ListParagraph"/>
        <w:numPr>
          <w:ilvl w:val="0"/>
          <w:numId w:val="2"/>
        </w:numPr>
        <w:spacing w:after="60" w:line="264"/>
      </w:pPr>
      <w:r>
        <w:rPr>
          <w:b/>
          <w:bCs/>
          <w:color w:val="18181B"/>
        </w:rPr>
        <w:t xml:space="preserve">Interactive map — </w:t>
      </w:r>
      <w:r>
        <w:rPr>
          <w:color w:val="18181B"/>
        </w:rPr>
        <w:t xml:space="preserve">Leaflet + OpenStreetMap with four base layers, marker clustering, category &amp; status filters, color-by mode, and a legend.</w:t>
      </w:r>
    </w:p>
    <w:p>
      <w:pPr>
        <w:pStyle w:val="ListParagraph"/>
        <w:numPr>
          <w:ilvl w:val="0"/>
          <w:numId w:val="2"/>
        </w:numPr>
        <w:spacing w:after="60" w:line="264"/>
      </w:pPr>
      <w:r>
        <w:rPr>
          <w:b/>
          <w:bCs/>
          <w:color w:val="18181B"/>
        </w:rPr>
        <w:t xml:space="preserve">Impact dashboard — </w:t>
      </w:r>
      <w:r>
        <w:rPr>
          <w:color w:val="18181B"/>
        </w:rPr>
        <w:t xml:space="preserve">colored stat cards, status donut, 7-day trend chart, category/severity breakdowns, predicted hotspots, and a floating auto-running AI insights widget.</w:t>
      </w:r>
    </w:p>
    <w:p>
      <w:pPr>
        <w:pStyle w:val="ListParagraph"/>
        <w:numPr>
          <w:ilvl w:val="0"/>
          <w:numId w:val="2"/>
        </w:numPr>
        <w:spacing w:after="60" w:line="264"/>
      </w:pPr>
      <w:r>
        <w:rPr>
          <w:b/>
          <w:bCs/>
          <w:color w:val="18181B"/>
        </w:rPr>
        <w:t xml:space="preserve">Community heroes — </w:t>
      </w:r>
      <w:r>
        <w:rPr>
          <w:color w:val="18181B"/>
        </w:rPr>
        <w:t xml:space="preserve">Google sign-in (with anonymous fallback), public profiles, tiers (Civic Rookie → Community Hero), badges, points, and a podium leaderboard.</w:t>
      </w:r>
    </w:p>
    <w:p>
      <w:pPr>
        <w:pStyle w:val="ListParagraph"/>
        <w:numPr>
          <w:ilvl w:val="0"/>
          <w:numId w:val="2"/>
        </w:numPr>
        <w:spacing w:after="60" w:line="264"/>
      </w:pPr>
      <w:r>
        <w:rPr>
          <w:b/>
          <w:bCs/>
          <w:color w:val="18181B"/>
        </w:rPr>
        <w:t xml:space="preserve">Polished, accessible UX — </w:t>
      </w:r>
      <w:r>
        <w:rPr>
          <w:color w:val="18181B"/>
        </w:rPr>
        <w:t xml:space="preserve">flat minimal design, dark mode, toast notifications, mobile-first, loading skeletons.</w:t>
      </w:r>
    </w:p>
    <w:p>
      <w:pPr>
        <w:pStyle w:val="Heading1"/>
      </w:pPr>
      <w:r>
        <w:rPr>
          <w:b/>
          <w:bCs/>
          <w:color w:val="2563EB"/>
        </w:rPr>
        <w:t xml:space="preserve">Technologies Used</w:t>
      </w:r>
    </w:p>
    <w:p>
      <w:pPr>
        <w:pStyle w:val="ListParagraph"/>
        <w:numPr>
          <w:ilvl w:val="0"/>
          <w:numId w:val="2"/>
        </w:numPr>
        <w:spacing w:after="60" w:line="264"/>
      </w:pPr>
      <w:r>
        <w:rPr>
          <w:color w:val="18181B"/>
        </w:rPr>
        <w:t xml:space="preserve">Next.js 16 (App Router) + React 19 + TypeScript — full-stack single container.</w:t>
      </w:r>
    </w:p>
    <w:p>
      <w:pPr>
        <w:pStyle w:val="ListParagraph"/>
        <w:numPr>
          <w:ilvl w:val="0"/>
          <w:numId w:val="2"/>
        </w:numPr>
        <w:spacing w:after="60" w:line="264"/>
      </w:pPr>
      <w:r>
        <w:rPr>
          <w:color w:val="18181B"/>
        </w:rPr>
        <w:t xml:space="preserve">Tailwind CSS v4 — design tokens via CSS @theme (flat palette; dark mode).</w:t>
      </w:r>
    </w:p>
    <w:p>
      <w:pPr>
        <w:pStyle w:val="ListParagraph"/>
        <w:numPr>
          <w:ilvl w:val="0"/>
          <w:numId w:val="2"/>
        </w:numPr>
        <w:spacing w:after="60" w:line="264"/>
      </w:pPr>
      <w:r>
        <w:rPr>
          <w:color w:val="18181B"/>
        </w:rPr>
        <w:t xml:space="preserve">Leaflet + OpenStreetMap + leaflet.markercluster — mapping (no key, no billing).</w:t>
      </w:r>
    </w:p>
    <w:p>
      <w:pPr>
        <w:pStyle w:val="ListParagraph"/>
        <w:numPr>
          <w:ilvl w:val="0"/>
          <w:numId w:val="2"/>
        </w:numPr>
        <w:spacing w:after="60" w:line="264"/>
      </w:pPr>
      <w:r>
        <w:rPr>
          <w:color w:val="18181B"/>
        </w:rPr>
        <w:t xml:space="preserve">react-hot-toast (notifications), lucide-react (icons), geofire-common (geohashing).</w:t>
      </w:r>
    </w:p>
    <w:p>
      <w:pPr>
        <w:pStyle w:val="ListParagraph"/>
        <w:numPr>
          <w:ilvl w:val="0"/>
          <w:numId w:val="2"/>
        </w:numPr>
        <w:spacing w:after="60" w:line="264"/>
      </w:pPr>
      <w:r>
        <w:rPr>
          <w:color w:val="18181B"/>
        </w:rPr>
        <w:t xml:space="preserve">Docker — standalone container image.</w:t>
      </w:r>
    </w:p>
    <w:p>
      <w:pPr>
        <w:pStyle w:val="Heading1"/>
      </w:pPr>
      <w:r>
        <w:rPr>
          <w:b/>
          <w:bCs/>
          <w:color w:val="2563EB"/>
        </w:rPr>
        <w:t xml:space="preserve">Google Technologies Utilized</w:t>
      </w:r>
    </w:p>
    <w:p>
      <w:pPr>
        <w:pStyle w:val="ListParagraph"/>
        <w:numPr>
          <w:ilvl w:val="0"/>
          <w:numId w:val="2"/>
        </w:numPr>
        <w:spacing w:after="60" w:line="264"/>
      </w:pPr>
      <w:r>
        <w:rPr>
          <w:b/>
          <w:bCs/>
          <w:color w:val="18181B"/>
        </w:rPr>
        <w:t xml:space="preserve">Google Gemini API </w:t>
      </w:r>
      <w:r>
        <w:rPr>
          <w:color w:val="18181B"/>
        </w:rPr>
        <w:t xml:space="preserve">(gemini-2.5-flash, via Google AI Studio) — powers the four AI agents: Triage, Routing, Resolution Verifier, and Insights (multimodal vision + structured JSON output).</w:t>
      </w:r>
    </w:p>
    <w:p>
      <w:pPr>
        <w:pStyle w:val="ListParagraph"/>
        <w:numPr>
          <w:ilvl w:val="0"/>
          <w:numId w:val="2"/>
        </w:numPr>
        <w:spacing w:after="60" w:line="264"/>
      </w:pPr>
      <w:r>
        <w:rPr>
          <w:b/>
          <w:bCs/>
          <w:color w:val="18181B"/>
        </w:rPr>
        <w:t xml:space="preserve">Google Cloud Run — </w:t>
      </w:r>
      <w:r>
        <w:rPr>
          <w:color w:val="18181B"/>
        </w:rPr>
        <w:t xml:space="preserve">hosts the containerized application (mandatory deployment target).</w:t>
      </w:r>
    </w:p>
    <w:p>
      <w:pPr>
        <w:pStyle w:val="ListParagraph"/>
        <w:numPr>
          <w:ilvl w:val="0"/>
          <w:numId w:val="2"/>
        </w:numPr>
        <w:spacing w:after="60" w:line="264"/>
      </w:pPr>
      <w:r>
        <w:rPr>
          <w:b/>
          <w:bCs/>
          <w:color w:val="18181B"/>
        </w:rPr>
        <w:t xml:space="preserve">Google Cloud Build — </w:t>
      </w:r>
      <w:r>
        <w:rPr>
          <w:color w:val="18181B"/>
        </w:rPr>
        <w:t xml:space="preserve">source-to-container builds for deployment.</w:t>
      </w:r>
    </w:p>
    <w:p>
      <w:pPr>
        <w:pStyle w:val="ListParagraph"/>
        <w:numPr>
          <w:ilvl w:val="0"/>
          <w:numId w:val="2"/>
        </w:numPr>
        <w:spacing w:after="60" w:line="264"/>
      </w:pPr>
      <w:r>
        <w:rPr>
          <w:b/>
          <w:bCs/>
          <w:color w:val="18181B"/>
        </w:rPr>
        <w:t xml:space="preserve">Cloud Firestore — </w:t>
      </w:r>
      <w:r>
        <w:rPr>
          <w:color w:val="18181B"/>
        </w:rPr>
        <w:t xml:space="preserve">primary datastore for issues, user profiles, and cached insights.</w:t>
      </w:r>
    </w:p>
    <w:p>
      <w:pPr>
        <w:pStyle w:val="ListParagraph"/>
        <w:numPr>
          <w:ilvl w:val="0"/>
          <w:numId w:val="2"/>
        </w:numPr>
        <w:spacing w:after="60" w:line="264"/>
      </w:pPr>
      <w:r>
        <w:rPr>
          <w:b/>
          <w:bCs/>
          <w:color w:val="18181B"/>
        </w:rPr>
        <w:t xml:space="preserve">Firebase Authentication — </w:t>
      </w:r>
      <w:r>
        <w:rPr>
          <w:color w:val="18181B"/>
        </w:rPr>
        <w:t xml:space="preserve">Google sign-in and anonymous auth, with server-side ID-token verification via the Firebase Admin SDK.</w:t>
      </w:r>
    </w:p>
    <w:p>
      <w:pPr>
        <w:pStyle w:val="ListParagraph"/>
        <w:numPr>
          <w:ilvl w:val="0"/>
          <w:numId w:val="2"/>
        </w:numPr>
        <w:spacing w:after="60" w:line="264"/>
      </w:pPr>
      <w:r>
        <w:rPr>
          <w:b/>
          <w:bCs/>
          <w:color w:val="18181B"/>
        </w:rPr>
        <w:t xml:space="preserve">Google Cloud Storage — </w:t>
      </w:r>
      <w:r>
        <w:rPr>
          <w:color w:val="18181B"/>
        </w:rPr>
        <w:t xml:space="preserve">issue and resolution photos (private bucket, served via a proxy).</w:t>
      </w:r>
    </w:p>
    <w:p>
      <w:pPr>
        <w:spacing w:after="120" w:line="276"/>
      </w:pPr>
      <w:r>
        <w:rPr>
          <w:i/>
          <w:iCs/>
          <w:color w:val="6B7280"/>
        </w:rPr>
        <w:t xml:space="preserve">All services run within Google Cloud / Firebase free / Always-Free tiers.</w:t>
      </w:r>
    </w:p>
    <w:p>
      <w:pPr>
        <w:pStyle w:val="Heading1"/>
      </w:pPr>
      <w:r>
        <w:rPr>
          <w:b/>
          <w:bCs/>
          <w:color w:val="2563EB"/>
        </w:rPr>
        <w:t xml:space="preserve">Agentic Depth &amp; Innovation</w:t>
      </w:r>
    </w:p>
    <w:p>
      <w:pPr>
        <w:pStyle w:val="ListParagraph"/>
        <w:numPr>
          <w:ilvl w:val="0"/>
          <w:numId w:val="2"/>
        </w:numPr>
        <w:spacing w:after="60" w:line="264"/>
      </w:pPr>
      <w:r>
        <w:rPr>
          <w:b/>
          <w:bCs/>
          <w:color w:val="18181B"/>
        </w:rPr>
        <w:t xml:space="preserve">Agentic depth: </w:t>
      </w:r>
      <w:r>
        <w:rPr>
          <w:color w:val="18181B"/>
        </w:rPr>
        <w:t xml:space="preserve">a multi-step pipeline of specialised agents that reason over multimodal input (Triage, Verifier), generate structured output (Routing, Insights), and use deterministic tools (dedup, aggregation, routing lookup). It makes autonomous decisions — auto-verifying at a confirmation threshold, confirming or rejecting a claimed fix from photographic evidence, and routing to the correct department — and surfaces every step to the user.</w:t>
      </w:r>
    </w:p>
    <w:p>
      <w:pPr>
        <w:pStyle w:val="ListParagraph"/>
        <w:numPr>
          <w:ilvl w:val="0"/>
          <w:numId w:val="2"/>
        </w:numPr>
        <w:spacing w:after="60" w:line="264"/>
      </w:pPr>
      <w:r>
        <w:rPr>
          <w:b/>
          <w:bCs/>
          <w:color w:val="18181B"/>
        </w:rPr>
        <w:t xml:space="preserve">Innovation: </w:t>
      </w:r>
      <w:r>
        <w:rPr>
          <w:color w:val="18181B"/>
        </w:rPr>
        <w:t xml:space="preserve">most civic apps stop at ‘report a pothole.’ CivicPulse closes the loop — the AI verifies that the fix actually happened from a photo and predicts where problems will recur — combined with community verification and a Community-Hero recognition system.</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CivicPulse · Vibe2Ship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u8mas9nqfzjfjdf8llmn" Type="http://schemas.openxmlformats.org/officeDocument/2006/relationships/hyperlink" Target="https://civicpulse-245651121772.us-central1.run.app" TargetMode="External"/><Relationship Id="rId5wwalgwut99ky1am4zllu" Type="http://schemas.openxmlformats.org/officeDocument/2006/relationships/hyperlink" Target="https://github.com/DevVaradPatil/civicpulse_vibe2shi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CivicPulse — Project Description</dc:title>
  <dc:creator>CivicPulse</dc:creator>
  <cp:lastModifiedBy>Un-named</cp:lastModifiedBy>
  <cp:revision>1</cp:revision>
  <dcterms:created xsi:type="dcterms:W3CDTF">2026-06-26T16:47:31.314Z</dcterms:created>
  <dcterms:modified xsi:type="dcterms:W3CDTF">2026-06-26T16:47:31.315Z</dcterms:modified>
</cp:coreProperties>
</file>

<file path=docProps/custom.xml><?xml version="1.0" encoding="utf-8"?>
<Properties xmlns="http://schemas.openxmlformats.org/officeDocument/2006/custom-properties" xmlns:vt="http://schemas.openxmlformats.org/officeDocument/2006/docPropsVTypes"/>
</file>