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Clinical Prediction Model Report (TRIPOD+AI)</w:t>
      </w:r>
    </w:p>
    <w:bookmarkStart w:id="9" w:name="model-summary"/>
    <w:p>
      <w:pPr>
        <w:pStyle w:val="Heading2"/>
      </w:pPr>
      <w:r>
        <w:t xml:space="preserve">Model Summary</w:t>
      </w:r>
    </w:p>
    <w:p>
      <w:pPr>
        <w:pStyle w:val="Compact"/>
        <w:numPr>
          <w:ilvl w:val="0"/>
          <w:numId w:val="1001"/>
        </w:numPr>
      </w:pPr>
      <w:r>
        <w:rPr>
          <w:b/>
          <w:bCs/>
        </w:rPr>
        <w:t xml:space="preserve">Engine:</w:t>
      </w:r>
      <w:r>
        <w:t xml:space="preserve"> </w:t>
      </w:r>
      <w:r>
        <w:t xml:space="preserve">logistic_reg</w:t>
      </w:r>
    </w:p>
    <w:p>
      <w:pPr>
        <w:pStyle w:val="Compact"/>
        <w:numPr>
          <w:ilvl w:val="0"/>
          <w:numId w:val="1001"/>
        </w:numPr>
      </w:pPr>
      <w:r>
        <w:rPr>
          <w:b/>
          <w:bCs/>
        </w:rPr>
        <w:t xml:space="preserve">Outcome:</w:t>
      </w:r>
      <w:r>
        <w:t xml:space="preserve"> </w:t>
      </w:r>
      <w:r>
        <w:t xml:space="preserve">disease</w:t>
      </w:r>
    </w:p>
    <w:p>
      <w:pPr>
        <w:pStyle w:val="Compact"/>
        <w:numPr>
          <w:ilvl w:val="0"/>
          <w:numId w:val="1001"/>
        </w:numPr>
      </w:pPr>
      <w:r>
        <w:rPr>
          <w:b/>
          <w:bCs/>
        </w:rPr>
        <w:t xml:space="preserve">Predictors:</w:t>
      </w:r>
      <w:r>
        <w:t xml:space="preserve"> </w:t>
      </w:r>
      <w:r>
        <w:t xml:space="preserve">age, bmi, sex, smoker</w:t>
      </w:r>
    </w:p>
    <w:p>
      <w:pPr>
        <w:pStyle w:val="Compact"/>
        <w:numPr>
          <w:ilvl w:val="0"/>
          <w:numId w:val="1001"/>
        </w:numPr>
      </w:pPr>
      <w:r>
        <w:rPr>
          <w:b/>
          <w:bCs/>
        </w:rPr>
        <w:t xml:space="preserve">Training sample size:</w:t>
      </w:r>
      <w:r>
        <w:t xml:space="preserve"> </w:t>
      </w:r>
      <w:r>
        <w:t xml:space="preserve">70</w:t>
      </w:r>
    </w:p>
    <w:bookmarkEnd w:id="9"/>
    <w:bookmarkStart w:id="10" w:name="method-recommendation-ai-assisted"/>
    <w:p>
      <w:pPr>
        <w:pStyle w:val="Heading2"/>
      </w:pPr>
      <w:r>
        <w:t xml:space="preserve">Method Recommendation (AI-assisted)</w:t>
      </w:r>
    </w:p>
    <w:p>
      <w:pPr>
        <w:pStyle w:val="SourceCode"/>
      </w:pPr>
      <w:r>
        <w:rPr>
          <w:rStyle w:val="VerbatimChar"/>
        </w:rPr>
        <w:t xml:space="preserve">Given the small sample size (N=70) and binary outcome, **logistic regression** is the most appropriate and robust statistical method for clinical prediction modelling.</w:t>
      </w:r>
      <w:r>
        <w:br/>
      </w:r>
      <w:r>
        <w:br/>
      </w:r>
      <w:r>
        <w:rPr>
          <w:rStyle w:val="VerbatimChar"/>
        </w:rPr>
        <w:t xml:space="preserve">**Justification:**</w:t>
      </w:r>
      <w:r>
        <w:br/>
      </w:r>
      <w:r>
        <w:rPr>
          <w:rStyle w:val="VerbatimChar"/>
        </w:rPr>
        <w:t xml:space="preserve">*   **Outcome type:** Logistic regression is specifically designed for binary outcomes.</w:t>
      </w:r>
      <w:r>
        <w:br/>
      </w:r>
      <w:r>
        <w:rPr>
          <w:rStyle w:val="VerbatimChar"/>
        </w:rPr>
        <w:t xml:space="preserve">*   **Sample size:** With only 70 patients, more complex machine learning models (e.g., Random Forest, SVM) are highly prone to overfitting and will likely not generalize well to new data. Logistic regression is more stable and interpretable with limited data.</w:t>
      </w:r>
      <w:r>
        <w:br/>
      </w:r>
      <w:r>
        <w:rPr>
          <w:rStyle w:val="VerbatimChar"/>
        </w:rPr>
        <w:t xml:space="preserve">*   **Predictor types:** It handles a mix of numeric and categorical predictors naturally (character variables should be converted to factors in R).</w:t>
      </w:r>
      <w:r>
        <w:br/>
      </w:r>
      <w:r>
        <w:rPr>
          <w:rStyle w:val="VerbatimChar"/>
        </w:rPr>
        <w:t xml:space="preserve">*   **Missingness:** No missing data, which is ideal.</w:t>
      </w:r>
      <w:r>
        <w:br/>
      </w:r>
      <w:r>
        <w:br/>
      </w:r>
      <w:r>
        <w:rPr>
          <w:rStyle w:val="VerbatimChar"/>
        </w:rPr>
        <w:t xml:space="preserve">**Concerns:**</w:t>
      </w:r>
      <w:r>
        <w:br/>
      </w:r>
      <w:r>
        <w:rPr>
          <w:rStyle w:val="VerbatimChar"/>
        </w:rPr>
        <w:t xml:space="preserve">*   **Very small sample size (N=70):** This is the primary concern. Estimates of model performance will have wide confidence intervals and may be optimistic. Results should be interpreted with caution.</w:t>
      </w:r>
      <w:r>
        <w:br/>
      </w:r>
      <w:r>
        <w:rPr>
          <w:rStyle w:val="VerbatimChar"/>
        </w:rPr>
        <w:t xml:space="preserve">*   **Events Per Variable (EPV):** Depending on the prevalence of 'disease', the number of events (or non-events) per predictor might be low. A general guideline is at least 10-20 EPV for stable logistic regression models.</w:t>
      </w:r>
      <w:r>
        <w:br/>
      </w:r>
      <w:r>
        <w:rPr>
          <w:rStyle w:val="VerbatimChar"/>
        </w:rPr>
        <w:t xml:space="preserve">*   **Class Imbalance:** If one outcome class is rare (e.g., 5% disease prevalence), the effective sample size for that class will be extremely small, further impacting model stability and predictive performance.</w:t>
      </w:r>
      <w:r>
        <w:br/>
      </w:r>
      <w:r>
        <w:rPr>
          <w:rStyle w:val="VerbatimChar"/>
        </w:rPr>
        <w:t xml:space="preserve">*   **Model Validation:** Due to the small sample size, external validation will be difficult. Robust internal validation methods (e.g., bootstrapping with at least 200-500 resamples or leave-one-out cross-validation) are essential to estimate performance more realistically.</w:t>
      </w:r>
      <w:r>
        <w:br/>
      </w:r>
      <w:r>
        <w:br/>
      </w:r>
      <w:r>
        <w:rPr>
          <w:rStyle w:val="VerbatimChar"/>
        </w:rPr>
        <w:t xml:space="preserve">**Practical Tip for R:**</w:t>
      </w:r>
      <w:r>
        <w:br/>
      </w:r>
      <w:r>
        <w:rPr>
          <w:rStyle w:val="VerbatimChar"/>
        </w:rPr>
        <w:t xml:space="preserve">Ensure your character variables ('sex', 'smoker') are converted to factors before fitting the logistic regression model using `as.factor()`.</w:t>
      </w:r>
    </w:p>
    <w:bookmarkEnd w:id="10"/>
    <w:bookmarkStart w:id="11" w:name="validation-performance"/>
    <w:p>
      <w:pPr>
        <w:pStyle w:val="Heading2"/>
      </w:pPr>
      <w:r>
        <w:t xml:space="preserve">Validation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.estimator</w:t>
            </w:r>
          </w:p>
        </w:tc>
        <w:tc>
          <w:tcPr/>
          <w:p>
            <w:pPr>
              <w:pStyle w:val="Compact"/>
              <w:jc w:val="right"/>
            </w:pPr>
            <w:r>
              <w:t xml:space="preserve">.estimate</w:t>
            </w:r>
          </w:p>
        </w:tc>
      </w:tr>
      <w:tr>
        <w:tc>
          <w:tcPr/>
          <w:p>
            <w:pPr>
              <w:pStyle w:val="Compact"/>
              <w:jc w:val="left"/>
            </w:pPr>
            <w:r>
              <w:t xml:space="preserve">roc_auc</w:t>
            </w:r>
          </w:p>
        </w:tc>
        <w:tc>
          <w:tcPr/>
          <w:p>
            <w:pPr>
              <w:pStyle w:val="Compact"/>
              <w:jc w:val="left"/>
            </w:pPr>
            <w:r>
              <w:t xml:space="preserve">binary</w:t>
            </w:r>
          </w:p>
        </w:tc>
        <w:tc>
          <w:tcPr/>
          <w:p>
            <w:pPr>
              <w:pStyle w:val="Compact"/>
              <w:jc w:val="right"/>
            </w:pPr>
            <w:r>
              <w:t xml:space="preserve">0.4715909</w:t>
            </w:r>
          </w:p>
        </w:tc>
      </w:tr>
      <w:tr>
        <w:tc>
          <w:tcPr/>
          <w:p>
            <w:pPr>
              <w:pStyle w:val="Compact"/>
              <w:jc w:val="left"/>
            </w:pPr>
            <w:r>
              <w:t xml:space="preserve">sens</w:t>
            </w:r>
          </w:p>
        </w:tc>
        <w:tc>
          <w:tcPr/>
          <w:p>
            <w:pPr>
              <w:pStyle w:val="Compact"/>
              <w:jc w:val="left"/>
            </w:pPr>
            <w:r>
              <w:t xml:space="preserve">binary</w:t>
            </w:r>
          </w:p>
        </w:tc>
        <w:tc>
          <w:tcPr/>
          <w:p>
            <w:pPr>
              <w:pStyle w:val="Compact"/>
              <w:jc w:val="right"/>
            </w:pPr>
            <w:r>
              <w:t xml:space="preserve">0.2500000</w:t>
            </w:r>
          </w:p>
        </w:tc>
      </w:tr>
      <w:tr>
        <w:tc>
          <w:tcPr/>
          <w:p>
            <w:pPr>
              <w:pStyle w:val="Compact"/>
              <w:jc w:val="left"/>
            </w:pPr>
            <w:r>
              <w:t xml:space="preserve">spec</w:t>
            </w:r>
          </w:p>
        </w:tc>
        <w:tc>
          <w:tcPr/>
          <w:p>
            <w:pPr>
              <w:pStyle w:val="Compact"/>
              <w:jc w:val="left"/>
            </w:pPr>
            <w:r>
              <w:t xml:space="preserve">binary</w:t>
            </w:r>
          </w:p>
        </w:tc>
        <w:tc>
          <w:tcPr/>
          <w:p>
            <w:pPr>
              <w:pStyle w:val="Compact"/>
              <w:jc w:val="right"/>
            </w:pPr>
            <w:r>
              <w:t xml:space="preserve">0.9090909</w:t>
            </w:r>
          </w:p>
        </w:tc>
      </w:tr>
      <w:tr>
        <w:tc>
          <w:tcPr/>
          <w:p>
            <w:pPr>
              <w:pStyle w:val="Compact"/>
              <w:jc w:val="left"/>
            </w:pPr>
            <w:r>
              <w:t xml:space="preserve">accuracy</w:t>
            </w:r>
          </w:p>
        </w:tc>
        <w:tc>
          <w:tcPr/>
          <w:p>
            <w:pPr>
              <w:pStyle w:val="Compact"/>
              <w:jc w:val="left"/>
            </w:pPr>
            <w:r>
              <w:t xml:space="preserve">binary</w:t>
            </w:r>
          </w:p>
        </w:tc>
        <w:tc>
          <w:tcPr/>
          <w:p>
            <w:pPr>
              <w:pStyle w:val="Compact"/>
              <w:jc w:val="right"/>
            </w:pPr>
            <w:r>
              <w:t xml:space="preserve">0.7333333</w:t>
            </w:r>
          </w:p>
        </w:tc>
      </w:tr>
    </w:tbl>
    <w:p>
      <w:pPr>
        <w:pStyle w:val="BodyText"/>
      </w:pPr>
      <w:r>
        <w:rPr>
          <w:i/>
          <w:iCs/>
        </w:rPr>
        <w:t xml:space="preserve">Validated on: newdata</w:t>
      </w:r>
    </w:p>
    <w:bookmarkEnd w:id="11"/>
    <w:bookmarkStart w:id="12" w:name="sensitivity-analysis"/>
    <w:p>
      <w:pPr>
        <w:pStyle w:val="Heading2"/>
      </w:pPr>
      <w:r>
        <w:t xml:space="preserve">Sensitivity Analysis</w:t>
      </w:r>
    </w:p>
    <w:tbl>
      <w:tblPr>
        <w:tblStyle w:val="Table"/>
        <w:tblW w:type="pct" w:w="5000"/>
        <w:tblLayout w:type="fixed"/>
        <w:tblLook w:firstRow="1" w:lastRow="0" w:firstColumn="0" w:lastColumn="0" w:noHBand="0" w:noVBand="0" w:val="0020"/>
      </w:tblPr>
      <w:tblGrid>
        <w:gridCol w:w="1800"/>
        <w:gridCol w:w="1320"/>
        <w:gridCol w:w="1200"/>
        <w:gridCol w:w="1200"/>
        <w:gridCol w:w="1200"/>
        <w:gridCol w:w="1200"/>
      </w:tblGrid>
      <w:tr>
        <w:trPr>
          <w:tblHeader w:val="on"/>
        </w:trPr>
        <w:tc>
          <w:tcPr/>
          <w:p>
            <w:pPr>
              <w:pStyle w:val="Compact"/>
              <w:jc w:val="left"/>
            </w:pPr>
            <w:r>
              <w:t xml:space="preserve">scenario</w:t>
            </w:r>
          </w:p>
        </w:tc>
        <w:tc>
          <w:tcPr/>
          <w:p>
            <w:pPr>
              <w:pStyle w:val="Compact"/>
              <w:jc w:val="left"/>
            </w:pPr>
            <w:r>
              <w:t xml:space="preserve">.estimator</w:t>
            </w:r>
          </w:p>
        </w:tc>
        <w:tc>
          <w:tcPr/>
          <w:p>
            <w:pPr>
              <w:pStyle w:val="Compact"/>
              <w:jc w:val="right"/>
            </w:pPr>
            <w:r>
              <w:t xml:space="preserve">roc_auc</w:t>
            </w:r>
          </w:p>
        </w:tc>
        <w:tc>
          <w:tcPr/>
          <w:p>
            <w:pPr>
              <w:pStyle w:val="Compact"/>
              <w:jc w:val="right"/>
            </w:pPr>
            <w:r>
              <w:t xml:space="preserve">sens</w:t>
            </w:r>
          </w:p>
        </w:tc>
        <w:tc>
          <w:tcPr/>
          <w:p>
            <w:pPr>
              <w:pStyle w:val="Compact"/>
              <w:jc w:val="right"/>
            </w:pPr>
            <w:r>
              <w:t xml:space="preserve">spec</w:t>
            </w:r>
          </w:p>
        </w:tc>
        <w:tc>
          <w:tcPr/>
          <w:p>
            <w:pPr>
              <w:pStyle w:val="Compact"/>
              <w:jc w:val="right"/>
            </w:pPr>
            <w:r>
              <w:t xml:space="preserve">accuracy</w:t>
            </w:r>
          </w:p>
        </w:tc>
      </w:tr>
      <w:tr>
        <w:tc>
          <w:tcPr/>
          <w:p>
            <w:pPr>
              <w:pStyle w:val="Compact"/>
              <w:jc w:val="left"/>
            </w:pPr>
            <w:r>
              <w:t xml:space="preserve">complete_case</w:t>
            </w:r>
          </w:p>
        </w:tc>
        <w:tc>
          <w:tcPr/>
          <w:p>
            <w:pPr>
              <w:pStyle w:val="Compact"/>
              <w:jc w:val="left"/>
            </w:pPr>
            <w:r>
              <w:t xml:space="preserve">binary</w:t>
            </w:r>
          </w:p>
        </w:tc>
        <w:tc>
          <w:tcPr/>
          <w:p>
            <w:pPr>
              <w:pStyle w:val="Compact"/>
              <w:jc w:val="right"/>
            </w:pPr>
            <w:r>
              <w:t xml:space="preserve">0.6418528</w:t>
            </w:r>
          </w:p>
        </w:tc>
        <w:tc>
          <w:tcPr/>
          <w:p>
            <w:pPr>
              <w:pStyle w:val="Compact"/>
              <w:jc w:val="right"/>
            </w:pPr>
            <w:r>
              <w:t xml:space="preserve">0.3870968</w:t>
            </w:r>
          </w:p>
        </w:tc>
        <w:tc>
          <w:tcPr/>
          <w:p>
            <w:pPr>
              <w:pStyle w:val="Compact"/>
              <w:jc w:val="right"/>
            </w:pPr>
            <w:r>
              <w:t xml:space="preserve">0.8717949</w:t>
            </w:r>
          </w:p>
        </w:tc>
        <w:tc>
          <w:tcPr/>
          <w:p>
            <w:pPr>
              <w:pStyle w:val="Compact"/>
              <w:jc w:val="right"/>
            </w:pPr>
            <w:r>
              <w:t xml:space="preserve">0.6571429</w:t>
            </w:r>
          </w:p>
        </w:tc>
      </w:tr>
      <w:tr>
        <w:tc>
          <w:tcPr/>
          <w:p>
            <w:pPr>
              <w:pStyle w:val="Compact"/>
              <w:jc w:val="left"/>
            </w:pPr>
            <w:r>
              <w:t xml:space="preserve">subgroup_sex_M</w:t>
            </w:r>
          </w:p>
        </w:tc>
        <w:tc>
          <w:tcPr/>
          <w:p>
            <w:pPr>
              <w:pStyle w:val="Compact"/>
              <w:jc w:val="left"/>
            </w:pPr>
            <w:r>
              <w:t xml:space="preserve">binary</w:t>
            </w:r>
          </w:p>
        </w:tc>
        <w:tc>
          <w:tcPr/>
          <w:p>
            <w:pPr>
              <w:pStyle w:val="Compact"/>
              <w:jc w:val="right"/>
            </w:pPr>
            <w:r>
              <w:t xml:space="preserve">0.6726190</w:t>
            </w:r>
          </w:p>
        </w:tc>
        <w:tc>
          <w:tcPr/>
          <w:p>
            <w:pPr>
              <w:pStyle w:val="Compact"/>
              <w:jc w:val="right"/>
            </w:pPr>
            <w:r>
              <w:t xml:space="preserve">0.5625000</w:t>
            </w:r>
          </w:p>
        </w:tc>
        <w:tc>
          <w:tcPr/>
          <w:p>
            <w:pPr>
              <w:pStyle w:val="Compact"/>
              <w:jc w:val="right"/>
            </w:pPr>
            <w:r>
              <w:t xml:space="preserve">0.6666667</w:t>
            </w:r>
          </w:p>
        </w:tc>
        <w:tc>
          <w:tcPr/>
          <w:p>
            <w:pPr>
              <w:pStyle w:val="Compact"/>
              <w:jc w:val="right"/>
            </w:pPr>
            <w:r>
              <w:t xml:space="preserve">0.6216216</w:t>
            </w:r>
          </w:p>
        </w:tc>
      </w:tr>
      <w:tr>
        <w:tc>
          <w:tcPr/>
          <w:p>
            <w:pPr>
              <w:pStyle w:val="Compact"/>
              <w:jc w:val="left"/>
            </w:pPr>
            <w:r>
              <w:t xml:space="preserve">subgroup_sex_F</w:t>
            </w:r>
          </w:p>
        </w:tc>
        <w:tc>
          <w:tcPr/>
          <w:p>
            <w:pPr>
              <w:pStyle w:val="Compact"/>
              <w:jc w:val="left"/>
            </w:pPr>
            <w:r>
              <w:t xml:space="preserve">binary</w:t>
            </w:r>
          </w:p>
        </w:tc>
        <w:tc>
          <w:tcPr/>
          <w:p>
            <w:pPr>
              <w:pStyle w:val="Compact"/>
              <w:jc w:val="right"/>
            </w:pPr>
            <w:r>
              <w:t xml:space="preserve">0.5962963</w:t>
            </w:r>
          </w:p>
        </w:tc>
        <w:tc>
          <w:tcPr/>
          <w:p>
            <w:pPr>
              <w:pStyle w:val="Compact"/>
              <w:jc w:val="right"/>
            </w:pPr>
            <w:r>
              <w:t xml:space="preserve">0.4000000</w:t>
            </w:r>
          </w:p>
        </w:tc>
        <w:tc>
          <w:tcPr/>
          <w:p>
            <w:pPr>
              <w:pStyle w:val="Compact"/>
              <w:jc w:val="right"/>
            </w:pPr>
            <w:r>
              <w:t xml:space="preserve">0.7222222</w:t>
            </w:r>
          </w:p>
        </w:tc>
        <w:tc>
          <w:tcPr/>
          <w:p>
            <w:pPr>
              <w:pStyle w:val="Compact"/>
              <w:jc w:val="right"/>
            </w:pPr>
            <w:r>
              <w:t xml:space="preserve">0.5757576</w:t>
            </w:r>
          </w:p>
        </w:tc>
      </w:tr>
    </w:tbl>
    <w:bookmarkEnd w:id="12"/>
    <w:bookmarkStart w:id="13" w:name="pipeline-review-flags"/>
    <w:p>
      <w:pPr>
        <w:pStyle w:val="Heading2"/>
      </w:pPr>
      <w:r>
        <w:t xml:space="preserve">Pipeline Review Flags</w:t>
      </w:r>
    </w:p>
    <w:tbl>
      <w:tblPr>
        <w:tblStyle w:val="Table"/>
        <w:tblW w:type="pct" w:w="5000"/>
        <w:tblLayout w:type="fixed"/>
        <w:tblLook w:firstRow="1" w:lastRow="0" w:firstColumn="0" w:lastColumn="0" w:noHBand="0" w:noVBand="0" w:val="0020"/>
      </w:tblPr>
      <w:tblGrid>
        <w:gridCol w:w="457"/>
        <w:gridCol w:w="7462"/>
      </w:tblGrid>
      <w:tr>
        <w:trPr>
          <w:tblHeader w:val="on"/>
        </w:trPr>
        <w:tc>
          <w:tcPr/>
          <w:p>
            <w:pPr>
              <w:pStyle w:val="Compact"/>
              <w:jc w:val="left"/>
            </w:pPr>
            <w:r>
              <w:t xml:space="preserve">check</w:t>
            </w:r>
          </w:p>
        </w:tc>
        <w:tc>
          <w:tcPr/>
          <w:p>
            <w:pPr>
              <w:pStyle w:val="Compact"/>
              <w:jc w:val="left"/>
            </w:pPr>
            <w:r>
              <w:t xml:space="preserve">message</w:t>
            </w:r>
          </w:p>
        </w:tc>
      </w:tr>
      <w:tr>
        <w:tc>
          <w:tcPr/>
          <w:p>
            <w:pPr>
              <w:pStyle w:val="Compact"/>
              <w:jc w:val="left"/>
            </w:pPr>
            <w:r>
              <w:t xml:space="preserve">low_epv</w:t>
            </w:r>
          </w:p>
        </w:tc>
        <w:tc>
          <w:tcPr/>
          <w:p>
            <w:pPr>
              <w:pStyle w:val="Compact"/>
              <w:jc w:val="left"/>
            </w:pPr>
            <w:r>
              <w:t xml:space="preserve">Low events-per-variable ratio (EPV = 7.8). Clinical prediction modelling guidance generally recommends at least 10 events per predictor to avoid overfitting. Consider reducing predictors or collecting more data.</w:t>
            </w:r>
          </w:p>
        </w:tc>
      </w:tr>
      <w:tr>
        <w:tc>
          <w:tcPr/>
          <w:p>
            <w:pPr>
              <w:pStyle w:val="Compact"/>
              <w:jc w:val="left"/>
            </w:pPr>
            <w:r>
              <w:t xml:space="preserve">small_sample</w:t>
            </w:r>
          </w:p>
        </w:tc>
        <w:tc>
          <w:tcPr/>
          <w:p>
            <w:pPr>
              <w:pStyle w:val="Compact"/>
              <w:jc w:val="left"/>
            </w:pPr>
            <w:r>
              <w:t xml:space="preserve">Sample size is small (n = 70). Results should be interpreted cautiously and external validation is strongly recommended.</w:t>
            </w:r>
          </w:p>
        </w:tc>
      </w:tr>
    </w:tbl>
    <w:bookmarkEnd w:id="13"/>
    <w:bookmarkStart w:id="14" w:name="tripodai-compliance-notes"/>
    <w:p>
      <w:pPr>
        <w:pStyle w:val="Heading2"/>
      </w:pPr>
      <w:r>
        <w:t xml:space="preserve">TRIPOD+AI Compliance Notes</w:t>
      </w:r>
    </w:p>
    <w:p>
      <w:pPr>
        <w:pStyle w:val="FirstParagraph"/>
      </w:pPr>
      <w:r>
        <w:t xml:space="preserve">This report was generated using the</w:t>
      </w:r>
      <w:r>
        <w:t xml:space="preserve"> </w:t>
      </w:r>
      <w:r>
        <w:rPr>
          <w:rStyle w:val="VerbatimChar"/>
        </w:rPr>
        <w:t xml:space="preserve">triageR</w:t>
      </w:r>
      <w:r>
        <w:t xml:space="preserve"> </w:t>
      </w:r>
      <w:r>
        <w:t xml:space="preserve">package. Please review the</w:t>
      </w:r>
      <w:r>
        <w:t xml:space="preserve"> </w:t>
      </w:r>
      <w:r>
        <w:t xml:space="preserve">following before submission:</w:t>
      </w:r>
    </w:p>
    <w:p>
      <w:pPr>
        <w:pStyle w:val="Compact"/>
        <w:numPr>
          <w:ilvl w:val="0"/>
          <w:numId w:val="1002"/>
        </w:numPr>
      </w:pPr>
      <w:r>
        <w:t xml:space="preserve">Confirm validation was performed on an independent dataset (see</w:t>
      </w:r>
      <w:r>
        <w:t xml:space="preserve"> </w:t>
      </w:r>
      <w:r>
        <w:t xml:space="preserve">“Validated on”</w:t>
      </w:r>
      <w:r>
        <w:t xml:space="preserve"> </w:t>
      </w:r>
      <w:r>
        <w:t xml:space="preserve">above —</w:t>
      </w:r>
      <w:r>
        <w:t xml:space="preserve"> </w:t>
      </w:r>
      <w:r>
        <w:rPr>
          <w:rStyle w:val="VerbatimChar"/>
        </w:rPr>
        <w:t xml:space="preserve">"training_data"</w:t>
      </w:r>
      <w:r>
        <w:t xml:space="preserve"> </w:t>
      </w:r>
      <w:r>
        <w:t xml:space="preserve">indicates internal-only validation,</w:t>
      </w:r>
      <w:r>
        <w:t xml:space="preserve"> </w:t>
      </w:r>
      <w:r>
        <w:t xml:space="preserve">which is NOT sufficient for TRIPOD+AI compliance).</w:t>
      </w:r>
    </w:p>
    <w:p>
      <w:pPr>
        <w:pStyle w:val="Compact"/>
        <w:numPr>
          <w:ilvl w:val="0"/>
          <w:numId w:val="1002"/>
        </w:numPr>
      </w:pPr>
      <w:r>
        <w:t xml:space="preserve">Confirm sample size and events-per-variable are adequate (see Pipeline</w:t>
      </w:r>
      <w:r>
        <w:t xml:space="preserve"> </w:t>
      </w:r>
      <w:r>
        <w:t xml:space="preserve">Review Flags above).</w:t>
      </w:r>
    </w:p>
    <w:p>
      <w:pPr>
        <w:pStyle w:val="Compact"/>
        <w:numPr>
          <w:ilvl w:val="0"/>
          <w:numId w:val="1002"/>
        </w:numPr>
      </w:pPr>
      <w:r>
        <w:t xml:space="preserve">Report calibration plots and confidence intervals alongside these point</w:t>
      </w:r>
      <w:r>
        <w:t xml:space="preserve"> </w:t>
      </w:r>
      <w:r>
        <w:t xml:space="preserve">estimates for full TRIPOD+AI compliance.</w:t>
      </w:r>
    </w:p>
    <w:p>
      <w:pPr>
        <w:pStyle w:val="Compact"/>
        <w:numPr>
          <w:ilvl w:val="0"/>
          <w:numId w:val="1002"/>
        </w:numPr>
      </w:pPr>
      <w:r>
        <w:t xml:space="preserve">This report is a drafting aid, not a substitute for the full TRIPOD+AI</w:t>
      </w:r>
      <w:r>
        <w:t xml:space="preserve"> </w:t>
      </w:r>
      <w:r>
        <w:t xml:space="preserve">checklist, available at the EQUATOR Network.</w:t>
      </w:r>
    </w:p>
    <w:p>
      <w:pPr>
        <w:pStyle w:val="FirstParagraph"/>
      </w:pPr>
      <w:r>
        <w:rPr>
          <w:i/>
          <w:iCs/>
        </w:rPr>
        <w:t xml:space="preserve">Report generated by triageR on 2026-07-03 03:08:11.35556.</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Prediction Model Report (TRIPOD+AI)</dc:title>
  <dc:creator/>
  <cp:keywords/>
  <dcterms:created xsi:type="dcterms:W3CDTF">2026-07-03T03:08:12Z</dcterms:created>
  <dcterms:modified xsi:type="dcterms:W3CDTF">2026-07-03T03:08:12Z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
    <vt:lpwstr>False</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rams">
    <vt:lpwstr/>
  </property>
  <property fmtid="{D5CDD505-2E9C-101B-9397-08002B2CF9AE}" pid="10" name="toc-title">
    <vt:lpwstr>Table of contents</vt:lpwstr>
  </property>
</Properties>
</file>