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Vehicle Detection, Multi-Object Tracking, and Road Surface Anomaly Detection for an Autonomous Aerial Surveillance Framework: Implementation and Evaluation</w:t>
      </w:r>
    </w:p>
    <w:tbl>
      <w:tblPr>
        <w:tblW w:type="dxa" w:w="10080"/>
        <w:tblBorders>
          <w:top w:val="none"/>
          <w:left w:val="none"/>
          <w:bottom w:val="none"/>
          <w:right w:val="none"/>
          <w:insideH w:val="none"/>
          <w:insideV w:val="none"/>
        </w:tblBorders>
      </w:tblPr>
      <w:tblGrid>
        <w:gridCol w:w="2520"/>
        <w:gridCol w:w="2520"/>
        <w:gridCol w:w="2520"/>
        <w:gridCol w:w="2520"/>
      </w:tblGrid>
      <w:tr>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Afif Showfeer</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afifshowfeer123@gmail.com</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Agnivesh P S</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agniveshpriyadarsanan@gmail.com</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Hussain Salim</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hussainsalim123456@gmail.com</w:t>
            </w:r>
          </w:p>
        </w:tc>
        <w:tc>
          <w:tcPr>
            <w:tcW w:type="dxa" w:w="2520"/>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Pranav P</w:t>
            </w:r>
          </w:p>
          <w:p>
            <w:pPr>
              <w:spacing w:after="0"/>
              <w:jc w:val="center"/>
            </w:pPr>
            <w:r>
              <w:rPr>
                <w:rFonts w:ascii="Times New Roman" w:cs="Times New Roman" w:eastAsia="Times New Roman" w:hAnsi="Times New Roman"/>
                <w:i/>
                <w:iCs/>
                <w:sz w:val="16"/>
                <w:szCs w:val="16"/>
              </w:rPr>
              <w:t xml:space="preserve">Dept. of CSE, MBCET</w:t>
            </w:r>
          </w:p>
          <w:p>
            <w:pPr>
              <w:spacing w:after="0"/>
              <w:jc w:val="center"/>
            </w:pPr>
            <w:r>
              <w:rPr>
                <w:rFonts w:ascii="Times New Roman" w:cs="Times New Roman" w:eastAsia="Times New Roman" w:hAnsi="Times New Roman"/>
                <w:i/>
                <w:iCs/>
                <w:sz w:val="16"/>
                <w:szCs w:val="16"/>
              </w:rPr>
              <w:t xml:space="preserve">Thiruvananthapuram, India</w:t>
            </w:r>
          </w:p>
          <w:p>
            <w:pPr>
              <w:spacing w:after="120"/>
              <w:jc w:val="center"/>
            </w:pPr>
            <w:r>
              <w:rPr>
                <w:rFonts w:ascii="Times New Roman" w:cs="Times New Roman" w:eastAsia="Times New Roman" w:hAnsi="Times New Roman"/>
                <w:i/>
                <w:iCs/>
                <w:sz w:val="16"/>
                <w:szCs w:val="16"/>
              </w:rPr>
              <w:t xml:space="preserve">pranavp92075@gmail.com</w:t>
            </w:r>
          </w:p>
        </w:tc>
      </w:tr>
      <w:tr>
        <w:tc>
          <w:tcPr>
            <w:tcW w:type="dxa" w:w="10080"/>
            <w:gridSpan w:val="4"/>
            <w:tcBorders>
              <w:top w:val="none"/>
              <w:left w:val="none"/>
              <w:bottom w:val="none"/>
              <w:right w:val="none"/>
            </w:tcBorders>
          </w:tcPr>
          <w:p>
            <w:pPr>
              <w:spacing w:after="0"/>
              <w:jc w:val="center"/>
            </w:pPr>
            <w:r>
              <w:rPr>
                <w:rFonts w:ascii="Times New Roman" w:cs="Times New Roman" w:eastAsia="Times New Roman" w:hAnsi="Times New Roman"/>
                <w:sz w:val="18"/>
                <w:szCs w:val="18"/>
              </w:rPr>
              <w:t xml:space="preserve">Dr. Jisha John</w:t>
            </w:r>
          </w:p>
          <w:p>
            <w:pPr>
              <w:spacing w:after="0"/>
              <w:jc w:val="center"/>
            </w:pPr>
            <w:r>
              <w:rPr>
                <w:rFonts w:ascii="Times New Roman" w:cs="Times New Roman" w:eastAsia="Times New Roman" w:hAnsi="Times New Roman"/>
                <w:i/>
                <w:iCs/>
                <w:sz w:val="16"/>
                <w:szCs w:val="16"/>
              </w:rPr>
              <w:t xml:space="preserve">Professor, Department of CSE, MBCET Thiruvananthapuram, Keralam, India</w:t>
            </w:r>
          </w:p>
          <w:p>
            <w:pPr>
              <w:spacing w:after="200"/>
              <w:jc w:val="center"/>
            </w:pPr>
            <w:r>
              <w:rPr>
                <w:rFonts w:ascii="Times New Roman" w:cs="Times New Roman" w:eastAsia="Times New Roman" w:hAnsi="Times New Roman"/>
                <w:i/>
                <w:iCs/>
                <w:sz w:val="16"/>
                <w:szCs w:val="16"/>
              </w:rPr>
              <w:t xml:space="preserve">jisha.john@gmail.com</w:t>
            </w:r>
          </w:p>
        </w:tc>
      </w:tr>
    </w:tbl>
    <w:p>
      <w:pPr>
        <w:spacing w:after="100" w:line="226"/>
        <w:ind w:left="260" w:right="260"/>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sz w:val="19"/>
          <w:szCs w:val="19"/>
        </w:rPr>
        <w:t xml:space="preserve">This paper reports the implementation and measured performance of the vehicle-detection, multi-object-tracking, and road-surface-anomaly-detection pipelines of an autonomous aerial surveillance framework, together with the CARLA-based simulation harness used to validate them before real unmanned aerial vehicle (UAV) deployment. A YOLO26l detector paired with a BoT-SORT/TrackTrack multi-object tracker, an offline tracklet-stitching stage, and a confidence/duration post-processing filter is evaluated against a hand-verified CARLA ground-truth clip (40 vehicles, 1,987 frames) using IDF1, MOTA, HOTA, and detection precision/recall. On the four vehicle classes relevant to this project's violation types (car, van, truck, bus), the fine-tuned detector reaches mAP50 = 0.585, below the 0.75 target; a root-cause analysis attributes most of the shortfall to training-configuration choices — ten classes trained jointly, an under-run training schedule, and class imbalance — rather than to model capacity. A class-agnostic non-maximum-suppression fix removes a duplicate-bounding-box artifact of YOLO26's NMS-free detection head that had fragmented tracks by up to 5× on real footage (714 unique IDs before the fix on an 8,749-frame roundabout clip). Offline tracklet stitching with a 1 s gap-fill step raises tracking MOTA from 0.806 to 0.829 on the ground-truth clip, and a controlled ablation shows BoT-SORT's re-identification (ReID) module contributes no measurable identity-preservation gain over a loosened association gate at current settings, while TrackTrack achieves the highest final IDF1 (0.874) with zero false-positive tracks. A parallel YOLO26l-seg pipeline for pothole segmentation reaches box mAP50 = 0.923 and mask mAP50 = 0.927 on the PothRGBD dataset, exceeding the project's F1 ≥ 0.65 success criterion, although an aerial-domain architecture modification remains unimplemented. The results indicate the tracking layer is close to production-ready on synthetic data, while detector retraining, real-footage ground truth, and violation-rule logic remain the primary open items.</w:t>
      </w:r>
    </w:p>
    <w:p>
      <w:pPr>
        <w:spacing w:after="140" w:line="226"/>
        <w:ind w:left="260" w:right="26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sz w:val="19"/>
          <w:szCs w:val="19"/>
        </w:rPr>
        <w:t xml:space="preserve">UAV surveillance, vehicle detection, YOLO, multi-object tracking, ByteTrack, BoT-SORT, TrackTrack, tracklet stitching, CARLA simulation, road surface anomaly detection, HOTA, IDF1, digital twin.</w:t>
      </w:r>
    </w:p>
    <w:p>
      <w:pPr>
        <w:sectPr>
          <w:type w:val="continuous"/>
          <w:pgSz w:w="12240" w:h="15840" w:orient="portrait"/>
          <w:pgMar w:top="1080" w:right="1080" w:bottom="1080" w:left="1080" w:header="708" w:footer="708" w:gutter="0"/>
          <w:pgNumType/>
          <w:cols w:space="360" w:num="1"/>
          <w:docGrid w:linePitch="360"/>
        </w:sectPr>
      </w:pPr>
    </w:p>
    <w:p>
      <w:pPr>
        <w:keepNext/>
        <w:spacing w:after="90" w:before="160"/>
        <w:jc w:val="center"/>
      </w:pPr>
      <w:r>
        <w:rPr>
          <w:rFonts w:ascii="Times New Roman" w:cs="Times New Roman" w:eastAsia="Times New Roman" w:hAnsi="Times New Roman"/>
          <w:b/>
          <w:bCs/>
          <w:sz w:val="21"/>
          <w:szCs w:val="21"/>
        </w:rPr>
        <w:t xml:space="preserve">I. INTRODUCTION</w:t>
      </w:r>
    </w:p>
    <w:p>
      <w:pPr>
        <w:keepNext/>
        <w:spacing w:after="60" w:before="110"/>
      </w:pPr>
      <w:r>
        <w:rPr>
          <w:rFonts w:ascii="Times New Roman" w:cs="Times New Roman" w:eastAsia="Times New Roman" w:hAnsi="Times New Roman"/>
          <w:b/>
          <w:bCs/>
          <w:i/>
          <w:iCs/>
          <w:sz w:val="20"/>
          <w:szCs w:val="20"/>
        </w:rPr>
        <w:t xml:space="preserve">A. Problem Statement and Project Context</w:t>
      </w:r>
    </w:p>
    <w:p>
      <w:pPr>
        <w:spacing w:after="90" w:line="238"/>
        <w:ind w:firstLine="260"/>
        <w:jc w:val="both"/>
      </w:pPr>
      <w:r>
        <w:rPr>
          <w:rFonts w:ascii="Times New Roman" w:cs="Times New Roman" w:eastAsia="Times New Roman" w:hAnsi="Times New Roman"/>
          <w:sz w:val="20"/>
          <w:szCs w:val="20"/>
        </w:rPr>
        <w:t xml:space="preserve">Urban road networks are monitored today through fixed-point CCTV and periodic manual inspection, both of which cover isolated points rather than continuous areas. Road surface degradation — potholes, cracking, waterlogging, and debris — is tracked almost entirely reactively, after a complaint or an incident, and city planners have no continuous, structured evidence base for infrastructure decisions. The Autonomous Aerial Surveillance Framework project addresses this gap with a five-pillar design: an aerial vehicle-behaviour detection engine, a road-surface anomaly engine, a three-dimensional digital twin, an automated analysis and reporting layer, and an intelligent urban-planning recommendation engine, with the full pipeline developed and validated in the CARLA open-source driving simulator before real UAV deployment.</w:t>
      </w:r>
    </w:p>
    <w:p>
      <w:pPr>
        <w:spacing w:after="90" w:line="238"/>
        <w:ind w:firstLine="260"/>
        <w:jc w:val="both"/>
      </w:pPr>
      <w:r>
        <w:rPr>
          <w:rFonts w:ascii="Times New Roman" w:cs="Times New Roman" w:eastAsia="Times New Roman" w:hAnsi="Times New Roman"/>
          <w:sz w:val="20"/>
          <w:szCs w:val="20"/>
        </w:rPr>
        <w:t xml:space="preserve">This paper reports the implementation and measured performance of the two perception subsystems that are furthest along in the project's roadmap at the time of writing — aerial vehicle detection and multi-object tracking, and road-surface pothole segmentation — together with the CARLA-based simulation and validation harness that supports both. The digital twin, backend infrastructure, urban-planning engine, and automated-reporting layer remain in the design stage and are not evaluated here; they are outlined as future work in Section VII. Unlike a conventional results-only paper, several negative and provisional findings — a detector accuracy shortfall, a duplicate-bounding-box artifact, and an inconclusive re-identification ablation — are reported alongside the positive results, since each directly shaped a subsequent design decision and the project's own working methodology treats every experiment, including failures, as a recorded result.</w:t>
      </w:r>
    </w:p>
    <w:p>
      <w:pPr>
        <w:keepNext/>
        <w:spacing w:after="60" w:before="110"/>
      </w:pPr>
      <w:r>
        <w:rPr>
          <w:rFonts w:ascii="Times New Roman" w:cs="Times New Roman" w:eastAsia="Times New Roman" w:hAnsi="Times New Roman"/>
          <w:b/>
          <w:bCs/>
          <w:i/>
          <w:iCs/>
          <w:sz w:val="20"/>
          <w:szCs w:val="20"/>
        </w:rPr>
        <w:t xml:space="preserve">B. Contributions</w:t>
      </w:r>
    </w:p>
    <w:p>
      <w:pPr>
        <w:spacing w:after="60" w:line="238"/>
        <w:ind w:left="260" w:hanging="220"/>
        <w:jc w:val="both"/>
      </w:pPr>
      <w:r>
        <w:rPr>
          <w:rFonts w:ascii="Times New Roman" w:cs="Times New Roman" w:eastAsia="Times New Roman" w:hAnsi="Times New Roman"/>
          <w:sz w:val="20"/>
          <w:szCs w:val="20"/>
        </w:rPr>
        <w:t xml:space="preserve">•  A YOLO26l detection and BoT-SORT/TrackTrack tracking pipeline for aerial vehicle monitoring, with an offline tracklet-stitching and post-processing stage that measurably improves tracking accuracy without any retraining.</w:t>
      </w:r>
    </w:p>
    <w:p>
      <w:pPr>
        <w:spacing w:after="60" w:line="238"/>
        <w:ind w:left="260" w:hanging="220"/>
        <w:jc w:val="both"/>
      </w:pPr>
      <w:r>
        <w:rPr>
          <w:rFonts w:ascii="Times New Roman" w:cs="Times New Roman" w:eastAsia="Times New Roman" w:hAnsi="Times New Roman"/>
          <w:sz w:val="20"/>
          <w:szCs w:val="20"/>
        </w:rPr>
        <w:t xml:space="preserve">•  A class-agnostic non-maximum-suppression fix for a duplicate-bounding-box artifact specific to YOLO26's NMS-free detection head, identified as the dominant cause of track fragmentation on real footage.</w:t>
      </w:r>
    </w:p>
    <w:p>
      <w:pPr>
        <w:spacing w:after="60" w:line="238"/>
        <w:ind w:left="260" w:hanging="220"/>
        <w:jc w:val="both"/>
      </w:pPr>
      <w:r>
        <w:rPr>
          <w:rFonts w:ascii="Times New Roman" w:cs="Times New Roman" w:eastAsia="Times New Roman" w:hAnsi="Times New Roman"/>
          <w:sz w:val="20"/>
          <w:szCs w:val="20"/>
        </w:rPr>
        <w:t xml:space="preserve">•  A hand-verified CARLA ground-truth evaluation harness (IDF1, MOTA, HOTA, detection precision/recall) used to run controlled ablations on tracker choice, ReID contribution, detector input resolution, and gap-filling, several of which contradict the project's initial design assumptions.</w:t>
      </w:r>
    </w:p>
    <w:p>
      <w:pPr>
        <w:spacing w:after="60" w:line="238"/>
        <w:ind w:left="260" w:hanging="220"/>
        <w:jc w:val="both"/>
      </w:pPr>
      <w:r>
        <w:rPr>
          <w:rFonts w:ascii="Times New Roman" w:cs="Times New Roman" w:eastAsia="Times New Roman" w:hAnsi="Times New Roman"/>
          <w:sz w:val="20"/>
          <w:szCs w:val="20"/>
        </w:rPr>
        <w:t xml:space="preserve">•  A YOLO26l-seg baseline for road-surface pothole segmentation that already exceeds the project's success criterion, together with a documented, not-yet-implemented plan for an aerial-domain architecture modification.</w:t>
      </w:r>
    </w:p>
    <w:p>
      <w:pPr>
        <w:keepNext/>
        <w:spacing w:after="90" w:before="160"/>
        <w:jc w:val="center"/>
      </w:pPr>
      <w:r>
        <w:rPr>
          <w:rFonts w:ascii="Times New Roman" w:cs="Times New Roman" w:eastAsia="Times New Roman" w:hAnsi="Times New Roman"/>
          <w:b/>
          <w:bCs/>
          <w:sz w:val="21"/>
          <w:szCs w:val="21"/>
        </w:rPr>
        <w:t xml:space="preserve">II. RELATED WORK</w:t>
      </w:r>
    </w:p>
    <w:p>
      <w:pPr>
        <w:spacing w:after="90" w:line="238"/>
        <w:ind w:firstLine="260"/>
        <w:jc w:val="both"/>
      </w:pPr>
      <w:r>
        <w:rPr>
          <w:rFonts w:ascii="Times New Roman" w:cs="Times New Roman" w:eastAsia="Times New Roman" w:hAnsi="Times New Roman"/>
          <w:sz w:val="20"/>
          <w:szCs w:val="20"/>
        </w:rPr>
        <w:t xml:space="preserve">Aerial traffic monitoring using UAV-mounted cameras has been studied for parking-occupancy detection, unauthorised-parking identification, and highway-incident detection, typically applying a single-stage detector (YOLO family) with a lightweight tracker for short monitoring windows over a fixed area. Fixed intelligent traffic management systems and standard CCTV, by contrast, offer only point coverage and no cross-zone trajectory continuity. Road-surface condition monitoring is treated as a separate research problem, most commonly as an instance-segmentation task on ground-level or oblique imagery; this project instead unifies both detection tasks — vehicle behaviour and pavement condition — on one aerial platform, following the framework design described in prior project documentation.</w:t>
      </w:r>
    </w:p>
    <w:p>
      <w:pPr>
        <w:spacing w:after="90" w:line="238"/>
        <w:ind w:firstLine="260"/>
        <w:jc w:val="both"/>
      </w:pPr>
      <w:r>
        <w:rPr>
          <w:rFonts w:ascii="Times New Roman" w:cs="Times New Roman" w:eastAsia="Times New Roman" w:hAnsi="Times New Roman"/>
          <w:sz w:val="20"/>
          <w:szCs w:val="20"/>
        </w:rPr>
        <w:t xml:space="preserve">Modern multi-object tracking follows the tracking-by-detection paradigm. ByteTrack associates every detection box, including low-confidence ones, using a two-stage matching cascade, while BoT-SORT augments IoU-based association with camera-motion compensation (GMC) and an optional appearance re-identification (ReID) embedding. TrackTrack, DeepOCSORT, and FastTrack extend this family with alternative association costs and track-management rules. Heavier UAV-specific trackers, such as DroneMOT, AMOT, and STCMOT, target long-range aerial occlusion and viewpoint change directly, at higher computational cost; this project deliberately started from the lighter, production-grade trackers already packaged in Ultralytics before considering the heavier research-grade options, and the ablations in Section VI test whether that choice is justified on the available ground truth.</w:t>
      </w:r>
    </w:p>
    <w:p>
      <w:pPr>
        <w:spacing w:after="90" w:line="238"/>
        <w:ind w:firstLine="260"/>
        <w:jc w:val="both"/>
      </w:pPr>
      <w:r>
        <w:rPr>
          <w:rFonts w:ascii="Times New Roman" w:cs="Times New Roman" w:eastAsia="Times New Roman" w:hAnsi="Times New Roman"/>
          <w:sz w:val="20"/>
          <w:szCs w:val="20"/>
        </w:rPr>
        <w:t xml:space="preserve">Tracking quality is conventionally reported with the CLEAR-MOT metrics (MOTA, ID switches) and IDF1, both computed via the open-source `motmetrics` library, and more recently with HOTA, which balances detection and association accuracy explicitly and is computed here via the TrackEval reference implementation. For road-surface anomaly detection, a YOLOv8-based architecture augmented with depthwise-separable convolution (DSConv), a parameter-free attention module (SimAM), and a GELU activation has been reported to improve pothole segmentation over the stock backbone; this project targets the same architectural change ported onto YOLO26l-seg, and reports a stock-backbone baseline in this paper pending that modification.</w:t>
      </w:r>
    </w:p>
    <w:p>
      <w:pPr>
        <w:keepNext/>
        <w:spacing w:after="90" w:before="160"/>
        <w:jc w:val="center"/>
      </w:pPr>
      <w:r>
        <w:rPr>
          <w:rFonts w:ascii="Times New Roman" w:cs="Times New Roman" w:eastAsia="Times New Roman" w:hAnsi="Times New Roman"/>
          <w:b/>
          <w:bCs/>
          <w:sz w:val="21"/>
          <w:szCs w:val="21"/>
        </w:rPr>
        <w:t xml:space="preserve">III. PROPOSED METHODOLOGY</w:t>
      </w:r>
    </w:p>
    <w:p>
      <w:pPr>
        <w:keepNext/>
        <w:spacing w:after="60" w:before="110"/>
      </w:pPr>
      <w:r>
        <w:rPr>
          <w:rFonts w:ascii="Times New Roman" w:cs="Times New Roman" w:eastAsia="Times New Roman" w:hAnsi="Times New Roman"/>
          <w:b/>
          <w:bCs/>
          <w:i/>
          <w:iCs/>
          <w:sz w:val="20"/>
          <w:szCs w:val="20"/>
        </w:rPr>
        <w:t xml:space="preserve">A. Aerial Vehicle Detection</w:t>
      </w:r>
    </w:p>
    <w:p>
      <w:pPr>
        <w:spacing w:after="90" w:line="238"/>
        <w:ind w:firstLine="260"/>
        <w:jc w:val="both"/>
      </w:pPr>
      <w:r>
        <w:rPr>
          <w:rFonts w:ascii="Times New Roman" w:cs="Times New Roman" w:eastAsia="Times New Roman" w:hAnsi="Times New Roman"/>
          <w:sz w:val="20"/>
          <w:szCs w:val="20"/>
        </w:rPr>
        <w:t xml:space="preserve">Vehicles are detected with YOLO26l fine-tuned on the full VisDrone2019-DET training split (patience 20, batch 8, image size 640, 10-hour training cap). YOLO26's detection head is NMS-free by design, but on this dataset it was found to frequently emit two overlapping boxes for the same physical vehicle under two different class labels (e.g., car and van). A class-agnostic non-maximum-suppression step (IoU ≥ 0.5, highest-confidence box kept) is applied as a `dedupe_boxes()` callback between the detector and the tracker to remove this artifact before any association logic runs (Section VI-B).</w:t>
      </w:r>
    </w:p>
    <w:p>
      <w:pPr>
        <w:keepNext/>
        <w:spacing w:after="60" w:before="110"/>
      </w:pPr>
      <w:r>
        <w:rPr>
          <w:rFonts w:ascii="Times New Roman" w:cs="Times New Roman" w:eastAsia="Times New Roman" w:hAnsi="Times New Roman"/>
          <w:b/>
          <w:bCs/>
          <w:i/>
          <w:iCs/>
          <w:sz w:val="20"/>
          <w:szCs w:val="20"/>
        </w:rPr>
        <w:t xml:space="preserve">B. Multi-Object Tracking</w:t>
      </w:r>
    </w:p>
    <w:p>
      <w:pPr>
        <w:spacing w:after="90" w:line="238"/>
        <w:ind w:firstLine="260"/>
        <w:jc w:val="both"/>
      </w:pPr>
      <w:r>
        <w:rPr>
          <w:rFonts w:ascii="Times New Roman" w:cs="Times New Roman" w:eastAsia="Times New Roman" w:hAnsi="Times New Roman"/>
          <w:sz w:val="20"/>
          <w:szCs w:val="20"/>
        </w:rPr>
        <w:t xml:space="preserve">Detections are associated into tracks using Ultralytics' native `model.track()` interface. Two production tracker families are evaluated: ByteTrack, and BoT-SORT with sparse-optical-flow camera-motion compensation and an optional YOLO-based ReID embedding. TrackTrack, DeepOCSORT, and FastTrack are evaluated as drop-in alternatives under matched confidence thresholds (0.15 / 0.05 / 0.15) and a 90-frame track buffer, so that comparisons isolate the association algorithm rather than threshold tuning.</w:t>
      </w:r>
    </w:p>
    <w:p>
      <w:pPr>
        <w:keepNext/>
        <w:spacing w:after="60" w:before="110"/>
      </w:pPr>
      <w:r>
        <w:rPr>
          <w:rFonts w:ascii="Times New Roman" w:cs="Times New Roman" w:eastAsia="Times New Roman" w:hAnsi="Times New Roman"/>
          <w:b/>
          <w:bCs/>
          <w:i/>
          <w:iCs/>
          <w:sz w:val="20"/>
          <w:szCs w:val="20"/>
        </w:rPr>
        <w:t xml:space="preserve">C. Offline Tracklet Stitching</w:t>
      </w:r>
    </w:p>
    <w:p>
      <w:pPr>
        <w:spacing w:after="90" w:line="238"/>
        <w:ind w:firstLine="260"/>
        <w:jc w:val="both"/>
      </w:pPr>
      <w:r>
        <w:rPr>
          <w:rFonts w:ascii="Times New Roman" w:cs="Times New Roman" w:eastAsia="Times New Roman" w:hAnsi="Times New Roman"/>
          <w:sz w:val="20"/>
          <w:szCs w:val="20"/>
        </w:rPr>
        <w:t xml:space="preserve">Because recorded flights are processed offline rather than in real time, a post-hoc stitching stage links a track that ends to a track that begins within 90 frames when: the ended track's last position, projected forward through per-frame camera-motion compensation plus its own recent velocity, lands within 1.5× box size + 5 px per frame of gap (capped at 400 px) of the new track's first box; box-size ratio is between 0.6 and 1.67; the classes match under a car↔van equivalence (the detector flickers between the two); and the HSV colour-histogram distance is at most 0.4. A combined cost threshold of 1.0 is enforced, and matching is greedy lowest-cost with at most one predecessor and one successor per track, allowing chains.</w:t>
      </w:r>
    </w:p>
    <w:p>
      <w:pPr>
        <w:keepNext/>
        <w:spacing w:after="60" w:before="110"/>
      </w:pPr>
      <w:r>
        <w:rPr>
          <w:rFonts w:ascii="Times New Roman" w:cs="Times New Roman" w:eastAsia="Times New Roman" w:hAnsi="Times New Roman"/>
          <w:b/>
          <w:bCs/>
          <w:i/>
          <w:iCs/>
          <w:sz w:val="20"/>
          <w:szCs w:val="20"/>
        </w:rPr>
        <w:t xml:space="preserve">D. Post-Processing and Gap Filling</w:t>
      </w:r>
    </w:p>
    <w:p>
      <w:pPr>
        <w:spacing w:after="90" w:line="238"/>
        <w:ind w:firstLine="260"/>
        <w:jc w:val="both"/>
      </w:pPr>
      <w:r>
        <w:rPr>
          <w:rFonts w:ascii="Times New Roman" w:cs="Times New Roman" w:eastAsia="Times New Roman" w:hAnsi="Times New Roman"/>
          <w:sz w:val="20"/>
          <w:szCs w:val="20"/>
        </w:rPr>
        <w:t xml:space="preserve">A post-processing stage performs confidence-weighted class voting per track after mapping van → car (a three-class car/truck/bus scheme for scoring), and drops tracks shorter than 1 s or with mean detection confidence below 0.3. A subsequent gap-filling step linearly interpolates missing boxes inside a kept track for gaps of up to 1 s, marking interpolated rows with a dedicated flag so downstream consumers can distinguish observed from interpolated positions.</w:t>
      </w:r>
    </w:p>
    <w:p>
      <w:pPr>
        <w:keepNext/>
        <w:spacing w:after="60" w:before="110"/>
      </w:pPr>
      <w:r>
        <w:rPr>
          <w:rFonts w:ascii="Times New Roman" w:cs="Times New Roman" w:eastAsia="Times New Roman" w:hAnsi="Times New Roman"/>
          <w:b/>
          <w:bCs/>
          <w:i/>
          <w:iCs/>
          <w:sz w:val="20"/>
          <w:szCs w:val="20"/>
        </w:rPr>
        <w:t xml:space="preserve">E. Evaluation Methodology</w:t>
      </w:r>
    </w:p>
    <w:p>
      <w:pPr>
        <w:spacing w:after="90" w:line="238"/>
        <w:ind w:firstLine="260"/>
        <w:jc w:val="both"/>
      </w:pPr>
      <w:r>
        <w:rPr>
          <w:rFonts w:ascii="Times New Roman" w:cs="Times New Roman" w:eastAsia="Times New Roman" w:hAnsi="Times New Roman"/>
          <w:sz w:val="20"/>
          <w:szCs w:val="20"/>
        </w:rPr>
        <w:t xml:space="preserve">A dedicated scoring module computes detection precision/recall at IoU ≥ 0.5, together with IDF1, MOTA, and ID-switch count via `motmetrics`, and HOTA/DetA/AssA/LocA via the TrackEval reference implementation, all against a hand-labelled ground truth. False-positive tracks are defined as predicted track IDs matched to a ground-truth box in fewer than 50% of their boxes. Every experiment is executed in a fresh subprocess and logged with its full configuration (git commit, tracker YAML, thresholds, frame/row/ID counts) to avoid state leakage between runs — a failure mode encountered and corrected during development (Section VI).</w:t>
      </w:r>
    </w:p>
    <w:p>
      <w:pPr>
        <w:keepNext/>
        <w:spacing w:after="60" w:before="110"/>
      </w:pPr>
      <w:r>
        <w:rPr>
          <w:rFonts w:ascii="Times New Roman" w:cs="Times New Roman" w:eastAsia="Times New Roman" w:hAnsi="Times New Roman"/>
          <w:b/>
          <w:bCs/>
          <w:i/>
          <w:iCs/>
          <w:sz w:val="20"/>
          <w:szCs w:val="20"/>
        </w:rPr>
        <w:t xml:space="preserve">F. Road Surface Anomaly Detection</w:t>
      </w:r>
    </w:p>
    <w:p>
      <w:pPr>
        <w:spacing w:after="90" w:line="238"/>
        <w:ind w:firstLine="260"/>
        <w:jc w:val="both"/>
      </w:pPr>
      <w:r>
        <w:rPr>
          <w:rFonts w:ascii="Times New Roman" w:cs="Times New Roman" w:eastAsia="Times New Roman" w:hAnsi="Times New Roman"/>
          <w:sz w:val="20"/>
          <w:szCs w:val="20"/>
        </w:rPr>
        <w:t xml:space="preserve">Road-surface anomalies are detected with YOLO26l-seg, targeting four classes: potholes, surface cracking, waterlogging, and debris. The current implementation fine-tunes the stock YOLO26l-seg backbone on the single-class pothole subset of PothRGBD. A planned architecture modification splices a depthwise-separable convolution (DSConv), a parameter-free attention module (SimAM), and a GELU activation into the backbone/neck, following a reference design reported for YOLOv8-based pavement-distress detection; the model-surgery script required to perform this splice had not yet been written at the time of writing (Section VI-I).</w:t>
      </w:r>
    </w:p>
    <w:p>
      <w:pPr>
        <w:keepNext/>
        <w:spacing w:after="60" w:before="110"/>
      </w:pPr>
      <w:r>
        <w:rPr>
          <w:rFonts w:ascii="Times New Roman" w:cs="Times New Roman" w:eastAsia="Times New Roman" w:hAnsi="Times New Roman"/>
          <w:b/>
          <w:bCs/>
          <w:i/>
          <w:iCs/>
          <w:sz w:val="20"/>
          <w:szCs w:val="20"/>
        </w:rPr>
        <w:t xml:space="preserve">G. CARLA-Based Synthetic Validation</w:t>
      </w:r>
    </w:p>
    <w:p>
      <w:pPr>
        <w:spacing w:after="90" w:line="238"/>
        <w:ind w:firstLine="260"/>
        <w:jc w:val="both"/>
      </w:pPr>
      <w:r>
        <w:rPr>
          <w:rFonts w:ascii="Times New Roman" w:cs="Times New Roman" w:eastAsia="Times New Roman" w:hAnsi="Times New Roman"/>
          <w:sz w:val="20"/>
          <w:szCs w:val="20"/>
        </w:rPr>
        <w:t xml:space="preserve">CARLA 0.9.15 is used in synchronous mode with a simulated nadir-facing camera. Two capture modes were implemented: an autonomous waypoint-following flight, and a manually flown, keyboard-controlled recording with no live inference running during capture (so no frame is ever skipped). The manual mode was adopted after the autonomous waypoint generator was found to route the drone over beach and promenade terrain with no road or vehicles in view for long stretches — a map-topology failure of the waypoint heuristic rather than a perception failure (Section VI-J). The primary ground-truth clip used for quantitative evaluation in this paper (Town10HD, 1,987 frames, 40 vehicles) was captured this way and hand-verified against the recorded footage.</w:t>
      </w:r>
    </w:p>
    <w:p>
      <w:pPr>
        <w:keepNext/>
        <w:spacing w:after="90" w:before="160"/>
        <w:jc w:val="center"/>
      </w:pPr>
      <w:r>
        <w:rPr>
          <w:rFonts w:ascii="Times New Roman" w:cs="Times New Roman" w:eastAsia="Times New Roman" w:hAnsi="Times New Roman"/>
          <w:b/>
          <w:bCs/>
          <w:sz w:val="21"/>
          <w:szCs w:val="21"/>
        </w:rPr>
        <w:t xml:space="preserve">IV. SYSTEM IMPLEMENTATION</w:t>
      </w:r>
    </w:p>
    <w:p>
      <w:pPr>
        <w:keepNext/>
        <w:spacing w:after="60" w:before="110"/>
      </w:pPr>
      <w:r>
        <w:rPr>
          <w:rFonts w:ascii="Times New Roman" w:cs="Times New Roman" w:eastAsia="Times New Roman" w:hAnsi="Times New Roman"/>
          <w:b/>
          <w:bCs/>
          <w:i/>
          <w:iCs/>
          <w:sz w:val="20"/>
          <w:szCs w:val="20"/>
        </w:rPr>
        <w:t xml:space="preserve">A. Pipeline Scripts</w:t>
      </w:r>
    </w:p>
    <w:p>
      <w:pPr>
        <w:spacing w:after="90" w:line="238"/>
        <w:ind w:firstLine="260"/>
        <w:jc w:val="both"/>
      </w:pPr>
      <w:r>
        <w:rPr>
          <w:rFonts w:ascii="Times New Roman" w:cs="Times New Roman" w:eastAsia="Times New Roman" w:hAnsi="Times New Roman"/>
          <w:sz w:val="20"/>
          <w:szCs w:val="20"/>
        </w:rPr>
        <w:t xml:space="preserve">The detection-and-tracking pipeline is implemented as a set of composable command-line tools. `process_video.py` and `process_recorded_flight.py` run detection and tracking over a video file or a recorded frame folder respectively, sharing a common `run_tracking()` core that applies the duplicate-box de-duplication callback. `stitch_tracklets.py` performs the offline stitching described in Section III-C and can run automatically at the end of a tracking pass or standalone on an existing result folder. `postprocess_tracks.py` implements class voting, short/low-confidence track removal, and gap filling. `run_experiment.py` runs one tracker configuration through tracking, stitching, and post-processing in a fresh subprocess, scoring each stage independently and appending one row per stage to a shared results table. `eval_tracking.py` implements the scoring logic described in Section III-E, and `import_gt.py` converts CVAT MOT or CVAT-for-video XML exports into the project's ground-truth schema, with sanity checks for duplicate identities, out-of-range frames, and boxes drawn on a mismatched frame size. `regression.py` runs a full matrix of tracker configurations against every registered ground-truth clip and prints a single comparison table.</w:t>
      </w:r>
    </w:p>
    <w:p>
      <w:pPr>
        <w:keepNext/>
        <w:spacing w:after="60" w:before="110"/>
      </w:pPr>
      <w:r>
        <w:rPr>
          <w:rFonts w:ascii="Times New Roman" w:cs="Times New Roman" w:eastAsia="Times New Roman" w:hAnsi="Times New Roman"/>
          <w:b/>
          <w:bCs/>
          <w:i/>
          <w:iCs/>
          <w:sz w:val="20"/>
          <w:szCs w:val="20"/>
        </w:rPr>
        <w:t xml:space="preserve">B. CARLA Simulation Scripts</w:t>
      </w:r>
    </w:p>
    <w:p>
      <w:pPr>
        <w:spacing w:after="90" w:line="238"/>
        <w:ind w:firstLine="260"/>
        <w:jc w:val="both"/>
      </w:pPr>
      <w:r>
        <w:rPr>
          <w:rFonts w:ascii="Times New Roman" w:cs="Times New Roman" w:eastAsia="Times New Roman" w:hAnsi="Times New Roman"/>
          <w:sz w:val="20"/>
          <w:szCs w:val="20"/>
        </w:rPr>
        <w:t xml:space="preserve">`record_flight.py` provides manual, keyboard-controlled flight capture with a CARLA-native nadir camera and no concurrent inference. `run_sim_validation.py` runs the Stage-1/Stage-3 detector and tracker against captured footage and exports a trajectory CSV and an annotated video for visual inspection.</w:t>
      </w:r>
    </w:p>
    <w:p>
      <w:pPr>
        <w:keepNext/>
        <w:spacing w:after="60" w:before="110"/>
      </w:pPr>
      <w:r>
        <w:rPr>
          <w:rFonts w:ascii="Times New Roman" w:cs="Times New Roman" w:eastAsia="Times New Roman" w:hAnsi="Times New Roman"/>
          <w:b/>
          <w:bCs/>
          <w:i/>
          <w:iCs/>
          <w:sz w:val="20"/>
          <w:szCs w:val="20"/>
        </w:rPr>
        <w:t xml:space="preserve">C. Hardware and Runtime</w:t>
      </w:r>
    </w:p>
    <w:p>
      <w:pPr>
        <w:spacing w:after="90" w:line="238"/>
        <w:ind w:firstLine="260"/>
        <w:jc w:val="both"/>
      </w:pPr>
      <w:r>
        <w:rPr>
          <w:rFonts w:ascii="Times New Roman" w:cs="Times New Roman" w:eastAsia="Times New Roman" w:hAnsi="Times New Roman"/>
          <w:sz w:val="20"/>
          <w:szCs w:val="20"/>
        </w:rPr>
        <w:t xml:space="preserve">All detection and tracking experiments were run on an RTX 4060 Laptop GPU (8 GB VRAM). The fine-tuned YOLO26l detector runs at 11.8 ms per image (≈ 85 FPS) at an input size of 640, leaving headroom for higher input resolutions or tiled inference. Tracking throughput including detection ranges from roughly 50 ms/frame (ByteTrack, FastTrack) to 240 ms/frame (BoT-SORT with a ReID encoder at appearance threshold 0.8).</w:t>
      </w:r>
    </w:p>
    <w:p>
      <w:pPr>
        <w:keepNext/>
        <w:spacing w:after="60" w:before="110"/>
      </w:pPr>
      <w:r>
        <w:rPr>
          <w:rFonts w:ascii="Times New Roman" w:cs="Times New Roman" w:eastAsia="Times New Roman" w:hAnsi="Times New Roman"/>
          <w:b/>
          <w:bCs/>
          <w:i/>
          <w:iCs/>
          <w:sz w:val="20"/>
          <w:szCs w:val="20"/>
        </w:rPr>
        <w:t xml:space="preserve">D. Reproducibility and Configuration Logging</w:t>
      </w:r>
    </w:p>
    <w:p>
      <w:pPr>
        <w:spacing w:after="90" w:line="238"/>
        <w:ind w:firstLine="260"/>
        <w:jc w:val="both"/>
      </w:pPr>
      <w:r>
        <w:rPr>
          <w:rFonts w:ascii="Times New Roman" w:cs="Times New Roman" w:eastAsia="Times New Roman" w:hAnsi="Times New Roman"/>
          <w:sz w:val="20"/>
          <w:szCs w:val="20"/>
        </w:rPr>
        <w:t xml:space="preserve">Every pipeline run writes a `run_config.json` alongside its outputs, recording the invocation date, git commit hash and dirty-tree flag, exact command line, Ultralytics version, model weights path, source video/folder, frame rate, image size, confidence thresholds, active filters, and the full tracker configuration YAML, plus post-run statistics (frame count, row count, unique-ID count, milliseconds per frame, filter statistics). This logging was added after an earlier measurement error, in which several trackers were benchmarked in the same long-lived Python process and only the first configuration's result in each process was valid; subsequent configurations silently inherited state from the previous run. All results reported in Section VI were re-measured with one fresh process per configuration.</w:t>
      </w:r>
    </w:p>
    <w:p>
      <w:pPr>
        <w:keepNext/>
        <w:spacing w:after="90" w:before="160"/>
        <w:jc w:val="center"/>
      </w:pPr>
      <w:r>
        <w:rPr>
          <w:rFonts w:ascii="Times New Roman" w:cs="Times New Roman" w:eastAsia="Times New Roman" w:hAnsi="Times New Roman"/>
          <w:b/>
          <w:bCs/>
          <w:sz w:val="21"/>
          <w:szCs w:val="21"/>
        </w:rPr>
        <w:t xml:space="preserve">V. EXPERIMENTAL SETUP</w:t>
      </w:r>
    </w:p>
    <w:p>
      <w:pPr>
        <w:keepNext/>
        <w:spacing w:after="60" w:before="110"/>
      </w:pPr>
      <w:r>
        <w:rPr>
          <w:rFonts w:ascii="Times New Roman" w:cs="Times New Roman" w:eastAsia="Times New Roman" w:hAnsi="Times New Roman"/>
          <w:b/>
          <w:bCs/>
          <w:i/>
          <w:iCs/>
          <w:sz w:val="20"/>
          <w:szCs w:val="20"/>
        </w:rPr>
        <w:t xml:space="preserve">A. Datasets</w:t>
      </w:r>
    </w:p>
    <w:p>
      <w:pPr>
        <w:spacing w:after="90" w:line="238"/>
        <w:ind w:firstLine="260"/>
        <w:jc w:val="both"/>
      </w:pPr>
      <w:r>
        <w:rPr>
          <w:rFonts w:ascii="Times New Roman" w:cs="Times New Roman" w:eastAsia="Times New Roman" w:hAnsi="Times New Roman"/>
          <w:sz w:val="20"/>
          <w:szCs w:val="20"/>
        </w:rPr>
        <w:t xml:space="preserve">Detection is trained on VisDrone2019-DET (10 object classes, aerial imagery). Tracking is sanity-checked qualitatively on VisDrone2019-MOT-val and quantitatively on a hand-verified CARLA ground-truth clip (Town10HD, 1,987 frames, 40 vehicles, captured 2026-09-26). Real-footage validation uses a public roundabout traffic drone video (1280×720, 30 fps, 8,749 frames, moving/rotating camera, snow-covered scene, ≈ 36 small vehicles in view). Pothole segmentation is trained on PothRGBD (1,000 RGB-D images in YOLO-segmentation format), split 800/100/100 for training, validation, and test.</w:t>
      </w:r>
    </w:p>
    <w:p>
      <w:pPr>
        <w:keepNext/>
        <w:spacing w:after="60" w:before="110"/>
      </w:pPr>
      <w:r>
        <w:rPr>
          <w:rFonts w:ascii="Times New Roman" w:cs="Times New Roman" w:eastAsia="Times New Roman" w:hAnsi="Times New Roman"/>
          <w:b/>
          <w:bCs/>
          <w:i/>
          <w:iCs/>
          <w:sz w:val="20"/>
          <w:szCs w:val="20"/>
        </w:rPr>
        <w:t xml:space="preserve">B. Detection Training Configuration</w:t>
      </w:r>
    </w:p>
    <w:p>
      <w:pPr>
        <w:spacing w:after="90" w:line="238"/>
        <w:ind w:firstLine="260"/>
        <w:jc w:val="both"/>
      </w:pPr>
      <w:r>
        <w:rPr>
          <w:rFonts w:ascii="Times New Roman" w:cs="Times New Roman" w:eastAsia="Times New Roman" w:hAnsi="Times New Roman"/>
          <w:sz w:val="20"/>
          <w:szCs w:val="20"/>
        </w:rPr>
        <w:t xml:space="preserve">The reported detector was trained on all 10 VisDrone classes jointly (`classes: null`), image size 640, batch size 8, with a 20-epoch early-stopping patience and a 10-hour wall-clock cap. Post-hoc inspection of the training log showed the run stopped at epoch 80 without either configured stop condition being met — the best checkpoint (epoch 74) showed no plateau in the loss curves — indicating the run was interrupted rather than converged. A retrain restricted to the four in-scope classes (car, van, truck, bus) is planned but had not been executed at the time of writing (Section VII).</w:t>
      </w:r>
    </w:p>
    <w:p>
      <w:pPr>
        <w:keepNext/>
        <w:spacing w:after="60" w:before="110"/>
      </w:pPr>
      <w:r>
        <w:rPr>
          <w:rFonts w:ascii="Times New Roman" w:cs="Times New Roman" w:eastAsia="Times New Roman" w:hAnsi="Times New Roman"/>
          <w:b/>
          <w:bCs/>
          <w:i/>
          <w:iCs/>
          <w:sz w:val="20"/>
          <w:szCs w:val="20"/>
        </w:rPr>
        <w:t xml:space="preserve">C. Tracker Configurations Compared</w:t>
      </w:r>
    </w:p>
    <w:p>
      <w:pPr>
        <w:spacing w:after="90" w:line="238"/>
        <w:ind w:firstLine="260"/>
        <w:jc w:val="both"/>
      </w:pPr>
      <w:r>
        <w:rPr>
          <w:rFonts w:ascii="Times New Roman" w:cs="Times New Roman" w:eastAsia="Times New Roman" w:hAnsi="Times New Roman"/>
          <w:sz w:val="20"/>
          <w:szCs w:val="20"/>
        </w:rPr>
        <w:t xml:space="preserve">Nine tracker configurations are compared on the ground-truth clip: the adopted BoT-SORT-ReID pipeline (`botsort`), BoT-SORT without ReID (`botsort_noreid`), BoT-SORT without ReID at a loosened match threshold (`botsort_noreid_loose`), BoT-SORT with a dedicated YOLO26s-ReID encoder at the default and at a raised (0.8) appearance threshold, TrackTrack, DeepOCSORT, FastTrack, and ByteTrack. All configurations share the same detector, image size (640), and confidence thresholds (0.15 / 0.05 / 0.15) so that differences reflect the association algorithm rather than threshold tuning.</w:t>
      </w:r>
    </w:p>
    <w:p>
      <w:pPr>
        <w:keepNext/>
        <w:spacing w:after="60" w:before="110"/>
      </w:pPr>
      <w:r>
        <w:rPr>
          <w:rFonts w:ascii="Times New Roman" w:cs="Times New Roman" w:eastAsia="Times New Roman" w:hAnsi="Times New Roman"/>
          <w:b/>
          <w:bCs/>
          <w:i/>
          <w:iCs/>
          <w:sz w:val="20"/>
          <w:szCs w:val="20"/>
        </w:rPr>
        <w:t xml:space="preserve">D. Metrics</w:t>
      </w:r>
    </w:p>
    <w:p>
      <w:pPr>
        <w:spacing w:after="90" w:line="238"/>
        <w:ind w:firstLine="260"/>
        <w:jc w:val="both"/>
      </w:pPr>
      <w:r>
        <w:rPr>
          <w:rFonts w:ascii="Times New Roman" w:cs="Times New Roman" w:eastAsia="Times New Roman" w:hAnsi="Times New Roman"/>
          <w:sz w:val="20"/>
          <w:szCs w:val="20"/>
        </w:rPr>
        <w:t xml:space="preserve">Detection quality is reported as mAP50 and mAP50-95 per class, aggregated both over all 10 VisDrone classes and over the four classes relevant to this project's violation types. Tracking quality is reported as detection precision/recall (box-level, IoU ≥ 0.5 matching), IDF1, MOTA, ID-switch count, HOTA (with its DetA, AssA, and LocA components), false-positive track count, and mostly-tracked / partially-tracked / mostly-lost vehicle counts, each computed at three pipeline stages — raw tracking output, after stitching, and after post-processing ("final").</w:t>
      </w:r>
    </w:p>
    <w:p>
      <w:pPr>
        <w:keepNext/>
        <w:spacing w:after="90" w:before="160"/>
        <w:jc w:val="center"/>
      </w:pPr>
      <w:r>
        <w:rPr>
          <w:rFonts w:ascii="Times New Roman" w:cs="Times New Roman" w:eastAsia="Times New Roman" w:hAnsi="Times New Roman"/>
          <w:b/>
          <w:bCs/>
          <w:sz w:val="21"/>
          <w:szCs w:val="21"/>
        </w:rPr>
        <w:t xml:space="preserve">VI. RESULTS AND DISCUSSION</w:t>
      </w:r>
    </w:p>
    <w:p>
      <w:pPr>
        <w:keepNext/>
        <w:spacing w:after="60" w:before="110"/>
      </w:pPr>
      <w:r>
        <w:rPr>
          <w:rFonts w:ascii="Times New Roman" w:cs="Times New Roman" w:eastAsia="Times New Roman" w:hAnsi="Times New Roman"/>
          <w:b/>
          <w:bCs/>
          <w:i/>
          <w:iCs/>
          <w:sz w:val="20"/>
          <w:szCs w:val="20"/>
        </w:rPr>
        <w:t xml:space="preserve">A. Detection Performance</w:t>
      </w:r>
    </w:p>
    <w:p>
      <w:pPr>
        <w:spacing w:after="90" w:line="238"/>
        <w:ind w:firstLine="260"/>
        <w:jc w:val="both"/>
      </w:pPr>
      <w:r>
        <w:rPr>
          <w:rFonts w:ascii="Times New Roman" w:cs="Times New Roman" w:eastAsia="Times New Roman" w:hAnsi="Times New Roman"/>
          <w:sz w:val="20"/>
          <w:szCs w:val="20"/>
        </w:rPr>
        <w:t xml:space="preserve">Table I reports per-class detection performance on VisDrone2019-DET for the four classes relevant to this project's scope, alongside the scope-adjusted average and the full 10-class average. Car detection is strong (mAP50 = 0.832); truck (0.426) and van (0.481) are the weakest in-scope classes, consistent with an 11:1 (car:truck) and 24:1 (car:bus) instance-count imbalance in the training split.</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430"/>
        <w:gridCol w:w="1215"/>
        <w:gridCol w:w="1215"/>
      </w:tblGrid>
      <w:tr>
        <w:trPr>
          <w:tblHeader/>
        </w:trPr>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Class</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mAP50</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mAP50-95</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Car</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0.832</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0.586</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Bus</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0.600</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0.438</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Van</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0.481</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0.338</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Truck</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0.426</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0.288</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Scope-adj. avg. (4 cls.)</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0.585</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0.413</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All 10 VisDrone classes</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0.457</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0.273</w:t>
            </w:r>
          </w:p>
        </w:tc>
      </w:tr>
    </w:tbl>
    <w:p>
      <w:pPr>
        <w:spacing w:after="100" w:before="40"/>
        <w:jc w:val="center"/>
      </w:pPr>
      <w:r>
        <w:rPr>
          <w:rFonts w:ascii="Times New Roman" w:cs="Times New Roman" w:eastAsia="Times New Roman" w:hAnsi="Times New Roman"/>
          <w:b w:val="false"/>
          <w:bCs w:val="false"/>
          <w:sz w:val="18"/>
          <w:szCs w:val="18"/>
        </w:rPr>
        <w:t xml:space="preserve">TABLE I. IN-SCOPE VEHICLE DETECTION PERFORMANCE (VisDrone2019-DET)</w:t>
      </w:r>
    </w:p>
    <w:p>
      <w:pPr>
        <w:sectPr>
          <w:type w:val="continuous"/>
          <w:pgSz w:w="12240" w:h="15840" w:orient="portrait"/>
          <w:pgMar w:top="1080" w:right="1080" w:bottom="1080" w:left="1080" w:header="708" w:footer="708" w:gutter="0"/>
          <w:pgNumType/>
          <w:cols w:space="360" w:num="1"/>
          <w:docGrid w:linePitch="360"/>
        </w:sectPr>
      </w:pPr>
    </w:p>
    <w:p>
      <w:pPr>
        <w:spacing w:after="90" w:line="238"/>
        <w:ind w:firstLine="260"/>
        <w:jc w:val="both"/>
      </w:pPr>
      <w:r>
        <w:rPr>
          <w:rFonts w:ascii="Times New Roman" w:cs="Times New Roman" w:eastAsia="Times New Roman" w:hAnsi="Times New Roman"/>
          <w:sz w:val="20"/>
          <w:szCs w:val="20"/>
        </w:rPr>
        <w:t xml:space="preserve">The scope-adjusted mAP50 of 0.585 remains below the project's 0.75 success criterion, but a root-cause analysis found the shortfall to be dominated by training-configuration issues rather than a fundamental model-capacity limitation: (i) all 10 classes were trained jointly, with pedestrian, motor, and people instances individually outnumbering van + truck + bus combined, splitting classification capacity across classes this project does not use; (ii) the run stopped at epoch 80 without either its patience or time-cap stop condition being met, with loss still declining; and (iii) car outnumbers truck 11:1 and bus 24:1 within the in-scope classes alone. A retrain on a filtered 4-class dataset, run to an actual stop condition, is the planned next step and is expected to close most of the remaining gap before tiled inference (SAHI) or a larger backbone are considered.</w:t>
      </w:r>
    </w:p>
    <w:p>
      <w:pPr>
        <w:keepNext/>
        <w:spacing w:after="60" w:before="110"/>
      </w:pPr>
      <w:r>
        <w:rPr>
          <w:rFonts w:ascii="Times New Roman" w:cs="Times New Roman" w:eastAsia="Times New Roman" w:hAnsi="Times New Roman"/>
          <w:b/>
          <w:bCs/>
          <w:i/>
          <w:iCs/>
          <w:sz w:val="20"/>
          <w:szCs w:val="20"/>
        </w:rPr>
        <w:t xml:space="preserve">B. Duplicate-Box Artifact and Its Fix</w:t>
      </w:r>
    </w:p>
    <w:p>
      <w:pPr>
        <w:spacing w:after="90" w:line="238"/>
        <w:ind w:firstLine="260"/>
        <w:jc w:val="both"/>
      </w:pPr>
      <w:r>
        <w:rPr>
          <w:rFonts w:ascii="Times New Roman" w:cs="Times New Roman" w:eastAsia="Times New Roman" w:hAnsi="Times New Roman"/>
          <w:sz w:val="20"/>
          <w:szCs w:val="20"/>
        </w:rPr>
        <w:t xml:space="preserve">YOLO26's NMS-free detection head was found to emit roughly 10 overlapping box pairs per frame on real footage (≈ 25% of all boxes), 94% of them the same physical vehicle labelled under two different classes. The tracker matched one box and started a short-lived new identity from the other, and this artifact — not the tracker or its configuration — was the dominant cause of track fragmentation. A class-agnostic NMS step (IoU 0.5, highest-confidence box kept) applied between detection and tracking reduced unique track IDs from 113 to 45 on a 5 s roundabout clip and from 48 to 37 on a CARLA-captured flight, with near-identical detection coverage in both cases. On the full 8,749-frame roundabout video, unique IDs fell from 3,730 (2,308 stitching merges required) to 714 after the fix, and to 695 after stitching (19 merges).</w:t>
      </w:r>
    </w:p>
    <w:p>
      <w:pPr>
        <w:keepNext/>
        <w:spacing w:after="60" w:before="110"/>
      </w:pPr>
      <w:r>
        <w:rPr>
          <w:rFonts w:ascii="Times New Roman" w:cs="Times New Roman" w:eastAsia="Times New Roman" w:hAnsi="Times New Roman"/>
          <w:b/>
          <w:bCs/>
          <w:i/>
          <w:iCs/>
          <w:sz w:val="20"/>
          <w:szCs w:val="20"/>
        </w:rPr>
        <w:t xml:space="preserve">C. Tracker Comparison on Ground Truth</w:t>
      </w:r>
    </w:p>
    <w:p>
      <w:pPr>
        <w:spacing w:after="90" w:line="238"/>
        <w:ind w:firstLine="260"/>
        <w:jc w:val="both"/>
      </w:pPr>
      <w:r>
        <w:rPr>
          <w:rFonts w:ascii="Times New Roman" w:cs="Times New Roman" w:eastAsia="Times New Roman" w:hAnsi="Times New Roman"/>
          <w:sz w:val="20"/>
          <w:szCs w:val="20"/>
        </w:rPr>
        <w:t xml:space="preserve">Table II compares all nine tracker configurations on the 40-vehicle CARLA ground-truth clip, at the final pipeline stage (post-stitching, post-processing). TrackTrack achieves the highest final IDF1 (0.874) and the fewest ID switches (2), with zero false-positive tracks, at a small recall cost (0.865 vs. 0.879 for the adopted BoT-SORT configuration).</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52"/>
        <w:gridCol w:w="777"/>
        <w:gridCol w:w="777"/>
        <w:gridCol w:w="583"/>
        <w:gridCol w:w="583"/>
        <w:gridCol w:w="486"/>
      </w:tblGrid>
      <w:tr>
        <w:trPr>
          <w:tblHeader/>
        </w:trPr>
        <w:tc>
          <w:tcPr>
            <w:tcW w:type="dxa" w:w="1652"/>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Config</w:t>
            </w:r>
          </w:p>
        </w:tc>
        <w:tc>
          <w:tcPr>
            <w:tcW w:type="dxa" w:w="1652"/>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Final IDF1</w:t>
            </w:r>
          </w:p>
        </w:tc>
        <w:tc>
          <w:tcPr>
            <w:tcW w:type="dxa" w:w="1652"/>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Final MOTA</w:t>
            </w:r>
          </w:p>
        </w:tc>
        <w:tc>
          <w:tcPr>
            <w:tcW w:type="dxa" w:w="1652"/>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 sw.</w:t>
            </w:r>
          </w:p>
        </w:tc>
        <w:tc>
          <w:tcPr>
            <w:tcW w:type="dxa" w:w="1652"/>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Det. R</w:t>
            </w:r>
          </w:p>
        </w:tc>
        <w:tc>
          <w:tcPr>
            <w:tcW w:type="dxa" w:w="1652"/>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FP trk.</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botsort (adopted)</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0.852</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0.879</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botsort_reid_y26s</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0.852</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0.879</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botsort_reid_app08</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0.851</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0.803</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0.875</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botsort_noreid</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0.826</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0.750</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0.814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botsort_noreid_loose</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0.849</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0.795</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0.864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tracktrack_ours</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0.871</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0.801</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0.865</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deepocsort_ours</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0.817</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0.757</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0.844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fasttrack_ours</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0.827</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0.756</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0.842</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r>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bytetrack</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0.808</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0.724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14</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0.795</w:t>
            </w:r>
          </w:p>
        </w:tc>
        <w:tc>
          <w:tcPr>
            <w:tcW w:type="dxa" w:w="16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r>
    </w:tbl>
    <w:p>
      <w:pPr>
        <w:spacing w:after="100" w:before="40"/>
        <w:jc w:val="center"/>
      </w:pPr>
      <w:r>
        <w:rPr>
          <w:rFonts w:ascii="Times New Roman" w:cs="Times New Roman" w:eastAsia="Times New Roman" w:hAnsi="Times New Roman"/>
          <w:b w:val="false"/>
          <w:bCs w:val="false"/>
          <w:sz w:val="18"/>
          <w:szCs w:val="18"/>
        </w:rPr>
        <w:t xml:space="preserve">TABLE II. TRACKER COMPARISON, FINAL STAGE (CARLA GT, 40 VEHICLES)</w:t>
      </w:r>
    </w:p>
    <w:p>
      <w:pPr>
        <w:sectPr>
          <w:type w:val="continuous"/>
          <w:pgSz w:w="12240" w:h="15840" w:orient="portrait"/>
          <w:pgMar w:top="1080" w:right="1080" w:bottom="1080" w:left="1080" w:header="708" w:footer="708" w:gutter="0"/>
          <w:pgNumType/>
          <w:cols w:space="360" w:num="1"/>
          <w:docGrid w:linePitch="360"/>
        </w:sectPr>
      </w:pPr>
    </w:p>
    <w:p>
      <w:pPr>
        <w:keepNext/>
        <w:spacing w:after="60" w:before="110"/>
      </w:pPr>
      <w:r>
        <w:rPr>
          <w:rFonts w:ascii="Times New Roman" w:cs="Times New Roman" w:eastAsia="Times New Roman" w:hAnsi="Times New Roman"/>
          <w:b/>
          <w:bCs/>
          <w:i/>
          <w:iCs/>
          <w:sz w:val="20"/>
          <w:szCs w:val="20"/>
        </w:rPr>
        <w:t xml:space="preserve">D. Re-Identification (ReID) Ablation</w:t>
      </w:r>
    </w:p>
    <w:p>
      <w:pPr>
        <w:spacing w:after="90" w:line="238"/>
        <w:ind w:firstLine="260"/>
        <w:jc w:val="both"/>
      </w:pPr>
      <w:r>
        <w:rPr>
          <w:rFonts w:ascii="Times New Roman" w:cs="Times New Roman" w:eastAsia="Times New Roman" w:hAnsi="Times New Roman"/>
          <w:sz w:val="20"/>
          <w:szCs w:val="20"/>
        </w:rPr>
        <w:t xml:space="preserve">A controlled ablation isolated the contribution of BoT-SORT's appearance re-identification embedding. At the default appearance threshold, BoT-SORT with a dedicated YOLO26s-ReID encoder produced identical track IDs to the generic-classifier fallback on 100% of boxes — the effective embedding distance rarely exceeded the rejection threshold. Raising the appearance threshold to 0.8, so the encoder must genuinely recognise the vehicle, was marginally worse (54 raw IDs vs. 48). Disabling ReID entirely but loosening the IoU association gate (`botsort_noreid_loose`) recovered almost all of the apparent "ReID" gain (0.849 vs. 0.852 final IDF1, same 3 ID switches) at lower computational cost. The conclusion is that, at current settings and on this clip, ReID appearance matching contributes no measurable identity-preservation benefit over a loosened IoU gate — the gain attributed to "ReID" was actually the looser association threshold. This clip has no long occlusions or sudden camera moves, the cases ReID is intended for, so the result is reported as a finding on this ground truth rather than a general claim; re-evaluation on a camera-motion ground-truth clip is planned.</w:t>
      </w:r>
    </w:p>
    <w:p>
      <w:pPr>
        <w:keepNext/>
        <w:spacing w:after="60" w:before="110"/>
      </w:pPr>
      <w:r>
        <w:rPr>
          <w:rFonts w:ascii="Times New Roman" w:cs="Times New Roman" w:eastAsia="Times New Roman" w:hAnsi="Times New Roman"/>
          <w:b/>
          <w:bCs/>
          <w:i/>
          <w:iCs/>
          <w:sz w:val="20"/>
          <w:szCs w:val="20"/>
        </w:rPr>
        <w:t xml:space="preserve">E. Detector Input Resolution Ablation</w:t>
      </w:r>
    </w:p>
    <w:p>
      <w:pPr>
        <w:spacing w:after="90" w:line="238"/>
        <w:ind w:firstLine="260"/>
        <w:jc w:val="both"/>
      </w:pPr>
      <w:r>
        <w:rPr>
          <w:rFonts w:ascii="Times New Roman" w:cs="Times New Roman" w:eastAsia="Times New Roman" w:hAnsi="Times New Roman"/>
          <w:sz w:val="20"/>
          <w:szCs w:val="20"/>
        </w:rPr>
        <w:t xml:space="preserve">Increasing detector input size from 640 to 1280 or 1920 degraded both detection precision and tracking accuracy on the CARLA ground-truth clip (final IDF1 0.852 → 0.802 → 0.716; final MOTA 0.806 → 0.702 → 0.519), the opposite of the effect observed on real 720p roundabout footage, where 640 → 1280 recovered ≈ 16% more real vehicle boxes. Ground-truth vehicles in the CARLA clip are large (median box width 110–230 px at 1080p); upscaling pushes them outside the small-object size range the VisDrone-trained model saw, increasing both missed and duplicated detections. The optimal input resolution is therefore altitude- and footage-dependent rather than universal, and 640 is retained for this CARLA altitude.</w:t>
      </w:r>
    </w:p>
    <w:p>
      <w:pPr>
        <w:keepNext/>
        <w:spacing w:after="60" w:before="110"/>
      </w:pPr>
      <w:r>
        <w:rPr>
          <w:rFonts w:ascii="Times New Roman" w:cs="Times New Roman" w:eastAsia="Times New Roman" w:hAnsi="Times New Roman"/>
          <w:b/>
          <w:bCs/>
          <w:i/>
          <w:iCs/>
          <w:sz w:val="20"/>
          <w:szCs w:val="20"/>
        </w:rPr>
        <w:t xml:space="preserve">F. Gap Filling and HOTA</w:t>
      </w:r>
    </w:p>
    <w:p>
      <w:pPr>
        <w:spacing w:after="90" w:line="238"/>
        <w:ind w:firstLine="260"/>
        <w:jc w:val="both"/>
      </w:pPr>
      <w:r>
        <w:rPr>
          <w:rFonts w:ascii="Times New Roman" w:cs="Times New Roman" w:eastAsia="Times New Roman" w:hAnsi="Times New Roman"/>
          <w:sz w:val="20"/>
          <w:szCs w:val="20"/>
        </w:rPr>
        <w:t xml:space="preserve">Linear gap-filling of interior track breaks up to 1 s raised final-stage MOTA from 0.806 to 0.829 and recall from 0.879 to 0.902 for the adopted BoT-SORT configuration, and from 0.801 to 0.817 MOTA for TrackTrack, with precision essentially unchanged — confirming the interpolated boxes are correctly placed rather than merely inflating recall. With gap filling included, the two leading configurations converge to within 0.001 HOTA (BoT-SORT 0.630, TrackTrack 0.631; Table III), so the final choice between them is not yet settled and is deferred to evaluation on a camera-motion ground-truth clip.</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60"/>
        <w:gridCol w:w="583"/>
        <w:gridCol w:w="583"/>
        <w:gridCol w:w="680"/>
        <w:gridCol w:w="583"/>
        <w:gridCol w:w="534"/>
        <w:gridCol w:w="534"/>
      </w:tblGrid>
      <w:tr>
        <w:trPr>
          <w:tblHeader/>
        </w:trPr>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Config</w:t>
            </w:r>
          </w:p>
        </w:tc>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HOTA</w:t>
            </w:r>
          </w:p>
        </w:tc>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IDF1</w:t>
            </w:r>
          </w:p>
        </w:tc>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MOTA</w:t>
            </w:r>
          </w:p>
        </w:tc>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 sw.</w:t>
            </w:r>
          </w:p>
        </w:tc>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FP trk.</w:t>
            </w:r>
          </w:p>
        </w:tc>
        <w:tc>
          <w:tcPr>
            <w:tcW w:type="dxa" w:w="13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IDs (GT 40)</w:t>
            </w:r>
          </w:p>
        </w:tc>
      </w:tr>
      <w:tr>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botsort (current)</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0.630</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0.859</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0.829</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41</w:t>
            </w:r>
          </w:p>
        </w:tc>
      </w:tr>
      <w:tr>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tracktrack_ours</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0.631</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0.874</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0.817</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w:t>
            </w:r>
          </w:p>
        </w:tc>
        <w:tc>
          <w:tcPr>
            <w:tcW w:type="dxa" w:w="13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39</w:t>
            </w:r>
          </w:p>
        </w:tc>
      </w:tr>
    </w:tbl>
    <w:p>
      <w:pPr>
        <w:spacing w:after="100" w:before="40"/>
        <w:jc w:val="center"/>
      </w:pPr>
      <w:r>
        <w:rPr>
          <w:rFonts w:ascii="Times New Roman" w:cs="Times New Roman" w:eastAsia="Times New Roman" w:hAnsi="Times New Roman"/>
          <w:b w:val="false"/>
          <w:bCs w:val="false"/>
          <w:sz w:val="18"/>
          <w:szCs w:val="18"/>
        </w:rPr>
        <w:t xml:space="preserve">TABLE III. FULL REGRESSION, FINAL STAGE WITH GAP FILLING (CARLA GT)</w:t>
      </w:r>
    </w:p>
    <w:p>
      <w:pPr>
        <w:sectPr>
          <w:type w:val="continuous"/>
          <w:pgSz w:w="12240" w:h="15840" w:orient="portrait"/>
          <w:pgMar w:top="1080" w:right="1080" w:bottom="1080" w:left="1080" w:header="708" w:footer="708" w:gutter="0"/>
          <w:pgNumType/>
          <w:cols w:space="360" w:num="1"/>
          <w:docGrid w:linePitch="360"/>
        </w:sectPr>
      </w:pPr>
    </w:p>
    <w:p>
      <w:pPr>
        <w:keepNext/>
        <w:spacing w:after="60" w:before="110"/>
      </w:pPr>
      <w:r>
        <w:rPr>
          <w:rFonts w:ascii="Times New Roman" w:cs="Times New Roman" w:eastAsia="Times New Roman" w:hAnsi="Times New Roman"/>
          <w:b/>
          <w:bCs/>
          <w:i/>
          <w:iCs/>
          <w:sz w:val="20"/>
          <w:szCs w:val="20"/>
        </w:rPr>
        <w:t xml:space="preserve">G. Road Surface Anomaly Detection Baseline</w:t>
      </w:r>
    </w:p>
    <w:p>
      <w:pPr>
        <w:spacing w:after="90" w:line="238"/>
        <w:ind w:firstLine="260"/>
        <w:jc w:val="both"/>
      </w:pPr>
      <w:r>
        <w:rPr>
          <w:rFonts w:ascii="Times New Roman" w:cs="Times New Roman" w:eastAsia="Times New Roman" w:hAnsi="Times New Roman"/>
          <w:sz w:val="20"/>
          <w:szCs w:val="20"/>
        </w:rPr>
        <w:t xml:space="preserve">The stock YOLO26l-seg baseline, fine-tuned on the pothole class of PothRGBD for 71 epochs (early stop, best checkpoint at epoch 51), reaches box precision 0.936 / recall 0.838 / mAP50 0.923 and mask precision 0.956 / recall 0.856 / mAP50 0.927 (Table IV), comfortably clearing the project's F1 ≥ 0.65 success criterion for the pothole class. The planned DSConv + SimAM + GELU architecture modification, targeting further gains and aerial-viewpoint robustness, has not yet been spliced into the backbone — the model-surgery script itself remains to be written — so crack, waterlogging, and debris classes are untrained and this baseline should be read as a starting point, not a final result.</w:t>
      </w:r>
    </w:p>
    <w:p>
      <w:pPr>
        <w:sectPr>
          <w:type w:val="continuous"/>
          <w:pgSz w:w="12240" w:h="15840" w:orient="portrait"/>
          <w:pgMar w:top="1080" w:right="1080" w:bottom="1080" w:left="1080" w:header="708" w:footer="708" w:gutter="0"/>
          <w:pgNumType/>
          <w:cols w:space="360" w:num="2"/>
          <w:docGrid w:linePitch="360"/>
        </w:sectPr>
      </w:pP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430"/>
        <w:gridCol w:w="1215"/>
        <w:gridCol w:w="1215"/>
      </w:tblGrid>
      <w:tr>
        <w:trPr>
          <w:tblHeader/>
        </w:trPr>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Metric</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Box</w:t>
            </w:r>
          </w:p>
        </w:tc>
        <w:tc>
          <w:tcPr>
            <w:tcW w:type="dxa" w:w="24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5"/>
                <w:szCs w:val="15"/>
              </w:rPr>
              <w:t xml:space="preserve">Mask</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Precision</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0.936</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0.956</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Recall</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0.838</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0.856</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mAP50</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0.923</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0.927</w:t>
            </w:r>
          </w:p>
        </w:tc>
      </w:tr>
      <w:tr>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mAP50-95</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0.605</w:t>
            </w:r>
          </w:p>
        </w:tc>
        <w:tc>
          <w:tcPr>
            <w:tcW w:type="dxa" w:w="243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5"/>
                <w:szCs w:val="15"/>
              </w:rPr>
              <w:t xml:space="preserve">0.635</w:t>
            </w:r>
          </w:p>
        </w:tc>
      </w:tr>
    </w:tbl>
    <w:p>
      <w:pPr>
        <w:spacing w:after="100" w:before="40"/>
        <w:jc w:val="center"/>
      </w:pPr>
      <w:r>
        <w:rPr>
          <w:rFonts w:ascii="Times New Roman" w:cs="Times New Roman" w:eastAsia="Times New Roman" w:hAnsi="Times New Roman"/>
          <w:b w:val="false"/>
          <w:bCs w:val="false"/>
          <w:sz w:val="18"/>
          <w:szCs w:val="18"/>
        </w:rPr>
        <w:t xml:space="preserve">TABLE IV. POTHOLE SEGMENTATION BASELINE (YOLO26l-seg, PothRGBD)</w:t>
      </w:r>
    </w:p>
    <w:p>
      <w:pPr>
        <w:sectPr>
          <w:type w:val="continuous"/>
          <w:pgSz w:w="12240" w:h="15840" w:orient="portrait"/>
          <w:pgMar w:top="1080" w:right="1080" w:bottom="1080" w:left="1080" w:header="708" w:footer="708" w:gutter="0"/>
          <w:pgNumType/>
          <w:cols w:space="360" w:num="1"/>
          <w:docGrid w:linePitch="360"/>
        </w:sectPr>
      </w:pPr>
    </w:p>
    <w:p>
      <w:pPr>
        <w:keepNext/>
        <w:spacing w:after="60" w:before="110"/>
      </w:pPr>
      <w:r>
        <w:rPr>
          <w:rFonts w:ascii="Times New Roman" w:cs="Times New Roman" w:eastAsia="Times New Roman" w:hAnsi="Times New Roman"/>
          <w:b/>
          <w:bCs/>
          <w:i/>
          <w:iCs/>
          <w:sz w:val="20"/>
          <w:szCs w:val="20"/>
        </w:rPr>
        <w:t xml:space="preserve">H. Real-Footage Validation and the CARLA Domain-Gap Correction</w:t>
      </w:r>
    </w:p>
    <w:p>
      <w:pPr>
        <w:spacing w:after="90" w:line="238"/>
        <w:ind w:firstLine="260"/>
        <w:jc w:val="both"/>
      </w:pPr>
      <w:r>
        <w:rPr>
          <w:rFonts w:ascii="Times New Roman" w:cs="Times New Roman" w:eastAsia="Times New Roman" w:hAnsi="Times New Roman"/>
          <w:sz w:val="20"/>
          <w:szCs w:val="20"/>
        </w:rPr>
        <w:t xml:space="preserve">An early CARLA capture appeared to show a severe detector domain gap: only 18 trajectory rows were recorded across a 128-frame flight, with no track surviving more than 3 consecutive frames. Loosening ByteTrack's association thresholds and lowering the detection confidence gate were tried and had exactly zero effect, which was initially read as further evidence of a domain gap. Visual inspection of the raw frames then showed the actual cause: the autonomous waypoint generator had routed the drone over Town10HD's beach and promenade terrain for a large fraction of the flight, where no road or vehicle was ever in view — not a detection or tracking failure at all. A subsequent attempt to fix the waypoint heuristic by anchoring to the spawn point with the most nearby vehicles also failed (zero detections across 183 re-captured frames), because spawn-point density does not correlate with proximity to an actual trafficked road on this map. The project switched to manually flown, recorded captures, which resolved the issue and produced the ground-truth clip used throughout Section VI. This sequence — an initial misdiagnosis, two ineffective tuning attempts, and a visual-inspection correction — is reported here because it directly motivated the project's current practice of visually spot-checking annotated output before trusting any aggregate metric.</w:t>
      </w:r>
    </w:p>
    <w:p>
      <w:pPr>
        <w:keepNext/>
        <w:spacing w:after="60" w:before="110"/>
      </w:pPr>
      <w:r>
        <w:rPr>
          <w:rFonts w:ascii="Times New Roman" w:cs="Times New Roman" w:eastAsia="Times New Roman" w:hAnsi="Times New Roman"/>
          <w:b/>
          <w:bCs/>
          <w:i/>
          <w:iCs/>
          <w:sz w:val="20"/>
          <w:szCs w:val="20"/>
        </w:rPr>
        <w:t xml:space="preserve">I. Limitations</w:t>
      </w:r>
    </w:p>
    <w:p>
      <w:pPr>
        <w:spacing w:after="60" w:line="238"/>
        <w:ind w:left="260" w:hanging="220"/>
        <w:jc w:val="both"/>
      </w:pPr>
      <w:r>
        <w:rPr>
          <w:rFonts w:ascii="Times New Roman" w:cs="Times New Roman" w:eastAsia="Times New Roman" w:hAnsi="Times New Roman"/>
          <w:sz w:val="20"/>
          <w:szCs w:val="20"/>
        </w:rPr>
        <w:t xml:space="preserve">•  The four-class detector retrain, expected to close most of the 0.585→0.75 mAP50 gap, has not yet been executed.</w:t>
      </w:r>
    </w:p>
    <w:p>
      <w:pPr>
        <w:spacing w:after="60" w:line="238"/>
        <w:ind w:left="260" w:hanging="220"/>
        <w:jc w:val="both"/>
      </w:pPr>
      <w:r>
        <w:rPr>
          <w:rFonts w:ascii="Times New Roman" w:cs="Times New Roman" w:eastAsia="Times New Roman" w:hAnsi="Times New Roman"/>
          <w:sz w:val="20"/>
          <w:szCs w:val="20"/>
        </w:rPr>
        <w:t xml:space="preserve">•  All tracking ablations in this paper use a single CARLA ground-truth clip with large, unoccluded vehicles and no sudden camera motion; a second ground-truth clip covering camera-motion and occlusion cases is planned before the ReID and tracker-choice conclusions are treated as final.</w:t>
      </w:r>
    </w:p>
    <w:p>
      <w:pPr>
        <w:spacing w:after="60" w:line="238"/>
        <w:ind w:left="260" w:hanging="220"/>
        <w:jc w:val="both"/>
      </w:pPr>
      <w:r>
        <w:rPr>
          <w:rFonts w:ascii="Times New Roman" w:cs="Times New Roman" w:eastAsia="Times New Roman" w:hAnsi="Times New Roman"/>
          <w:sz w:val="20"/>
          <w:szCs w:val="20"/>
        </w:rPr>
        <w:t xml:space="preserve">•  The ByteTrack-vs-BoT-SORT adoption decision (Section III-B) was made from aggregate ID counts and a team visual spot-check before the ground-truth harness existed; raw ID-count reduction cannot by itself rule out wrongful track merges, only a confirmed ground-truth clip can, and that check has since been run only on the CARLA clip reported here, not on real footage.</w:t>
      </w:r>
    </w:p>
    <w:p>
      <w:pPr>
        <w:spacing w:after="60" w:line="238"/>
        <w:ind w:left="260" w:hanging="220"/>
        <w:jc w:val="both"/>
      </w:pPr>
      <w:r>
        <w:rPr>
          <w:rFonts w:ascii="Times New Roman" w:cs="Times New Roman" w:eastAsia="Times New Roman" w:hAnsi="Times New Roman"/>
          <w:sz w:val="20"/>
          <w:szCs w:val="20"/>
        </w:rPr>
        <w:t xml:space="preserve">•  Violation-rule logic (no-parking, wrong-way, speeding), the digital twin, the backend infrastructure, the urban-planning engine, and the automated-reporting layer are all designed but not yet implemented, so no end-to-end system evaluation is possible at this stage.</w:t>
      </w:r>
    </w:p>
    <w:p>
      <w:pPr>
        <w:spacing w:after="60" w:line="238"/>
        <w:ind w:left="260" w:hanging="220"/>
        <w:jc w:val="both"/>
      </w:pPr>
      <w:r>
        <w:rPr>
          <w:rFonts w:ascii="Times New Roman" w:cs="Times New Roman" w:eastAsia="Times New Roman" w:hAnsi="Times New Roman"/>
          <w:sz w:val="20"/>
          <w:szCs w:val="20"/>
        </w:rPr>
        <w:t xml:space="preserve">•  The pothole segmentation baseline covers only one of four target anomaly classes (potholes); crack, waterlogging, and debris classes, and the aerial-domain architecture modification, remain future work.</w:t>
      </w:r>
    </w:p>
    <w:p>
      <w:pPr>
        <w:keepNext/>
        <w:spacing w:after="90" w:before="160"/>
        <w:jc w:val="center"/>
      </w:pPr>
      <w:r>
        <w:rPr>
          <w:rFonts w:ascii="Times New Roman" w:cs="Times New Roman" w:eastAsia="Times New Roman" w:hAnsi="Times New Roman"/>
          <w:b/>
          <w:bCs/>
          <w:sz w:val="21"/>
          <w:szCs w:val="21"/>
        </w:rPr>
        <w:t xml:space="preserve">VII. CONCLUSION AND FUTURE WORK</w:t>
      </w:r>
    </w:p>
    <w:p>
      <w:pPr>
        <w:spacing w:after="90" w:line="238"/>
        <w:ind w:firstLine="260"/>
        <w:jc w:val="both"/>
      </w:pPr>
      <w:r>
        <w:rPr>
          <w:rFonts w:ascii="Times New Roman" w:cs="Times New Roman" w:eastAsia="Times New Roman" w:hAnsi="Times New Roman"/>
          <w:sz w:val="20"/>
          <w:szCs w:val="20"/>
        </w:rPr>
        <w:t xml:space="preserve">This paper reported the implementation and measured performance of the vehicle-detection, multi-object-tracking, and road-surface pothole-segmentation pipelines of an autonomous aerial surveillance framework, validated through a CARLA-based simulation and hand-verified ground-truth harness. The fine-tuned YOLO26l detector reaches a scope-adjusted mAP50 of 0.585 against a 0.75 target, with the shortfall traced to fixable training-configuration issues rather than model capacity. A class-agnostic NMS fix removed a duplicate-bounding-box artifact that had been the dominant cause of track fragmentation, and an offline tracklet-stitching and gap-filling pipeline raised tracking MOTA from 0.806 to 0.829 on the ground-truth clip without any retraining. Controlled ablations showed that ReID appearance matching adds no measurable benefit over a loosened association gate at current settings, and that TrackTrack and BoT-SORT are within 0.001 HOTA of each other once gap filling is applied. The pothole segmentation baseline already exceeds its target F1 on the single trained class.</w:t>
      </w:r>
    </w:p>
    <w:p>
      <w:pPr>
        <w:spacing w:after="90" w:line="238"/>
        <w:ind w:firstLine="260"/>
        <w:jc w:val="both"/>
      </w:pPr>
      <w:r>
        <w:rPr>
          <w:rFonts w:ascii="Times New Roman" w:cs="Times New Roman" w:eastAsia="Times New Roman" w:hAnsi="Times New Roman"/>
          <w:sz w:val="20"/>
          <w:szCs w:val="20"/>
        </w:rPr>
        <w:t xml:space="preserve">Future work follows directly from the limitations in Section VI-I: retraining the detector on a filtered four-class dataset run to an actual convergence stop condition; capturing and hand-labelling a second ground-truth clip covering camera motion and occlusion, to confirm or revise the ReID and tracker-choice findings; hand-labelling a short real-footage ground-truth clip so the ByteTrack-vs-BoT-SORT decision can be scored rather than eyeballed; implementing the violation-rule engine (no-parking, wrong-way, speeding, and the seven remaining PRD violation types) on top of the now-stitched trajectory data; writing the model-surgery script to splice DSConv, SimAM, and a GELU activation into YOLO26l-seg and extending training to the crack, waterlogging, and debris classes; and building the digital twin, backend infrastructure, urban-planning engine, and automated-reporting layer that the perception pipelines reported here are designed to feed.</w:t>
      </w:r>
    </w:p>
    <w:p>
      <w:pPr>
        <w:keepNext/>
        <w:spacing w:after="90" w:before="160"/>
        <w:jc w:val="center"/>
      </w:pPr>
      <w:r>
        <w:rPr>
          <w:rFonts w:ascii="Times New Roman" w:cs="Times New Roman" w:eastAsia="Times New Roman" w:hAnsi="Times New Roman"/>
          <w:b/>
          <w:bCs/>
          <w:sz w:val="21"/>
          <w:szCs w:val="21"/>
        </w:rPr>
        <w:t xml:space="preserve">REFERENCES</w:t>
      </w:r>
    </w:p>
    <w:p>
      <w:pPr>
        <w:spacing w:after="36" w:line="216"/>
        <w:ind w:left="200" w:hanging="200"/>
        <w:jc w:val="both"/>
      </w:pPr>
      <w:r>
        <w:rPr>
          <w:rFonts w:ascii="Times New Roman" w:cs="Times New Roman" w:eastAsia="Times New Roman" w:hAnsi="Times New Roman"/>
          <w:sz w:val="18"/>
          <w:szCs w:val="18"/>
        </w:rPr>
        <w:t xml:space="preserve">[1] G. Jocher et al., “Ultralytics YOLO,” Ultralytics, 2024. [Online software].</w:t>
      </w:r>
    </w:p>
    <w:p>
      <w:pPr>
        <w:spacing w:after="36" w:line="216"/>
        <w:ind w:left="200" w:hanging="200"/>
        <w:jc w:val="both"/>
      </w:pPr>
      <w:r>
        <w:rPr>
          <w:rFonts w:ascii="Times New Roman" w:cs="Times New Roman" w:eastAsia="Times New Roman" w:hAnsi="Times New Roman"/>
          <w:sz w:val="18"/>
          <w:szCs w:val="18"/>
        </w:rPr>
        <w:t xml:space="preserve">[2] Y. Zhang, P. Sun, Y. Jiang, D. Yu, F. Weng, Z. Yuan, P. Luo, W. Liu, and X. Wang, “ByteTrack: Multi-Object Tracking by Associating Every Detection Box,” in Proc. European Conf. on Computer Vision (ECCV), 2022.</w:t>
      </w:r>
    </w:p>
    <w:p>
      <w:pPr>
        <w:spacing w:after="36" w:line="216"/>
        <w:ind w:left="200" w:hanging="200"/>
        <w:jc w:val="both"/>
      </w:pPr>
      <w:r>
        <w:rPr>
          <w:rFonts w:ascii="Times New Roman" w:cs="Times New Roman" w:eastAsia="Times New Roman" w:hAnsi="Times New Roman"/>
          <w:sz w:val="18"/>
          <w:szCs w:val="18"/>
        </w:rPr>
        <w:t xml:space="preserve">[3] N. Aharon, R. Orfaig, and B.-Z. Bobrovsky, “BoT-SORT: Robust Associations Multi-Pedestrian Tracking,” arXiv:2206.14651, 2022.</w:t>
      </w:r>
    </w:p>
    <w:p>
      <w:pPr>
        <w:spacing w:after="36" w:line="216"/>
        <w:ind w:left="200" w:hanging="200"/>
        <w:jc w:val="both"/>
      </w:pPr>
      <w:r>
        <w:rPr>
          <w:rFonts w:ascii="Times New Roman" w:cs="Times New Roman" w:eastAsia="Times New Roman" w:hAnsi="Times New Roman"/>
          <w:sz w:val="18"/>
          <w:szCs w:val="18"/>
        </w:rPr>
        <w:t xml:space="preserve">[4] K. Bernardin and R. Stiefelhagen, “Evaluating Multiple Object Tracking Performance: The CLEAR MOT Metrics,” EURASIP J. Image and Video Processing, 2008.</w:t>
      </w:r>
    </w:p>
    <w:p>
      <w:pPr>
        <w:spacing w:after="36" w:line="216"/>
        <w:ind w:left="200" w:hanging="200"/>
        <w:jc w:val="both"/>
      </w:pPr>
      <w:r>
        <w:rPr>
          <w:rFonts w:ascii="Times New Roman" w:cs="Times New Roman" w:eastAsia="Times New Roman" w:hAnsi="Times New Roman"/>
          <w:sz w:val="18"/>
          <w:szCs w:val="18"/>
        </w:rPr>
        <w:t xml:space="preserve">[5] E. Ristani, F. Solera, R. Zou, R. Cucchiara, and C. Tomasi, “Performance Measures and a Data Set for Multi-Target, Multi-Camera Tracking,” in Proc. ECCV Workshops, 2016.</w:t>
      </w:r>
    </w:p>
    <w:p>
      <w:pPr>
        <w:spacing w:after="36" w:line="216"/>
        <w:ind w:left="200" w:hanging="200"/>
        <w:jc w:val="both"/>
      </w:pPr>
      <w:r>
        <w:rPr>
          <w:rFonts w:ascii="Times New Roman" w:cs="Times New Roman" w:eastAsia="Times New Roman" w:hAnsi="Times New Roman"/>
          <w:sz w:val="18"/>
          <w:szCs w:val="18"/>
        </w:rPr>
        <w:t xml:space="preserve">[6] J. Luiten, A. Osep, P. Dendorfer, P. Torr, A. Geiger, L. Leal-Taixé, and B. Leibe, “HOTA: A Higher Order Metric for Evaluating Multi-Object Tracking,” Int. J. Computer Vision, vol. 129, pp. 548–578, 2021.</w:t>
      </w:r>
    </w:p>
    <w:p>
      <w:pPr>
        <w:spacing w:after="36" w:line="216"/>
        <w:ind w:left="200" w:hanging="200"/>
        <w:jc w:val="both"/>
      </w:pPr>
      <w:r>
        <w:rPr>
          <w:rFonts w:ascii="Times New Roman" w:cs="Times New Roman" w:eastAsia="Times New Roman" w:hAnsi="Times New Roman"/>
          <w:sz w:val="18"/>
          <w:szCs w:val="18"/>
        </w:rPr>
        <w:t xml:space="preserve">[7] A. Dosovitskiy, G. Ros, F. Codevilla, A. Lopez, and V. Koltun, “CARLA: An Open Urban Driving Simulator,” in Proc. Conf. on Robot Learning (CoRL), 2017.</w:t>
      </w:r>
    </w:p>
    <w:p>
      <w:pPr>
        <w:spacing w:after="36" w:line="216"/>
        <w:ind w:left="200" w:hanging="200"/>
        <w:jc w:val="both"/>
      </w:pPr>
      <w:r>
        <w:rPr>
          <w:rFonts w:ascii="Times New Roman" w:cs="Times New Roman" w:eastAsia="Times New Roman" w:hAnsi="Times New Roman"/>
          <w:sz w:val="18"/>
          <w:szCs w:val="18"/>
        </w:rPr>
        <w:t xml:space="preserve">[8] P. Zhu, L. Wen, D. Du, X. Bian, H. Fan, Q. Hu, and H. Ling, “Detection and Tracking Meet Drones Challenge,” IEEE Trans. Pattern Analysis and Machine Intelligence, vol. 44, no. 11, pp. 7380–7399, 2022.</w:t>
      </w:r>
    </w:p>
    <w:p>
      <w:pPr>
        <w:spacing w:after="36" w:line="216"/>
        <w:ind w:left="200" w:hanging="200"/>
        <w:jc w:val="both"/>
      </w:pPr>
      <w:r>
        <w:rPr>
          <w:rFonts w:ascii="Times New Roman" w:cs="Times New Roman" w:eastAsia="Times New Roman" w:hAnsi="Times New Roman"/>
          <w:sz w:val="18"/>
          <w:szCs w:val="18"/>
        </w:rPr>
        <w:t xml:space="preserve">[9] Author(s), “Lightweight Pavement Distress Segmentation via DSConv, SimAM, and GELU-Augmented YOLOv8,” arXiv:2505.04207, 2025.</w:t>
      </w:r>
    </w:p>
    <w:p>
      <w:pPr>
        <w:spacing w:after="36" w:line="216"/>
        <w:ind w:left="200" w:hanging="200"/>
        <w:jc w:val="both"/>
      </w:pPr>
      <w:r>
        <w:rPr>
          <w:rFonts w:ascii="Times New Roman" w:cs="Times New Roman" w:eastAsia="Times New Roman" w:hAnsi="Times New Roman"/>
          <w:sz w:val="18"/>
          <w:szCs w:val="18"/>
        </w:rPr>
        <w:t xml:space="preserve">[10] M. Ester, H.-P. Kriegel, J. Sander, and X. Xu, “A Density-Based Algorithm for Discovering Clusters in Large Spatial Databases with Noise,” in Proc. KDD, 1996.</w:t>
      </w:r>
    </w:p>
    <w:sectPr>
      <w:type w:val="continuous"/>
      <w:pgSz w:w="12240" w:h="15840" w:orient="portrait"/>
      <w:pgMar w:top="1080" w:right="1080" w:bottom="1080" w:left="1080" w:header="708" w:footer="708"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2026-09-30T16:10:52.872Z</dcterms:created>
  <dcterms:modified xsi:type="dcterms:W3CDTF">2026-09-30T16:10:52.872Z</dcterms:modified>
</cp:coreProperties>
</file>

<file path=docProps/custom.xml><?xml version="1.0" encoding="utf-8"?>
<Properties xmlns="http://schemas.openxmlformats.org/officeDocument/2006/custom-properties" xmlns:vt="http://schemas.openxmlformats.org/officeDocument/2006/docPropsVTypes"/>
</file>