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0"/>
          <w:szCs w:val="30"/>
        </w:rPr>
        <w:t xml:space="preserve">Vehicle Detection, Multi-Object Tracking, and Road Surface Anomaly Detection for an Autonomous Aerial Surveillance Framework: Implementation and Evaluation</w:t>
      </w:r>
    </w:p>
    <w:tbl>
      <w:tblPr>
        <w:tblW w:type="dxa" w:w="10080"/>
        <w:tblBorders>
          <w:top w:val="none"/>
          <w:left w:val="none"/>
          <w:bottom w:val="none"/>
          <w:right w:val="none"/>
          <w:insideH w:val="none"/>
          <w:insideV w:val="none"/>
        </w:tblBorders>
      </w:tblPr>
      <w:tblGrid>
        <w:gridCol w:w="2520"/>
        <w:gridCol w:w="2520"/>
        <w:gridCol w:w="2520"/>
        <w:gridCol w:w="2520"/>
      </w:tblGrid>
      <w:tr>
        <w:tc>
          <w:tcPr>
            <w:tcW w:type="dxa" w:w="2520"/>
            <w:tcBorders>
              <w:top w:val="none"/>
              <w:left w:val="none"/>
              <w:bottom w:val="none"/>
              <w:right w:val="none"/>
            </w:tcBorders>
          </w:tcPr>
          <w:p>
            <w:pPr>
              <w:spacing w:after="0"/>
              <w:jc w:val="center"/>
            </w:pPr>
            <w:r>
              <w:rPr>
                <w:rFonts w:ascii="Times New Roman" w:cs="Times New Roman" w:eastAsia="Times New Roman" w:hAnsi="Times New Roman"/>
                <w:sz w:val="18"/>
                <w:szCs w:val="18"/>
              </w:rPr>
              <w:t xml:space="preserve">Afif Showfeer</w:t>
            </w:r>
          </w:p>
          <w:p>
            <w:pPr>
              <w:spacing w:after="0"/>
              <w:jc w:val="center"/>
            </w:pPr>
            <w:r>
              <w:rPr>
                <w:rFonts w:ascii="Times New Roman" w:cs="Times New Roman" w:eastAsia="Times New Roman" w:hAnsi="Times New Roman"/>
                <w:i/>
                <w:iCs/>
                <w:sz w:val="16"/>
                <w:szCs w:val="16"/>
              </w:rPr>
              <w:t xml:space="preserve">Dept. of CSE, MBCET</w:t>
            </w:r>
          </w:p>
          <w:p>
            <w:pPr>
              <w:spacing w:after="0"/>
              <w:jc w:val="center"/>
            </w:pPr>
            <w:r>
              <w:rPr>
                <w:rFonts w:ascii="Times New Roman" w:cs="Times New Roman" w:eastAsia="Times New Roman" w:hAnsi="Times New Roman"/>
                <w:i/>
                <w:iCs/>
                <w:sz w:val="16"/>
                <w:szCs w:val="16"/>
              </w:rPr>
              <w:t xml:space="preserve">Thiruvananthapuram, India</w:t>
            </w:r>
          </w:p>
          <w:p>
            <w:pPr>
              <w:spacing w:after="120"/>
              <w:jc w:val="center"/>
            </w:pPr>
            <w:r>
              <w:rPr>
                <w:rFonts w:ascii="Times New Roman" w:cs="Times New Roman" w:eastAsia="Times New Roman" w:hAnsi="Times New Roman"/>
                <w:i/>
                <w:iCs/>
                <w:sz w:val="16"/>
                <w:szCs w:val="16"/>
              </w:rPr>
              <w:t xml:space="preserve">afifshowfeer123@gmail.com</w:t>
            </w:r>
          </w:p>
        </w:tc>
        <w:tc>
          <w:tcPr>
            <w:tcW w:type="dxa" w:w="2520"/>
            <w:tcBorders>
              <w:top w:val="none"/>
              <w:left w:val="none"/>
              <w:bottom w:val="none"/>
              <w:right w:val="none"/>
            </w:tcBorders>
          </w:tcPr>
          <w:p>
            <w:pPr>
              <w:spacing w:after="0"/>
              <w:jc w:val="center"/>
            </w:pPr>
            <w:r>
              <w:rPr>
                <w:rFonts w:ascii="Times New Roman" w:cs="Times New Roman" w:eastAsia="Times New Roman" w:hAnsi="Times New Roman"/>
                <w:sz w:val="18"/>
                <w:szCs w:val="18"/>
              </w:rPr>
              <w:t xml:space="preserve">Agnivesh P S</w:t>
            </w:r>
          </w:p>
          <w:p>
            <w:pPr>
              <w:spacing w:after="0"/>
              <w:jc w:val="center"/>
            </w:pPr>
            <w:r>
              <w:rPr>
                <w:rFonts w:ascii="Times New Roman" w:cs="Times New Roman" w:eastAsia="Times New Roman" w:hAnsi="Times New Roman"/>
                <w:i/>
                <w:iCs/>
                <w:sz w:val="16"/>
                <w:szCs w:val="16"/>
              </w:rPr>
              <w:t xml:space="preserve">Dept. of CSE, MBCET</w:t>
            </w:r>
          </w:p>
          <w:p>
            <w:pPr>
              <w:spacing w:after="0"/>
              <w:jc w:val="center"/>
            </w:pPr>
            <w:r>
              <w:rPr>
                <w:rFonts w:ascii="Times New Roman" w:cs="Times New Roman" w:eastAsia="Times New Roman" w:hAnsi="Times New Roman"/>
                <w:i/>
                <w:iCs/>
                <w:sz w:val="16"/>
                <w:szCs w:val="16"/>
              </w:rPr>
              <w:t xml:space="preserve">Thiruvananthapuram, India</w:t>
            </w:r>
          </w:p>
          <w:p>
            <w:pPr>
              <w:spacing w:after="120"/>
              <w:jc w:val="center"/>
            </w:pPr>
            <w:r>
              <w:rPr>
                <w:rFonts w:ascii="Times New Roman" w:cs="Times New Roman" w:eastAsia="Times New Roman" w:hAnsi="Times New Roman"/>
                <w:i/>
                <w:iCs/>
                <w:sz w:val="16"/>
                <w:szCs w:val="16"/>
              </w:rPr>
              <w:t xml:space="preserve">agniveshpriyadarsanan@gmail.com</w:t>
            </w:r>
          </w:p>
        </w:tc>
        <w:tc>
          <w:tcPr>
            <w:tcW w:type="dxa" w:w="2520"/>
            <w:tcBorders>
              <w:top w:val="none"/>
              <w:left w:val="none"/>
              <w:bottom w:val="none"/>
              <w:right w:val="none"/>
            </w:tcBorders>
          </w:tcPr>
          <w:p>
            <w:pPr>
              <w:spacing w:after="0"/>
              <w:jc w:val="center"/>
            </w:pPr>
            <w:r>
              <w:rPr>
                <w:rFonts w:ascii="Times New Roman" w:cs="Times New Roman" w:eastAsia="Times New Roman" w:hAnsi="Times New Roman"/>
                <w:sz w:val="18"/>
                <w:szCs w:val="18"/>
              </w:rPr>
              <w:t xml:space="preserve">Hussain Salim</w:t>
            </w:r>
          </w:p>
          <w:p>
            <w:pPr>
              <w:spacing w:after="0"/>
              <w:jc w:val="center"/>
            </w:pPr>
            <w:r>
              <w:rPr>
                <w:rFonts w:ascii="Times New Roman" w:cs="Times New Roman" w:eastAsia="Times New Roman" w:hAnsi="Times New Roman"/>
                <w:i/>
                <w:iCs/>
                <w:sz w:val="16"/>
                <w:szCs w:val="16"/>
              </w:rPr>
              <w:t xml:space="preserve">Dept. of CSE, MBCET</w:t>
            </w:r>
          </w:p>
          <w:p>
            <w:pPr>
              <w:spacing w:after="0"/>
              <w:jc w:val="center"/>
            </w:pPr>
            <w:r>
              <w:rPr>
                <w:rFonts w:ascii="Times New Roman" w:cs="Times New Roman" w:eastAsia="Times New Roman" w:hAnsi="Times New Roman"/>
                <w:i/>
                <w:iCs/>
                <w:sz w:val="16"/>
                <w:szCs w:val="16"/>
              </w:rPr>
              <w:t xml:space="preserve">Thiruvananthapuram, India</w:t>
            </w:r>
          </w:p>
          <w:p>
            <w:pPr>
              <w:spacing w:after="120"/>
              <w:jc w:val="center"/>
            </w:pPr>
            <w:r>
              <w:rPr>
                <w:rFonts w:ascii="Times New Roman" w:cs="Times New Roman" w:eastAsia="Times New Roman" w:hAnsi="Times New Roman"/>
                <w:i/>
                <w:iCs/>
                <w:sz w:val="16"/>
                <w:szCs w:val="16"/>
              </w:rPr>
              <w:t xml:space="preserve">hussainsalim123456@gmail.com</w:t>
            </w:r>
          </w:p>
        </w:tc>
        <w:tc>
          <w:tcPr>
            <w:tcW w:type="dxa" w:w="2520"/>
            <w:tcBorders>
              <w:top w:val="none"/>
              <w:left w:val="none"/>
              <w:bottom w:val="none"/>
              <w:right w:val="none"/>
            </w:tcBorders>
          </w:tcPr>
          <w:p>
            <w:pPr>
              <w:spacing w:after="0"/>
              <w:jc w:val="center"/>
            </w:pPr>
            <w:r>
              <w:rPr>
                <w:rFonts w:ascii="Times New Roman" w:cs="Times New Roman" w:eastAsia="Times New Roman" w:hAnsi="Times New Roman"/>
                <w:sz w:val="18"/>
                <w:szCs w:val="18"/>
              </w:rPr>
              <w:t xml:space="preserve">Pranav P</w:t>
            </w:r>
          </w:p>
          <w:p>
            <w:pPr>
              <w:spacing w:after="0"/>
              <w:jc w:val="center"/>
            </w:pPr>
            <w:r>
              <w:rPr>
                <w:rFonts w:ascii="Times New Roman" w:cs="Times New Roman" w:eastAsia="Times New Roman" w:hAnsi="Times New Roman"/>
                <w:i/>
                <w:iCs/>
                <w:sz w:val="16"/>
                <w:szCs w:val="16"/>
              </w:rPr>
              <w:t xml:space="preserve">Dept. of CSE, MBCET</w:t>
            </w:r>
          </w:p>
          <w:p>
            <w:pPr>
              <w:spacing w:after="0"/>
              <w:jc w:val="center"/>
            </w:pPr>
            <w:r>
              <w:rPr>
                <w:rFonts w:ascii="Times New Roman" w:cs="Times New Roman" w:eastAsia="Times New Roman" w:hAnsi="Times New Roman"/>
                <w:i/>
                <w:iCs/>
                <w:sz w:val="16"/>
                <w:szCs w:val="16"/>
              </w:rPr>
              <w:t xml:space="preserve">Thiruvananthapuram, India</w:t>
            </w:r>
          </w:p>
          <w:p>
            <w:pPr>
              <w:spacing w:after="120"/>
              <w:jc w:val="center"/>
            </w:pPr>
            <w:r>
              <w:rPr>
                <w:rFonts w:ascii="Times New Roman" w:cs="Times New Roman" w:eastAsia="Times New Roman" w:hAnsi="Times New Roman"/>
                <w:i/>
                <w:iCs/>
                <w:sz w:val="16"/>
                <w:szCs w:val="16"/>
              </w:rPr>
              <w:t xml:space="preserve">pranavp92075@gmail.com</w:t>
            </w:r>
          </w:p>
        </w:tc>
      </w:tr>
      <w:tr>
        <w:tc>
          <w:tcPr>
            <w:tcW w:type="dxa" w:w="10080"/>
            <w:gridSpan w:val="4"/>
            <w:tcBorders>
              <w:top w:val="none"/>
              <w:left w:val="none"/>
              <w:bottom w:val="none"/>
              <w:right w:val="none"/>
            </w:tcBorders>
          </w:tcPr>
          <w:p>
            <w:pPr>
              <w:spacing w:after="0"/>
              <w:jc w:val="center"/>
            </w:pPr>
            <w:r>
              <w:rPr>
                <w:rFonts w:ascii="Times New Roman" w:cs="Times New Roman" w:eastAsia="Times New Roman" w:hAnsi="Times New Roman"/>
                <w:sz w:val="18"/>
                <w:szCs w:val="18"/>
              </w:rPr>
              <w:t xml:space="preserve">Dr. Jisha John</w:t>
            </w:r>
          </w:p>
          <w:p>
            <w:pPr>
              <w:spacing w:after="0"/>
              <w:jc w:val="center"/>
            </w:pPr>
            <w:r>
              <w:rPr>
                <w:rFonts w:ascii="Times New Roman" w:cs="Times New Roman" w:eastAsia="Times New Roman" w:hAnsi="Times New Roman"/>
                <w:i/>
                <w:iCs/>
                <w:sz w:val="16"/>
                <w:szCs w:val="16"/>
              </w:rPr>
              <w:t xml:space="preserve">Professor, Department of CSE, MBCET Thiruvananthapuram, Keralam, India</w:t>
            </w:r>
          </w:p>
          <w:p>
            <w:pPr>
              <w:spacing w:after="200"/>
              <w:jc w:val="center"/>
            </w:pPr>
            <w:r>
              <w:rPr>
                <w:rFonts w:ascii="Times New Roman" w:cs="Times New Roman" w:eastAsia="Times New Roman" w:hAnsi="Times New Roman"/>
                <w:i/>
                <w:iCs/>
                <w:sz w:val="16"/>
                <w:szCs w:val="16"/>
              </w:rPr>
              <w:t xml:space="preserve">jisha.john@gmail.com</w:t>
            </w:r>
          </w:p>
        </w:tc>
      </w:tr>
    </w:tbl>
    <w:p>
      <w:pPr>
        <w:spacing w:after="75" w:line="212"/>
        <w:ind w:left="260" w:right="260"/>
        <w:jc w:val="both"/>
      </w:pPr>
      <w:r>
        <w:rPr>
          <w:rFonts w:ascii="Times New Roman" w:cs="Times New Roman" w:eastAsia="Times New Roman" w:hAnsi="Times New Roman"/>
          <w:b/>
          <w:bCs/>
          <w:i/>
          <w:iCs/>
          <w:sz w:val="19"/>
          <w:szCs w:val="19"/>
        </w:rPr>
        <w:t xml:space="preserve">Abstract—</w:t>
      </w:r>
      <w:r>
        <w:rPr>
          <w:rFonts w:ascii="Times New Roman" w:cs="Times New Roman" w:eastAsia="Times New Roman" w:hAnsi="Times New Roman"/>
          <w:sz w:val="19"/>
          <w:szCs w:val="19"/>
        </w:rPr>
        <w:t xml:space="preserve">Monitoring urban traffic and road condition from the air requires a perception system that can find vehicles in a video frame, follow each one consistently as it moves, and separately recognise damage on the road surface itself. This paper describes and evaluates such a system. A convolutional object detector locates vehicles in each frame, a motion-based multi-object tracker links these detections into continuous trajectories, and a segmentation model identifies potholes on the road surface. The system is developed and tested using a combination of simulated aerial footage, generated in a driving simulator under a controlled and repeatable camera path, and real drone video. We find that restricting the detector to the vehicle categories actually relevant to traffic monitoring, rather than training on every category in a general-purpose aerial dataset, improves detection accuracy considerably. We also identify and correct a duplicated-detection problem that was fragmenting vehicle identities during tracking, and introduce a lightweight trajectory-repair stage that links broken tracks and fills short gaps without any additional training, raising tracking accuracy on a held-out evaluation set. Through a series of controlled comparisons, we show that appearance-based re-identification gives no measurable improvement over simple motion-based matching under the tested conditions, and that increasing the detector's input resolution helps or hurts depending on the altitude and scale of the footage, rather than helping universally. Independently, the pothole segmentation model exceeds common accuracy targets for this task on a public pavement-defect dataset. Taken together, the results describe a working, quantitatively evaluated aerial perception pipeline, and point to detector retraining and wider ground-truth coverage as the most promising directions for further improving it.</w:t>
      </w:r>
    </w:p>
    <w:p>
      <w:pPr>
        <w:spacing w:after="100" w:line="212"/>
        <w:ind w:left="260" w:right="260"/>
        <w:jc w:val="both"/>
      </w:pPr>
      <w:r>
        <w:rPr>
          <w:rFonts w:ascii="Times New Roman" w:cs="Times New Roman" w:eastAsia="Times New Roman" w:hAnsi="Times New Roman"/>
          <w:b/>
          <w:bCs/>
          <w:i/>
          <w:iCs/>
          <w:sz w:val="19"/>
          <w:szCs w:val="19"/>
        </w:rPr>
        <w:t xml:space="preserve">Index Terms—</w:t>
      </w:r>
      <w:r>
        <w:rPr>
          <w:rFonts w:ascii="Times New Roman" w:cs="Times New Roman" w:eastAsia="Times New Roman" w:hAnsi="Times New Roman"/>
          <w:sz w:val="19"/>
          <w:szCs w:val="19"/>
        </w:rPr>
        <w:t xml:space="preserve">Unmanned aerial vehicles, aerial surveillance, object detection, multi-object tracking, trajectory linking, simulation-based validation, road surface anomaly detection, pothole segmentation, tracking evaluation metrics.</w:t>
      </w:r>
    </w:p>
    <w:p>
      <w:pPr>
        <w:sectPr>
          <w:type w:val="continuous"/>
          <w:pgSz w:w="12240" w:h="15840" w:orient="portrait"/>
          <w:pgMar w:top="1080" w:right="1080" w:bottom="1080" w:left="1080" w:header="708" w:footer="708" w:gutter="0"/>
          <w:pgNumType/>
          <w:cols w:space="360" w:num="1"/>
          <w:docGrid w:linePitch="360"/>
        </w:sectPr>
      </w:pPr>
    </w:p>
    <w:p>
      <w:pPr>
        <w:keepNext/>
        <w:spacing w:after="65" w:before="130"/>
        <w:jc w:val="center"/>
      </w:pPr>
      <w:r>
        <w:rPr>
          <w:rFonts w:ascii="Times New Roman" w:cs="Times New Roman" w:eastAsia="Times New Roman" w:hAnsi="Times New Roman"/>
          <w:b/>
          <w:bCs/>
          <w:sz w:val="21"/>
          <w:szCs w:val="21"/>
        </w:rPr>
        <w:t xml:space="preserve">I. INTRODUCTION</w:t>
      </w:r>
    </w:p>
    <w:p>
      <w:pPr>
        <w:keepNext/>
        <w:spacing w:after="42" w:before="85"/>
      </w:pPr>
      <w:r>
        <w:rPr>
          <w:rFonts w:ascii="Times New Roman" w:cs="Times New Roman" w:eastAsia="Times New Roman" w:hAnsi="Times New Roman"/>
          <w:b/>
          <w:bCs/>
          <w:i/>
          <w:iCs/>
          <w:sz w:val="20"/>
          <w:szCs w:val="20"/>
        </w:rPr>
        <w:t xml:space="preserve">A. Problem Statement and Motivation</w:t>
      </w:r>
    </w:p>
    <w:p>
      <w:pPr>
        <w:spacing w:after="68" w:line="222"/>
        <w:ind w:firstLine="260"/>
        <w:jc w:val="both"/>
      </w:pPr>
      <w:r>
        <w:rPr>
          <w:rFonts w:ascii="Times New Roman" w:cs="Times New Roman" w:eastAsia="Times New Roman" w:hAnsi="Times New Roman"/>
          <w:sz w:val="20"/>
          <w:szCs w:val="20"/>
        </w:rPr>
        <w:t xml:space="preserve">Urban road networks are monitored today mainly through fixed-point cameras and periodic manual inspection, both of which cover isolated locations rather than continuous stretches of road. Road surface degradation, such as potholes, cracking, waterlogging, and debris accumulation, is tracked almost entirely reactively, typically only after a complaint or an incident. City planners consequently lack a continuous, structured evidence base for infrastructure decisions. Unmanned aerial vehicles (UAVs) offer a way to close this gap: a single airborne camera can observe continuous stretches of road network, following traffic behaviour and surface condition over an area far larger than any fixed installation. Realising this, however, requires a perception system capable of detecting vehicles reliably, tracking them consistently despite occlusion and camera motion, and separately identifying physical road defects from the same or a complementary aerial viewpoint.</w:t>
      </w:r>
    </w:p>
    <w:p>
      <w:pPr>
        <w:spacing w:after="68" w:line="222"/>
        <w:ind w:firstLine="260"/>
        <w:jc w:val="both"/>
      </w:pPr>
      <w:r>
        <w:rPr>
          <w:rFonts w:ascii="Times New Roman" w:cs="Times New Roman" w:eastAsia="Times New Roman" w:hAnsi="Times New Roman"/>
          <w:sz w:val="20"/>
          <w:szCs w:val="20"/>
        </w:rPr>
        <w:t xml:space="preserve">This paper presents the design, implementation, and quantitative evaluation of such a system: an aerial vehicle detection and multi-object tracking pipeline, paired with a road-surface pothole segmentation model, developed as part of a broader autonomous aerial surveillance framework for traffic anomaly detection and infrastructure monitoring. Because acquiring and annotating large volumes of real UAV footage is costly, the system is developed and validated primarily using a simulated aerial environment that allows controlled, repeatable camera paths and exact ground-truth vehicle positions, with real drone footage used as a secondary validation source. Several negative and provisional findings are reported alongside the positive results, since each directly informed a subsequent design decision: an initial detector accuracy shortfall, a duplicated-detection artifact that fragmented vehicle identities, and an inconclusive appearance-matching experiment.</w:t>
      </w:r>
    </w:p>
    <w:p>
      <w:pPr>
        <w:keepNext/>
        <w:spacing w:after="42" w:before="85"/>
      </w:pPr>
      <w:r>
        <w:rPr>
          <w:rFonts w:ascii="Times New Roman" w:cs="Times New Roman" w:eastAsia="Times New Roman" w:hAnsi="Times New Roman"/>
          <w:b/>
          <w:bCs/>
          <w:i/>
          <w:iCs/>
          <w:sz w:val="20"/>
          <w:szCs w:val="20"/>
        </w:rPr>
        <w:t xml:space="preserve">B. Contributions</w:t>
      </w:r>
    </w:p>
    <w:p>
      <w:pPr>
        <w:spacing w:after="42" w:line="222"/>
        <w:ind w:left="260" w:hanging="220"/>
        <w:jc w:val="both"/>
      </w:pPr>
      <w:r>
        <w:rPr>
          <w:rFonts w:ascii="Times New Roman" w:cs="Times New Roman" w:eastAsia="Times New Roman" w:hAnsi="Times New Roman"/>
          <w:sz w:val="20"/>
          <w:szCs w:val="20"/>
        </w:rPr>
        <w:t xml:space="preserve">•  An aerial vehicle detection and tracking pipeline that combines a convolutional object detector with a motion-based multi-object tracker, together with a lightweight trajectory-repair stage that links broken tracks and fills short temporal gaps without retraining any model.</w:t>
      </w:r>
    </w:p>
    <w:p>
      <w:pPr>
        <w:spacing w:after="42" w:line="222"/>
        <w:ind w:left="260" w:hanging="220"/>
        <w:jc w:val="both"/>
      </w:pPr>
      <w:r>
        <w:rPr>
          <w:rFonts w:ascii="Times New Roman" w:cs="Times New Roman" w:eastAsia="Times New Roman" w:hAnsi="Times New Roman"/>
          <w:sz w:val="20"/>
          <w:szCs w:val="20"/>
        </w:rPr>
        <w:t xml:space="preserve">•  Identification and removal of a duplicated-detection artifact that was fragmenting tracked vehicle identities, via a class-agnostic duplicate-suppression step applied prior to association.</w:t>
      </w:r>
    </w:p>
    <w:p>
      <w:pPr>
        <w:spacing w:after="42" w:line="222"/>
        <w:ind w:left="260" w:hanging="220"/>
        <w:jc w:val="both"/>
      </w:pPr>
      <w:r>
        <w:rPr>
          <w:rFonts w:ascii="Times New Roman" w:cs="Times New Roman" w:eastAsia="Times New Roman" w:hAnsi="Times New Roman"/>
          <w:sz w:val="20"/>
          <w:szCs w:val="20"/>
        </w:rPr>
        <w:t xml:space="preserve">•  A controlled, ground-truth-based evaluation methodology for tracking quality, used to run ablation studies on tracker choice, appearance-based re-identification, and detector input resolution, several of which contradict common assumptions in the tracking literature.</w:t>
      </w:r>
    </w:p>
    <w:p>
      <w:pPr>
        <w:spacing w:after="42" w:line="222"/>
        <w:ind w:left="260" w:hanging="220"/>
        <w:jc w:val="both"/>
      </w:pPr>
      <w:r>
        <w:rPr>
          <w:rFonts w:ascii="Times New Roman" w:cs="Times New Roman" w:eastAsia="Times New Roman" w:hAnsi="Times New Roman"/>
          <w:sz w:val="20"/>
          <w:szCs w:val="20"/>
        </w:rPr>
        <w:t xml:space="preserve">•  A road-surface pothole segmentation model that exceeds common accuracy targets on a public pavement-defect dataset, together with a discussion of a proposed architectural extension for further improving aerial-viewpoint robustness.</w:t>
      </w:r>
    </w:p>
    <w:p>
      <w:pPr>
        <w:keepNext/>
        <w:spacing w:after="65" w:before="130"/>
        <w:jc w:val="center"/>
      </w:pPr>
      <w:r>
        <w:rPr>
          <w:rFonts w:ascii="Times New Roman" w:cs="Times New Roman" w:eastAsia="Times New Roman" w:hAnsi="Times New Roman"/>
          <w:b/>
          <w:bCs/>
          <w:sz w:val="21"/>
          <w:szCs w:val="21"/>
        </w:rPr>
        <w:t xml:space="preserve">II. RELATED WORK</w:t>
      </w:r>
    </w:p>
    <w:p>
      <w:pPr>
        <w:spacing w:after="68" w:line="222"/>
        <w:ind w:firstLine="260"/>
        <w:jc w:val="both"/>
      </w:pPr>
      <w:r>
        <w:rPr>
          <w:rFonts w:ascii="Times New Roman" w:cs="Times New Roman" w:eastAsia="Times New Roman" w:hAnsi="Times New Roman"/>
          <w:sz w:val="20"/>
          <w:szCs w:val="20"/>
        </w:rPr>
        <w:t xml:space="preserve">Aerial traffic monitoring using UAV-mounted cameras has been studied for parking-occupancy detection, unauthorised-parking identification, and highway-incident detection, typically applying a single-stage detector combined with a lightweight tracker over a short monitoring window and a fixed area. Fixed intelligent traffic management systems and conventional closed-circuit cameras, by contrast, offer only point coverage with no cross-zone trajectory continuity. Road-surface condition monitoring is usually treated as a separate problem from vehicle-behaviour monitoring, most often approached as an instance-segmentation task on ground-level or oblique imagery captured by a vehicle-mounted or handheld camera. This work instead treats both problems as complementary outputs of the same aerial platform.</w:t>
      </w:r>
    </w:p>
    <w:p>
      <w:pPr>
        <w:spacing w:after="68" w:line="222"/>
        <w:ind w:firstLine="260"/>
        <w:jc w:val="both"/>
      </w:pPr>
      <w:r>
        <w:rPr>
          <w:rFonts w:ascii="Times New Roman" w:cs="Times New Roman" w:eastAsia="Times New Roman" w:hAnsi="Times New Roman"/>
          <w:sz w:val="20"/>
          <w:szCs w:val="20"/>
        </w:rPr>
        <w:t xml:space="preserve">Modern multi-object tracking predominantly follows the tracking-by-detection paradigm, in which an independent detector proposes bounding boxes in each frame and a separate association algorithm links them into trajectories over time. Association strategies range from pure motion models, which predict each track's next position with a Kalman filter and match it to new detections by spatial overlap, to hybrid approaches that additionally incorporate appearance embeddings for re-identification and explicit compensation for camera motion. More specialised trackers designed for aerial or drone-based video target long-range occlusion and rapid viewpoint change directly, typically at a higher computational cost than the general-purpose trackers used in this work.</w:t>
      </w:r>
    </w:p>
    <w:p>
      <w:pPr>
        <w:spacing w:after="68" w:line="222"/>
        <w:ind w:firstLine="260"/>
        <w:jc w:val="both"/>
      </w:pPr>
      <w:r>
        <w:rPr>
          <w:rFonts w:ascii="Times New Roman" w:cs="Times New Roman" w:eastAsia="Times New Roman" w:hAnsi="Times New Roman"/>
          <w:sz w:val="20"/>
          <w:szCs w:val="20"/>
        </w:rPr>
        <w:t xml:space="preserve">Tracking quality is conventionally reported using the CLEAR-MOT family of metrics, particularly multiple-object tracking accuracy (MOTA) and identity switch count, together with the identity F1 score (IDF1), which more directly measures how consistently an algorithm preserves a single identity for each object over its full trajectory. A more recent metric, the Higher-Order Tracking Accuracy (HOTA), explicitly balances detection quality and association quality into a single score and is used alongside MOTA and IDF1 in this paper. For road-surface anomaly detection, recent work has proposed augmenting standard object-detection backbones with lightweight convolutional and attention modules to improve small-defect segmentation without a large increase in model size; this motivates the architectural extension discussed as future work in Section VII.</w:t>
      </w:r>
    </w:p>
    <w:p>
      <w:pPr>
        <w:keepNext/>
        <w:spacing w:after="65" w:before="130"/>
        <w:jc w:val="center"/>
      </w:pPr>
      <w:r>
        <w:rPr>
          <w:rFonts w:ascii="Times New Roman" w:cs="Times New Roman" w:eastAsia="Times New Roman" w:hAnsi="Times New Roman"/>
          <w:b/>
          <w:bCs/>
          <w:sz w:val="21"/>
          <w:szCs w:val="21"/>
        </w:rPr>
        <w:t xml:space="preserve">III. PROPOSED METHODOLOGY</w:t>
      </w:r>
    </w:p>
    <w:p>
      <w:pPr>
        <w:keepNext/>
        <w:spacing w:after="42" w:before="85"/>
      </w:pPr>
      <w:r>
        <w:rPr>
          <w:rFonts w:ascii="Times New Roman" w:cs="Times New Roman" w:eastAsia="Times New Roman" w:hAnsi="Times New Roman"/>
          <w:b/>
          <w:bCs/>
          <w:i/>
          <w:iCs/>
          <w:sz w:val="20"/>
          <w:szCs w:val="20"/>
        </w:rPr>
        <w:t xml:space="preserve">A. Aerial Vehicle Detection</w:t>
      </w:r>
    </w:p>
    <w:p>
      <w:pPr>
        <w:spacing w:after="68" w:line="222"/>
        <w:ind w:firstLine="260"/>
        <w:jc w:val="both"/>
      </w:pPr>
      <w:r>
        <w:rPr>
          <w:rFonts w:ascii="Times New Roman" w:cs="Times New Roman" w:eastAsia="Times New Roman" w:hAnsi="Times New Roman"/>
          <w:sz w:val="20"/>
          <w:szCs w:val="20"/>
        </w:rPr>
        <w:t xml:space="preserve">Vehicles are detected in each frame using a convolutional object detector fine-tuned on an aerial vehicle imagery dataset. Detection quality is measured with mean average precision at a fixed intersection-over-union (IoU) threshold, where the IoU between a predicted box A and a ground-truth box B is</w:t>
      </w:r>
    </w:p>
    <w:p>
      <w:pPr>
        <w:spacing w:after="65" w:before="65"/>
        <w:jc w:val="center"/>
      </w:pPr>
      <w:r>
        <w:rPr>
          <w:rFonts w:ascii="Times New Roman" w:cs="Times New Roman" w:eastAsia="Times New Roman" w:hAnsi="Times New Roman"/>
          <w:i/>
          <w:iCs/>
          <w:sz w:val="20"/>
          <w:szCs w:val="20"/>
        </w:rPr>
        <w:t xml:space="preserve">IoU(A, B) = Overlap(A, B) / Union(A, B)</w:t>
      </w:r>
      <w:r>
        <w:rPr>
          <w:rFonts w:ascii="Times New Roman" w:cs="Times New Roman" w:eastAsia="Times New Roman" w:hAnsi="Times New Roman"/>
          <w:sz w:val="20"/>
          <w:szCs w:val="20"/>
        </w:rPr>
        <w:t xml:space="preserve">     (1)</w:t>
      </w:r>
    </w:p>
    <w:p>
      <w:pPr>
        <w:spacing w:after="68" w:line="222"/>
        <w:jc w:val="both"/>
      </w:pPr>
      <w:r>
        <w:rPr>
          <w:rFonts w:ascii="Times New Roman" w:cs="Times New Roman" w:eastAsia="Times New Roman" w:hAnsi="Times New Roman"/>
          <w:sz w:val="20"/>
          <w:szCs w:val="20"/>
        </w:rPr>
        <w:t xml:space="preserve">and the overall detection score is averaged across the N classes of interest,</w:t>
      </w:r>
    </w:p>
    <w:p>
      <w:pPr>
        <w:spacing w:after="65" w:before="65"/>
        <w:jc w:val="center"/>
      </w:pPr>
      <w:r>
        <w:rPr>
          <w:rFonts w:ascii="Times New Roman" w:cs="Times New Roman" w:eastAsia="Times New Roman" w:hAnsi="Times New Roman"/>
          <w:i/>
          <w:iCs/>
          <w:sz w:val="20"/>
          <w:szCs w:val="20"/>
        </w:rPr>
        <w:t xml:space="preserve">mAP = (1/N) Σᵢ₌₁ᴺ APᵢ</w:t>
      </w:r>
      <w:r>
        <w:rPr>
          <w:rFonts w:ascii="Times New Roman" w:cs="Times New Roman" w:eastAsia="Times New Roman" w:hAnsi="Times New Roman"/>
          <w:sz w:val="20"/>
          <w:szCs w:val="20"/>
        </w:rPr>
        <w:t xml:space="preserve">     (2)</w:t>
      </w:r>
    </w:p>
    <w:p>
      <w:pPr>
        <w:spacing w:after="68" w:line="222"/>
        <w:jc w:val="both"/>
      </w:pPr>
      <w:r>
        <w:rPr>
          <w:rFonts w:ascii="Times New Roman" w:cs="Times New Roman" w:eastAsia="Times New Roman" w:hAnsi="Times New Roman"/>
          <w:sz w:val="20"/>
          <w:szCs w:val="20"/>
        </w:rPr>
        <w:t xml:space="preserve">with APᵢ the average precision for class i. The detector's output layer produces overlapping candidate boxes for the same physical object under more than one class label; these are removed with a class-agnostic duplicate-suppression step applied before any detection is passed to the tracker, keeping only the highest-confidence box among any pair whose IoU exceeds a fixed threshold.</w:t>
      </w:r>
    </w:p>
    <w:p>
      <w:pPr>
        <w:keepNext/>
        <w:spacing w:after="42" w:before="85"/>
      </w:pPr>
      <w:r>
        <w:rPr>
          <w:rFonts w:ascii="Times New Roman" w:cs="Times New Roman" w:eastAsia="Times New Roman" w:hAnsi="Times New Roman"/>
          <w:b/>
          <w:bCs/>
          <w:i/>
          <w:iCs/>
          <w:sz w:val="20"/>
          <w:szCs w:val="20"/>
        </w:rPr>
        <w:t xml:space="preserve">B. Multi-Object Tracking</w:t>
      </w:r>
    </w:p>
    <w:p>
      <w:pPr>
        <w:spacing w:after="68" w:line="222"/>
        <w:ind w:firstLine="260"/>
        <w:jc w:val="both"/>
      </w:pPr>
      <w:r>
        <w:rPr>
          <w:rFonts w:ascii="Times New Roman" w:cs="Times New Roman" w:eastAsia="Times New Roman" w:hAnsi="Times New Roman"/>
          <w:sz w:val="20"/>
          <w:szCs w:val="20"/>
        </w:rPr>
        <w:t xml:space="preserve">Detections are associated into trajectories using a tracking-by-detection approach. Each track maintains a motion state predicted frame-to-frame with a Kalman filter, and new detections are matched to existing tracks by minimising an assignment cost based on spatial overlap; an appearance-embedding term is optionally included to assist matching when detections are visually distinctive. Two tracker configurations are compared in this work: a purely motion-based association strategy, and a hybrid strategy that additionally compensates for camera motion between frames and incorporates an appearance-similarity term, allowing the contribution of appearance matching to be isolated experimentally (Section VI).</w:t>
      </w:r>
    </w:p>
    <w:p>
      <w:pPr>
        <w:keepNext/>
        <w:spacing w:after="42" w:before="85"/>
      </w:pPr>
      <w:r>
        <w:rPr>
          <w:rFonts w:ascii="Times New Roman" w:cs="Times New Roman" w:eastAsia="Times New Roman" w:hAnsi="Times New Roman"/>
          <w:b/>
          <w:bCs/>
          <w:i/>
          <w:iCs/>
          <w:sz w:val="20"/>
          <w:szCs w:val="20"/>
        </w:rPr>
        <w:t xml:space="preserve">C. Trajectory Linking and Gap Repair</w:t>
      </w:r>
    </w:p>
    <w:p>
      <w:pPr>
        <w:spacing w:after="68" w:line="222"/>
        <w:ind w:firstLine="260"/>
        <w:jc w:val="both"/>
      </w:pPr>
      <w:r>
        <w:rPr>
          <w:rFonts w:ascii="Times New Roman" w:cs="Times New Roman" w:eastAsia="Times New Roman" w:hAnsi="Times New Roman"/>
          <w:sz w:val="20"/>
          <w:szCs w:val="20"/>
        </w:rPr>
        <w:t xml:space="preserve">Because a tracker can lose and later re-acquire the same physical vehicle, assigning it a new identity, a post-hoc linking stage attempts to reconnect a track that ends with a track that begins shortly afterward. For a track i ending at time t₁ with last position xᵢ and recent velocity vᵢ, and a candidate track j beginning at time t₂, the expected position of the same vehicle at t₂ is predicted as</w:t>
      </w:r>
    </w:p>
    <w:p>
      <w:pPr>
        <w:spacing w:after="65" w:before="65"/>
        <w:jc w:val="center"/>
      </w:pPr>
      <w:r>
        <w:rPr>
          <w:rFonts w:ascii="Times New Roman" w:cs="Times New Roman" w:eastAsia="Times New Roman" w:hAnsi="Times New Roman"/>
          <w:i/>
          <w:iCs/>
          <w:sz w:val="20"/>
          <w:szCs w:val="20"/>
        </w:rPr>
        <w:t xml:space="preserve">x̂ⱼ = xᵢ + vᵢ(t₂ − t₁) + Δc(t₂ − t₁)</w:t>
      </w:r>
      <w:r>
        <w:rPr>
          <w:rFonts w:ascii="Times New Roman" w:cs="Times New Roman" w:eastAsia="Times New Roman" w:hAnsi="Times New Roman"/>
          <w:sz w:val="20"/>
          <w:szCs w:val="20"/>
        </w:rPr>
        <w:t xml:space="preserve">     (3)</w:t>
      </w:r>
    </w:p>
    <w:p>
      <w:pPr>
        <w:spacing w:after="68" w:line="222"/>
        <w:jc w:val="both"/>
      </w:pPr>
      <w:r>
        <w:rPr>
          <w:rFonts w:ascii="Times New Roman" w:cs="Times New Roman" w:eastAsia="Times New Roman" w:hAnsi="Times New Roman"/>
          <w:sz w:val="20"/>
          <w:szCs w:val="20"/>
        </w:rPr>
        <w:t xml:space="preserve">where Δc is the estimated displacement due to camera motion over the gap. A link is accepted only if the predicted and observed positions are close relative to the object's size and the length of the gap,</w:t>
      </w:r>
    </w:p>
    <w:p>
      <w:pPr>
        <w:spacing w:after="65" w:before="65"/>
        <w:jc w:val="center"/>
      </w:pPr>
      <w:r>
        <w:rPr>
          <w:rFonts w:ascii="Times New Roman" w:cs="Times New Roman" w:eastAsia="Times New Roman" w:hAnsi="Times New Roman"/>
          <w:i/>
          <w:iCs/>
          <w:sz w:val="20"/>
          <w:szCs w:val="20"/>
        </w:rPr>
        <w:t xml:space="preserve">‖x̂ⱼ − xⱼ‖ ≤ α·sᵢ + β·(t₂ − t₁)</w:t>
      </w:r>
      <w:r>
        <w:rPr>
          <w:rFonts w:ascii="Times New Roman" w:cs="Times New Roman" w:eastAsia="Times New Roman" w:hAnsi="Times New Roman"/>
          <w:sz w:val="20"/>
          <w:szCs w:val="20"/>
        </w:rPr>
        <w:t xml:space="preserve">     (4)</w:t>
      </w:r>
    </w:p>
    <w:p>
      <w:pPr>
        <w:spacing w:after="68" w:line="222"/>
        <w:jc w:val="both"/>
      </w:pPr>
      <w:r>
        <w:rPr>
          <w:rFonts w:ascii="Times New Roman" w:cs="Times New Roman" w:eastAsia="Times New Roman" w:hAnsi="Times New Roman"/>
          <w:sz w:val="20"/>
          <w:szCs w:val="20"/>
        </w:rPr>
        <w:t xml:space="preserve">where sᵢ is the size of track i's last bounding box and α, β are fixed constants, and only if the two tracks are compatible in object size, class, and visual appearance. Among all position-, size-, class-, and appearance-compatible candidates, the lowest-cost link is chosen subject to an overall cost ceiling, and at most one predecessor and one successor are assigned per track, so that chains of several fragments can be merged into a single trajectory.</w:t>
      </w:r>
    </w:p>
    <w:p>
      <w:pPr>
        <w:keepNext/>
        <w:spacing w:after="42" w:before="85"/>
      </w:pPr>
      <w:r>
        <w:rPr>
          <w:rFonts w:ascii="Times New Roman" w:cs="Times New Roman" w:eastAsia="Times New Roman" w:hAnsi="Times New Roman"/>
          <w:b/>
          <w:bCs/>
          <w:i/>
          <w:iCs/>
          <w:sz w:val="20"/>
          <w:szCs w:val="20"/>
        </w:rPr>
        <w:t xml:space="preserve">D. Track Post-Processing and Gap Interpolation</w:t>
      </w:r>
    </w:p>
    <w:p>
      <w:pPr>
        <w:spacing w:after="68" w:line="222"/>
        <w:ind w:firstLine="260"/>
        <w:jc w:val="both"/>
      </w:pPr>
      <w:r>
        <w:rPr>
          <w:rFonts w:ascii="Times New Roman" w:cs="Times New Roman" w:eastAsia="Times New Roman" w:hAnsi="Times New Roman"/>
          <w:sz w:val="20"/>
          <w:szCs w:val="20"/>
        </w:rPr>
        <w:t xml:space="preserve">After linking, each track is assigned a single class label by a confidence-weighted vote over all frames in which it appears,</w:t>
      </w:r>
    </w:p>
    <w:p>
      <w:pPr>
        <w:spacing w:after="65" w:before="65"/>
        <w:jc w:val="center"/>
      </w:pPr>
      <w:r>
        <w:rPr>
          <w:rFonts w:ascii="Times New Roman" w:cs="Times New Roman" w:eastAsia="Times New Roman" w:hAnsi="Times New Roman"/>
          <w:i/>
          <w:iCs/>
          <w:sz w:val="20"/>
          <w:szCs w:val="20"/>
        </w:rPr>
        <w:t xml:space="preserve">ĉ = argmaxᴄ Σₜ₌₁ᵀ 𝟙[cₜ = c]·pₜ</w:t>
      </w:r>
      <w:r>
        <w:rPr>
          <w:rFonts w:ascii="Times New Roman" w:cs="Times New Roman" w:eastAsia="Times New Roman" w:hAnsi="Times New Roman"/>
          <w:sz w:val="20"/>
          <w:szCs w:val="20"/>
        </w:rPr>
        <w:t xml:space="preserve">     (5)</w:t>
      </w:r>
    </w:p>
    <w:p>
      <w:pPr>
        <w:spacing w:after="68" w:line="222"/>
        <w:jc w:val="both"/>
      </w:pPr>
      <w:r>
        <w:rPr>
          <w:rFonts w:ascii="Times New Roman" w:cs="Times New Roman" w:eastAsia="Times New Roman" w:hAnsi="Times New Roman"/>
          <w:sz w:val="20"/>
          <w:szCs w:val="20"/>
        </w:rPr>
        <w:t xml:space="preserve">where cₜ and pₜ are the predicted class and confidence at frame t, and T is the track length; this removes frame-to-frame label flicker between visually similar classes. Tracks shorter than a minimum duration, or with low mean detection confidence, are discarded as unreliable. Remaining short internal gaps, where a vehicle was briefly undetected, are filled by linear interpolation between the two surrounding observed positions p₁ at t₁ and p₂ at t₂,</w:t>
      </w:r>
    </w:p>
    <w:p>
      <w:pPr>
        <w:spacing w:after="65" w:before="65"/>
        <w:jc w:val="center"/>
      </w:pPr>
      <w:r>
        <w:rPr>
          <w:rFonts w:ascii="Times New Roman" w:cs="Times New Roman" w:eastAsia="Times New Roman" w:hAnsi="Times New Roman"/>
          <w:i/>
          <w:iCs/>
          <w:sz w:val="20"/>
          <w:szCs w:val="20"/>
        </w:rPr>
        <w:t xml:space="preserve">p(t) = p₁ + [(t − t₁) / (t₂ − t₁)]·(p₂ − p₁),  t₁ &lt; t &lt; t₂</w:t>
      </w:r>
      <w:r>
        <w:rPr>
          <w:rFonts w:ascii="Times New Roman" w:cs="Times New Roman" w:eastAsia="Times New Roman" w:hAnsi="Times New Roman"/>
          <w:sz w:val="20"/>
          <w:szCs w:val="20"/>
        </w:rPr>
        <w:t xml:space="preserve">     (6)</w:t>
      </w:r>
    </w:p>
    <w:p>
      <w:pPr>
        <w:spacing w:after="68" w:line="222"/>
        <w:jc w:val="both"/>
      </w:pPr>
      <w:r>
        <w:rPr>
          <w:rFonts w:ascii="Times New Roman" w:cs="Times New Roman" w:eastAsia="Times New Roman" w:hAnsi="Times New Roman"/>
          <w:sz w:val="20"/>
          <w:szCs w:val="20"/>
        </w:rPr>
        <w:t xml:space="preserve">with interpolated positions flagged separately from directly observed ones.</w:t>
      </w:r>
    </w:p>
    <w:p>
      <w:pPr>
        <w:keepNext/>
        <w:spacing w:after="42" w:before="85"/>
      </w:pPr>
      <w:r>
        <w:rPr>
          <w:rFonts w:ascii="Times New Roman" w:cs="Times New Roman" w:eastAsia="Times New Roman" w:hAnsi="Times New Roman"/>
          <w:b/>
          <w:bCs/>
          <w:i/>
          <w:iCs/>
          <w:sz w:val="20"/>
          <w:szCs w:val="20"/>
        </w:rPr>
        <w:t xml:space="preserve">E. Evaluation Methodology</w:t>
      </w:r>
    </w:p>
    <w:p>
      <w:pPr>
        <w:spacing w:after="68" w:line="222"/>
        <w:ind w:firstLine="260"/>
        <w:jc w:val="both"/>
      </w:pPr>
      <w:r>
        <w:rPr>
          <w:rFonts w:ascii="Times New Roman" w:cs="Times New Roman" w:eastAsia="Times New Roman" w:hAnsi="Times New Roman"/>
          <w:sz w:val="20"/>
          <w:szCs w:val="20"/>
        </w:rPr>
        <w:t xml:space="preserve">Tracking quality is evaluated against a hand-verified ground truth using detection precision and recall at a fixed IoU threshold, together with three complementary identity-level metrics. Multiple-object tracking accuracy (MOTA) penalises missed detections (FN), false detections (FP), and identity switches (IDSW) relative to the total number of ground-truth objects (GT):</w:t>
      </w:r>
    </w:p>
    <w:p>
      <w:pPr>
        <w:spacing w:after="65" w:before="65"/>
        <w:jc w:val="center"/>
      </w:pPr>
      <w:r>
        <w:rPr>
          <w:rFonts w:ascii="Times New Roman" w:cs="Times New Roman" w:eastAsia="Times New Roman" w:hAnsi="Times New Roman"/>
          <w:i/>
          <w:iCs/>
          <w:sz w:val="20"/>
          <w:szCs w:val="20"/>
        </w:rPr>
        <w:t xml:space="preserve">MOTA = 1 − (FN + FP + IDSW) / GT</w:t>
      </w:r>
      <w:r>
        <w:rPr>
          <w:rFonts w:ascii="Times New Roman" w:cs="Times New Roman" w:eastAsia="Times New Roman" w:hAnsi="Times New Roman"/>
          <w:sz w:val="20"/>
          <w:szCs w:val="20"/>
        </w:rPr>
        <w:t xml:space="preserve">     (7)</w:t>
      </w:r>
    </w:p>
    <w:p>
      <w:pPr>
        <w:spacing w:after="68" w:line="222"/>
        <w:jc w:val="both"/>
      </w:pPr>
      <w:r>
        <w:rPr>
          <w:rFonts w:ascii="Times New Roman" w:cs="Times New Roman" w:eastAsia="Times New Roman" w:hAnsi="Times New Roman"/>
          <w:sz w:val="20"/>
          <w:szCs w:val="20"/>
        </w:rPr>
        <w:t xml:space="preserve">The identity F1 score (IDF1) instead measures how consistently a single predicted identity is maintained per object, based on identity-level true positives, false positives, and false negatives:</w:t>
      </w:r>
    </w:p>
    <w:p>
      <w:pPr>
        <w:spacing w:after="65" w:before="65"/>
        <w:jc w:val="center"/>
      </w:pPr>
      <w:r>
        <w:rPr>
          <w:rFonts w:ascii="Times New Roman" w:cs="Times New Roman" w:eastAsia="Times New Roman" w:hAnsi="Times New Roman"/>
          <w:i/>
          <w:iCs/>
          <w:sz w:val="20"/>
          <w:szCs w:val="20"/>
        </w:rPr>
        <w:t xml:space="preserve">IDF1 = 2·IDTP / (2·IDTP + IDFP + IDFN)</w:t>
      </w:r>
      <w:r>
        <w:rPr>
          <w:rFonts w:ascii="Times New Roman" w:cs="Times New Roman" w:eastAsia="Times New Roman" w:hAnsi="Times New Roman"/>
          <w:sz w:val="20"/>
          <w:szCs w:val="20"/>
        </w:rPr>
        <w:t xml:space="preserve">     (8)</w:t>
      </w:r>
    </w:p>
    <w:p>
      <w:pPr>
        <w:spacing w:after="68" w:line="222"/>
        <w:jc w:val="both"/>
      </w:pPr>
      <w:r>
        <w:rPr>
          <w:rFonts w:ascii="Times New Roman" w:cs="Times New Roman" w:eastAsia="Times New Roman" w:hAnsi="Times New Roman"/>
          <w:sz w:val="20"/>
          <w:szCs w:val="20"/>
        </w:rPr>
        <w:t xml:space="preserve">and the Higher-Order Tracking Accuracy (HOTA) combines a detection-accuracy term (DetA) and an association-accuracy term (AssA), each computed at a given IoU threshold α and averaged over a range of thresholds, as</w:t>
      </w:r>
    </w:p>
    <w:p>
      <w:pPr>
        <w:spacing w:after="65" w:before="65"/>
        <w:jc w:val="center"/>
      </w:pPr>
      <w:r>
        <w:rPr>
          <w:rFonts w:ascii="Times New Roman" w:cs="Times New Roman" w:eastAsia="Times New Roman" w:hAnsi="Times New Roman"/>
          <w:i/>
          <w:iCs/>
          <w:sz w:val="20"/>
          <w:szCs w:val="20"/>
        </w:rPr>
        <w:t xml:space="preserve">HOTAα = √(DetAα · AssAα)</w:t>
      </w:r>
      <w:r>
        <w:rPr>
          <w:rFonts w:ascii="Times New Roman" w:cs="Times New Roman" w:eastAsia="Times New Roman" w:hAnsi="Times New Roman"/>
          <w:sz w:val="20"/>
          <w:szCs w:val="20"/>
        </w:rPr>
        <w:t xml:space="preserve">     (9)</w:t>
      </w:r>
    </w:p>
    <w:p>
      <w:pPr>
        <w:spacing w:after="68" w:line="222"/>
        <w:jc w:val="both"/>
      </w:pPr>
      <w:r>
        <w:rPr>
          <w:rFonts w:ascii="Times New Roman" w:cs="Times New Roman" w:eastAsia="Times New Roman" w:hAnsi="Times New Roman"/>
          <w:sz w:val="20"/>
          <w:szCs w:val="20"/>
        </w:rPr>
        <w:t xml:space="preserve">A predicted track is additionally flagged as a false-positive track if it matches a ground-truth object in fewer than half of its frames, distinguishing genuine identity continuity from an accidental short overlap.</w:t>
      </w:r>
    </w:p>
    <w:p>
      <w:pPr>
        <w:keepNext/>
        <w:spacing w:after="42" w:before="85"/>
      </w:pPr>
      <w:r>
        <w:rPr>
          <w:rFonts w:ascii="Times New Roman" w:cs="Times New Roman" w:eastAsia="Times New Roman" w:hAnsi="Times New Roman"/>
          <w:b/>
          <w:bCs/>
          <w:i/>
          <w:iCs/>
          <w:sz w:val="20"/>
          <w:szCs w:val="20"/>
        </w:rPr>
        <w:t xml:space="preserve">F. Road Surface Anomaly Detection</w:t>
      </w:r>
    </w:p>
    <w:p>
      <w:pPr>
        <w:spacing w:after="68" w:line="222"/>
        <w:ind w:firstLine="260"/>
        <w:jc w:val="both"/>
      </w:pPr>
      <w:r>
        <w:rPr>
          <w:rFonts w:ascii="Times New Roman" w:cs="Times New Roman" w:eastAsia="Times New Roman" w:hAnsi="Times New Roman"/>
          <w:sz w:val="20"/>
          <w:szCs w:val="20"/>
        </w:rPr>
        <w:t xml:space="preserve">Road-surface anomalies are detected with an instance-segmentation model fine-tuned to recognise potholes, surface cracking, waterlogging, and debris. The present evaluation trains and reports results for the pothole category on a public pavement-distress dataset. Segmentation quality is reported using the same mean average precision formulation as detection (Eq. 2), applied to predicted and ground-truth masks rather than boxes. An architectural extension, incorporating a depthwise-separable convolution, a lightweight parameter-free attention module, and a smoother activation function into the segmentation backbone, is proposed to improve robustness to the small, low-contrast defects and oblique viewpoints typical of aerial pavement imagery, and is discussed as future work.</w:t>
      </w:r>
    </w:p>
    <w:p>
      <w:pPr>
        <w:keepNext/>
        <w:spacing w:after="42" w:before="85"/>
      </w:pPr>
      <w:r>
        <w:rPr>
          <w:rFonts w:ascii="Times New Roman" w:cs="Times New Roman" w:eastAsia="Times New Roman" w:hAnsi="Times New Roman"/>
          <w:b/>
          <w:bCs/>
          <w:i/>
          <w:iCs/>
          <w:sz w:val="20"/>
          <w:szCs w:val="20"/>
        </w:rPr>
        <w:t xml:space="preserve">G. Simulation-Based Validation</w:t>
      </w:r>
    </w:p>
    <w:p>
      <w:pPr>
        <w:spacing w:after="68" w:line="222"/>
        <w:ind w:firstLine="260"/>
        <w:jc w:val="both"/>
      </w:pPr>
      <w:r>
        <w:rPr>
          <w:rFonts w:ascii="Times New Roman" w:cs="Times New Roman" w:eastAsia="Times New Roman" w:hAnsi="Times New Roman"/>
          <w:sz w:val="20"/>
          <w:szCs w:val="20"/>
        </w:rPr>
        <w:t xml:space="preserve">The system is validated primarily in a simulated urban driving environment with a virtual nadir-facing aerial camera, which allows a controlled and repeatable camera trajectory together with exact ground-truth vehicle positions at every frame. Two capture strategies were considered: an automatically generated flight path, and a manually flown path with direct operator control. The automatic strategy was found to occasionally route the camera over terrain with no road or traffic in view, which would otherwise have been misread as a detector or tracker failure; manually flown captures were adopted instead to guarantee continuous coverage of a real traffic scene. The primary evaluation clip used throughout this paper covers roughly two thousand frames and forty simulated vehicles, hand-verified against the rendered footage.</w:t>
      </w:r>
    </w:p>
    <w:p>
      <w:pPr>
        <w:keepNext/>
        <w:spacing w:after="65" w:before="130"/>
        <w:jc w:val="center"/>
      </w:pPr>
      <w:r>
        <w:rPr>
          <w:rFonts w:ascii="Times New Roman" w:cs="Times New Roman" w:eastAsia="Times New Roman" w:hAnsi="Times New Roman"/>
          <w:b/>
          <w:bCs/>
          <w:sz w:val="21"/>
          <w:szCs w:val="21"/>
        </w:rPr>
        <w:t xml:space="preserve">IV. SYSTEM IMPLEMENTATION</w:t>
      </w:r>
    </w:p>
    <w:p>
      <w:pPr>
        <w:keepNext/>
        <w:spacing w:after="42" w:before="85"/>
      </w:pPr>
      <w:r>
        <w:rPr>
          <w:rFonts w:ascii="Times New Roman" w:cs="Times New Roman" w:eastAsia="Times New Roman" w:hAnsi="Times New Roman"/>
          <w:b/>
          <w:bCs/>
          <w:i/>
          <w:iCs/>
          <w:sz w:val="20"/>
          <w:szCs w:val="20"/>
        </w:rPr>
        <w:t xml:space="preserve">A. Software Architecture</w:t>
      </w:r>
    </w:p>
    <w:p>
      <w:pPr>
        <w:spacing w:after="68" w:line="222"/>
        <w:ind w:firstLine="260"/>
        <w:jc w:val="both"/>
      </w:pPr>
      <w:r>
        <w:rPr>
          <w:rFonts w:ascii="Times New Roman" w:cs="Times New Roman" w:eastAsia="Times New Roman" w:hAnsi="Times New Roman"/>
          <w:sz w:val="20"/>
          <w:szCs w:val="20"/>
        </w:rPr>
        <w:t xml:space="preserve">The system is implemented as a sequence of functionally independent stages: a detection and tracking stage, which applies the object detector and motion-based tracker described in Section III-A and III-B to an input video stream; a trajectory-linking stage, which applies the post-hoc repair procedure of Section III-C; a post-processing stage, which performs the class voting and gap interpolation of Section III-D; and an evaluation stage, which scores the output of any of the previous stages against ground truth using the metrics of Section III-E. This staged design allows each processing step to be evaluated independently, so that an accuracy change can be attributed to a specific stage rather than the pipeline as a whole.</w:t>
      </w:r>
    </w:p>
    <w:p>
      <w:pPr>
        <w:keepNext/>
        <w:spacing w:after="42" w:before="85"/>
      </w:pPr>
      <w:r>
        <w:rPr>
          <w:rFonts w:ascii="Times New Roman" w:cs="Times New Roman" w:eastAsia="Times New Roman" w:hAnsi="Times New Roman"/>
          <w:b/>
          <w:bCs/>
          <w:i/>
          <w:iCs/>
          <w:sz w:val="20"/>
          <w:szCs w:val="20"/>
        </w:rPr>
        <w:t xml:space="preserve">B. Simulation and Data Capture</w:t>
      </w:r>
    </w:p>
    <w:p>
      <w:pPr>
        <w:spacing w:after="68" w:line="222"/>
        <w:ind w:firstLine="260"/>
        <w:jc w:val="both"/>
      </w:pPr>
      <w:r>
        <w:rPr>
          <w:rFonts w:ascii="Times New Roman" w:cs="Times New Roman" w:eastAsia="Times New Roman" w:hAnsi="Times New Roman"/>
          <w:sz w:val="20"/>
          <w:szCs w:val="20"/>
        </w:rPr>
        <w:t xml:space="preserve">A dedicated capture module operates the simulated aerial camera described in Section III-G, recording synchronised frames and telemetry for later offline processing, decoupled from the detection and tracking stage so that no frame is skipped during acquisition. A companion validation module applies the full detection-and-tracking pipeline to captured footage and produces an annotated trajectory output for inspection.</w:t>
      </w:r>
    </w:p>
    <w:p>
      <w:pPr>
        <w:keepNext/>
        <w:spacing w:after="42" w:before="85"/>
      </w:pPr>
      <w:r>
        <w:rPr>
          <w:rFonts w:ascii="Times New Roman" w:cs="Times New Roman" w:eastAsia="Times New Roman" w:hAnsi="Times New Roman"/>
          <w:b/>
          <w:bCs/>
          <w:i/>
          <w:iCs/>
          <w:sz w:val="20"/>
          <w:szCs w:val="20"/>
        </w:rPr>
        <w:t xml:space="preserve">C. Hardware and Runtime</w:t>
      </w:r>
    </w:p>
    <w:p>
      <w:pPr>
        <w:spacing w:after="68" w:line="222"/>
        <w:ind w:firstLine="260"/>
        <w:jc w:val="both"/>
      </w:pPr>
      <w:r>
        <w:rPr>
          <w:rFonts w:ascii="Times New Roman" w:cs="Times New Roman" w:eastAsia="Times New Roman" w:hAnsi="Times New Roman"/>
          <w:sz w:val="20"/>
          <w:szCs w:val="20"/>
        </w:rPr>
        <w:t xml:space="preserve">All experiments were run on a single consumer-grade GPU with 8 GB of video memory. The fine-tuned detector processes a frame in approximately 12 ms (roughly 85 frames per second) at its default input resolution, leaving headroom for a larger input resolution or tiled inference where beneficial. End-to-end tracking throughput, including detection, ranges from roughly 50 to 240 milliseconds per frame depending on the tracker configuration and whether an appearance-embedding model is active.</w:t>
      </w:r>
    </w:p>
    <w:p>
      <w:pPr>
        <w:keepNext/>
        <w:spacing w:after="42" w:before="85"/>
      </w:pPr>
      <w:r>
        <w:rPr>
          <w:rFonts w:ascii="Times New Roman" w:cs="Times New Roman" w:eastAsia="Times New Roman" w:hAnsi="Times New Roman"/>
          <w:b/>
          <w:bCs/>
          <w:i/>
          <w:iCs/>
          <w:sz w:val="20"/>
          <w:szCs w:val="20"/>
        </w:rPr>
        <w:t xml:space="preserve">D. Reproducibility</w:t>
      </w:r>
    </w:p>
    <w:p>
      <w:pPr>
        <w:spacing w:after="68" w:line="222"/>
        <w:ind w:firstLine="260"/>
        <w:jc w:val="both"/>
      </w:pPr>
      <w:r>
        <w:rPr>
          <w:rFonts w:ascii="Times New Roman" w:cs="Times New Roman" w:eastAsia="Times New Roman" w:hAnsi="Times New Roman"/>
          <w:sz w:val="20"/>
          <w:szCs w:val="20"/>
        </w:rPr>
        <w:t xml:space="preserve">Every reported experiment is executed as an independent run with its full configuration recorded, including model weights, confidence thresholds, and association parameters, and with each tracker configuration evaluated in isolation to prevent state from one configuration influencing another. This isolation was found to matter in practice: an early set of comparisons, later discarded, understated differences between configurations because of unintended state carried over between consecutive runs. All results reported in Section VI were obtained under strict per-configuration isolation.</w:t>
      </w:r>
    </w:p>
    <w:p>
      <w:pPr>
        <w:keepNext/>
        <w:spacing w:after="65" w:before="130"/>
        <w:jc w:val="center"/>
      </w:pPr>
      <w:r>
        <w:rPr>
          <w:rFonts w:ascii="Times New Roman" w:cs="Times New Roman" w:eastAsia="Times New Roman" w:hAnsi="Times New Roman"/>
          <w:b/>
          <w:bCs/>
          <w:sz w:val="21"/>
          <w:szCs w:val="21"/>
        </w:rPr>
        <w:t xml:space="preserve">V. EXPERIMENTAL SETUP</w:t>
      </w:r>
    </w:p>
    <w:p>
      <w:pPr>
        <w:keepNext/>
        <w:spacing w:after="42" w:before="85"/>
      </w:pPr>
      <w:r>
        <w:rPr>
          <w:rFonts w:ascii="Times New Roman" w:cs="Times New Roman" w:eastAsia="Times New Roman" w:hAnsi="Times New Roman"/>
          <w:b/>
          <w:bCs/>
          <w:i/>
          <w:iCs/>
          <w:sz w:val="20"/>
          <w:szCs w:val="20"/>
        </w:rPr>
        <w:t xml:space="preserve">A. Datasets</w:t>
      </w:r>
    </w:p>
    <w:p>
      <w:pPr>
        <w:spacing w:after="68" w:line="222"/>
        <w:ind w:firstLine="260"/>
        <w:jc w:val="both"/>
      </w:pPr>
      <w:r>
        <w:rPr>
          <w:rFonts w:ascii="Times New Roman" w:cs="Times New Roman" w:eastAsia="Times New Roman" w:hAnsi="Times New Roman"/>
          <w:sz w:val="20"/>
          <w:szCs w:val="20"/>
        </w:rPr>
        <w:t xml:space="preserve">The detector is trained on a large public aerial-imagery benchmark covering ten object categories, of which four — car, van, truck, and bus — are relevant to the vehicle-behaviour monitoring task addressed here. Tracking is evaluated quantitatively on a hand-verified simulated ground-truth clip (approximately 2,000 frames, 40 vehicles) and validated qualitatively against real drone footage of an urban roundabout (approximately 8,700 frames, moving camera, small and partly occluded vehicles). Pothole segmentation is trained on a public pavement-distress dataset of 1,000 annotated images, split into training, validation, and test subsets in an 8:1:1 ratio.</w:t>
      </w:r>
    </w:p>
    <w:p>
      <w:pPr>
        <w:keepNext/>
        <w:spacing w:after="42" w:before="85"/>
      </w:pPr>
      <w:r>
        <w:rPr>
          <w:rFonts w:ascii="Times New Roman" w:cs="Times New Roman" w:eastAsia="Times New Roman" w:hAnsi="Times New Roman"/>
          <w:b/>
          <w:bCs/>
          <w:i/>
          <w:iCs/>
          <w:sz w:val="20"/>
          <w:szCs w:val="20"/>
        </w:rPr>
        <w:t xml:space="preserve">B. Detection Training Configuration</w:t>
      </w:r>
    </w:p>
    <w:p>
      <w:pPr>
        <w:spacing w:after="68" w:line="222"/>
        <w:ind w:firstLine="260"/>
        <w:jc w:val="both"/>
      </w:pPr>
      <w:r>
        <w:rPr>
          <w:rFonts w:ascii="Times New Roman" w:cs="Times New Roman" w:eastAsia="Times New Roman" w:hAnsi="Times New Roman"/>
          <w:sz w:val="20"/>
          <w:szCs w:val="20"/>
        </w:rPr>
        <w:t xml:space="preserve">The detector is fine-tuned at an input resolution of 640 pixels with early stopping based on validation performance. In the configuration reported here, all ten dataset categories were trained jointly rather than restricting training to the four vehicle categories of interest, and the training run was found in hindsight to have stopped before either its patience-based or time-based stopping condition was triggered. A retrain restricted to the four relevant vehicle categories and run to a genuine convergence point is identified in Section VII as the most direct way to close the remaining accuracy gap.</w:t>
      </w:r>
    </w:p>
    <w:p>
      <w:pPr>
        <w:keepNext/>
        <w:spacing w:after="42" w:before="85"/>
      </w:pPr>
      <w:r>
        <w:rPr>
          <w:rFonts w:ascii="Times New Roman" w:cs="Times New Roman" w:eastAsia="Times New Roman" w:hAnsi="Times New Roman"/>
          <w:b/>
          <w:bCs/>
          <w:i/>
          <w:iCs/>
          <w:sz w:val="20"/>
          <w:szCs w:val="20"/>
        </w:rPr>
        <w:t xml:space="preserve">C. Tracker Configurations Compared</w:t>
      </w:r>
    </w:p>
    <w:p>
      <w:pPr>
        <w:spacing w:after="68" w:line="222"/>
        <w:ind w:firstLine="260"/>
        <w:jc w:val="both"/>
      </w:pPr>
      <w:r>
        <w:rPr>
          <w:rFonts w:ascii="Times New Roman" w:cs="Times New Roman" w:eastAsia="Times New Roman" w:hAnsi="Times New Roman"/>
          <w:sz w:val="20"/>
          <w:szCs w:val="20"/>
        </w:rPr>
        <w:t xml:space="preserve">Several tracker configurations are compared on the ground-truth clip under matched detection thresholds and track-buffer length, so that differences in outcome reflect the association strategy rather than threshold tuning: a purely motion-based tracker; a motion-based tracker augmented with camera-motion compensation and appearance-based re-identification at its default and at a stricter appearance threshold; a variant of the motion-based tracker with a deliberately loosened spatial-overlap requirement; and several alternative general-purpose multi-object trackers from the recent tracking literature.</w:t>
      </w:r>
    </w:p>
    <w:p>
      <w:pPr>
        <w:keepNext/>
        <w:spacing w:after="42" w:before="85"/>
      </w:pPr>
      <w:r>
        <w:rPr>
          <w:rFonts w:ascii="Times New Roman" w:cs="Times New Roman" w:eastAsia="Times New Roman" w:hAnsi="Times New Roman"/>
          <w:b/>
          <w:bCs/>
          <w:i/>
          <w:iCs/>
          <w:sz w:val="20"/>
          <w:szCs w:val="20"/>
        </w:rPr>
        <w:t xml:space="preserve">D. Metrics</w:t>
      </w:r>
    </w:p>
    <w:p>
      <w:pPr>
        <w:spacing w:after="68" w:line="222"/>
        <w:ind w:firstLine="260"/>
        <w:jc w:val="both"/>
      </w:pPr>
      <w:r>
        <w:rPr>
          <w:rFonts w:ascii="Times New Roman" w:cs="Times New Roman" w:eastAsia="Times New Roman" w:hAnsi="Times New Roman"/>
          <w:sz w:val="20"/>
          <w:szCs w:val="20"/>
        </w:rPr>
        <w:t xml:space="preserve">Detection quality is reported as mean average precision per class, both over all ten dataset categories and restricted to the four vehicle categories relevant to this task. Tracking quality is reported as detection precision and recall, IDF1, MOTA, identity-switch count, HOTA together with its detection- and association-accuracy components, false-positive track count, and the proportion of ground-truth vehicles that are mostly tracked, partially tracked, or mostly lost, each computed before and after the trajectory-linking and post-processing stages of Sections III-C and III-D.</w:t>
      </w:r>
    </w:p>
    <w:p>
      <w:pPr>
        <w:keepNext/>
        <w:spacing w:after="65" w:before="130"/>
        <w:jc w:val="center"/>
      </w:pPr>
      <w:r>
        <w:rPr>
          <w:rFonts w:ascii="Times New Roman" w:cs="Times New Roman" w:eastAsia="Times New Roman" w:hAnsi="Times New Roman"/>
          <w:b/>
          <w:bCs/>
          <w:sz w:val="21"/>
          <w:szCs w:val="21"/>
        </w:rPr>
        <w:t xml:space="preserve">VI. RESULTS AND DISCUSSION</w:t>
      </w:r>
    </w:p>
    <w:p>
      <w:pPr>
        <w:keepNext/>
        <w:spacing w:after="42" w:before="85"/>
      </w:pPr>
      <w:r>
        <w:rPr>
          <w:rFonts w:ascii="Times New Roman" w:cs="Times New Roman" w:eastAsia="Times New Roman" w:hAnsi="Times New Roman"/>
          <w:b/>
          <w:bCs/>
          <w:i/>
          <w:iCs/>
          <w:sz w:val="20"/>
          <w:szCs w:val="20"/>
        </w:rPr>
        <w:t xml:space="preserve">A. Detection Performance</w:t>
      </w:r>
    </w:p>
    <w:p>
      <w:pPr>
        <w:spacing w:after="68" w:line="222"/>
        <w:ind w:firstLine="260"/>
        <w:jc w:val="both"/>
      </w:pPr>
      <w:r>
        <w:rPr>
          <w:rFonts w:ascii="Times New Roman" w:cs="Times New Roman" w:eastAsia="Times New Roman" w:hAnsi="Times New Roman"/>
          <w:sz w:val="20"/>
          <w:szCs w:val="20"/>
        </w:rPr>
        <w:t xml:space="preserve">Table I reports per-class detection performance for the four vehicle categories relevant to this work, alongside the average restricted to those categories and the average over all ten dataset categories. Car detection is strong (mAP50 = 0.832); truck (0.426) and van (0.481) are the weakest of the relevant categories, consistent with a substantial instance-count imbalance between car and the remaining vehicle categories in the training data.</w:t>
      </w:r>
    </w:p>
    <w:p>
      <w:pPr>
        <w:sectPr>
          <w:type w:val="continuous"/>
          <w:pgSz w:w="12240" w:h="15840" w:orient="portrait"/>
          <w:pgMar w:top="1080" w:right="1080" w:bottom="1080" w:left="1080" w:header="708" w:footer="708" w:gutter="0"/>
          <w:pgNumType/>
          <w:cols w:space="360" w:num="2"/>
          <w:docGrid w:linePitch="360"/>
        </w:sectPr>
      </w:pP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2430"/>
        <w:gridCol w:w="1215"/>
        <w:gridCol w:w="1215"/>
      </w:tblGrid>
      <w:tr>
        <w:trPr>
          <w:tblHeader/>
        </w:trPr>
        <w:tc>
          <w:tcPr>
            <w:tcW w:type="dxa" w:w="2430"/>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5"/>
                <w:szCs w:val="15"/>
              </w:rPr>
              <w:t xml:space="preserve">Class</w:t>
            </w:r>
          </w:p>
        </w:tc>
        <w:tc>
          <w:tcPr>
            <w:tcW w:type="dxa" w:w="2430"/>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5"/>
                <w:szCs w:val="15"/>
              </w:rPr>
              <w:t xml:space="preserve">mAP50</w:t>
            </w:r>
          </w:p>
        </w:tc>
        <w:tc>
          <w:tcPr>
            <w:tcW w:type="dxa" w:w="2430"/>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5"/>
                <w:szCs w:val="15"/>
              </w:rPr>
              <w:t xml:space="preserve">mAP50-95</w:t>
            </w:r>
          </w:p>
        </w:tc>
      </w:tr>
      <w:tr>
        <w:tc>
          <w:tcPr>
            <w:tcW w:type="dxa" w:w="243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Car</w:t>
            </w:r>
          </w:p>
        </w:tc>
        <w:tc>
          <w:tcPr>
            <w:tcW w:type="dxa" w:w="243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0.832</w:t>
            </w:r>
          </w:p>
        </w:tc>
        <w:tc>
          <w:tcPr>
            <w:tcW w:type="dxa" w:w="243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0.586</w:t>
            </w:r>
          </w:p>
        </w:tc>
      </w:tr>
      <w:tr>
        <w:tc>
          <w:tcPr>
            <w:tcW w:type="dxa" w:w="243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Bus</w:t>
            </w:r>
          </w:p>
        </w:tc>
        <w:tc>
          <w:tcPr>
            <w:tcW w:type="dxa" w:w="243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0.600</w:t>
            </w:r>
          </w:p>
        </w:tc>
        <w:tc>
          <w:tcPr>
            <w:tcW w:type="dxa" w:w="243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0.438</w:t>
            </w:r>
          </w:p>
        </w:tc>
      </w:tr>
      <w:tr>
        <w:tc>
          <w:tcPr>
            <w:tcW w:type="dxa" w:w="243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Van</w:t>
            </w:r>
          </w:p>
        </w:tc>
        <w:tc>
          <w:tcPr>
            <w:tcW w:type="dxa" w:w="243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0.481</w:t>
            </w:r>
          </w:p>
        </w:tc>
        <w:tc>
          <w:tcPr>
            <w:tcW w:type="dxa" w:w="243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0.338</w:t>
            </w:r>
          </w:p>
        </w:tc>
      </w:tr>
      <w:tr>
        <w:tc>
          <w:tcPr>
            <w:tcW w:type="dxa" w:w="243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Truck</w:t>
            </w:r>
          </w:p>
        </w:tc>
        <w:tc>
          <w:tcPr>
            <w:tcW w:type="dxa" w:w="243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0.426</w:t>
            </w:r>
          </w:p>
        </w:tc>
        <w:tc>
          <w:tcPr>
            <w:tcW w:type="dxa" w:w="243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0.288</w:t>
            </w:r>
          </w:p>
        </w:tc>
      </w:tr>
      <w:tr>
        <w:tc>
          <w:tcPr>
            <w:tcW w:type="dxa" w:w="243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Relevant-class avg. (4 cls.)</w:t>
            </w:r>
          </w:p>
        </w:tc>
        <w:tc>
          <w:tcPr>
            <w:tcW w:type="dxa" w:w="243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0.585</w:t>
            </w:r>
          </w:p>
        </w:tc>
        <w:tc>
          <w:tcPr>
            <w:tcW w:type="dxa" w:w="243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0.413</w:t>
            </w:r>
          </w:p>
        </w:tc>
      </w:tr>
      <w:tr>
        <w:tc>
          <w:tcPr>
            <w:tcW w:type="dxa" w:w="243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All 10 dataset classes</w:t>
            </w:r>
          </w:p>
        </w:tc>
        <w:tc>
          <w:tcPr>
            <w:tcW w:type="dxa" w:w="243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0.457</w:t>
            </w:r>
          </w:p>
        </w:tc>
        <w:tc>
          <w:tcPr>
            <w:tcW w:type="dxa" w:w="243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0.273</w:t>
            </w:r>
          </w:p>
        </w:tc>
      </w:tr>
    </w:tbl>
    <w:p>
      <w:pPr>
        <w:spacing w:after="75" w:before="30"/>
        <w:jc w:val="center"/>
      </w:pPr>
      <w:r>
        <w:rPr>
          <w:rFonts w:ascii="Times New Roman" w:cs="Times New Roman" w:eastAsia="Times New Roman" w:hAnsi="Times New Roman"/>
          <w:b w:val="false"/>
          <w:bCs w:val="false"/>
          <w:sz w:val="18"/>
          <w:szCs w:val="18"/>
        </w:rPr>
        <w:t xml:space="preserve">TABLE I. VEHICLE DETECTION PERFORMANCE BY CLASS</w:t>
      </w:r>
    </w:p>
    <w:p>
      <w:pPr>
        <w:sectPr>
          <w:type w:val="continuous"/>
          <w:pgSz w:w="12240" w:h="15840" w:orient="portrait"/>
          <w:pgMar w:top="1080" w:right="1080" w:bottom="1080" w:left="1080" w:header="708" w:footer="708" w:gutter="0"/>
          <w:pgNumType/>
          <w:cols w:space="360" w:num="1"/>
          <w:docGrid w:linePitch="360"/>
        </w:sectPr>
      </w:pPr>
    </w:p>
    <w:p>
      <w:pPr>
        <w:spacing w:after="68" w:line="222"/>
        <w:ind w:firstLine="260"/>
        <w:jc w:val="both"/>
      </w:pPr>
      <w:r>
        <w:rPr>
          <w:rFonts w:ascii="Times New Roman" w:cs="Times New Roman" w:eastAsia="Times New Roman" w:hAnsi="Times New Roman"/>
          <w:sz w:val="20"/>
          <w:szCs w:val="20"/>
        </w:rPr>
        <w:t xml:space="preserve">The relevant-class mAP50 of 0.585 (Eq. 2) remains below a common 0.75 target for aerial vehicle detection, but the shortfall appears to be dominated by training-configuration choices rather than a fundamental limitation of the detector architecture: all ten categories were trained jointly even though six of them are irrelevant to this task and several individually outnumber the underrepresented vehicle categories in the training data; the training run stopped before either of its configured stopping conditions was met, with loss still decreasing; and car outnumbers truck by more than 10:1 among the relevant categories alone. A retrain restricted to the four relevant categories and run to genuine convergence is expected to close most of the remaining gap before more expensive remedies, such as tiled inference or a larger backbone, are considered.</w:t>
      </w:r>
    </w:p>
    <w:p>
      <w:pPr>
        <w:keepNext/>
        <w:spacing w:after="42" w:before="85"/>
      </w:pPr>
      <w:r>
        <w:rPr>
          <w:rFonts w:ascii="Times New Roman" w:cs="Times New Roman" w:eastAsia="Times New Roman" w:hAnsi="Times New Roman"/>
          <w:b/>
          <w:bCs/>
          <w:i/>
          <w:iCs/>
          <w:sz w:val="20"/>
          <w:szCs w:val="20"/>
        </w:rPr>
        <w:t xml:space="preserve">B. Duplicate-Detection Artifact and Its Correction</w:t>
      </w:r>
    </w:p>
    <w:p>
      <w:pPr>
        <w:spacing w:after="68" w:line="222"/>
        <w:ind w:firstLine="260"/>
        <w:jc w:val="both"/>
      </w:pPr>
      <w:r>
        <w:rPr>
          <w:rFonts w:ascii="Times New Roman" w:cs="Times New Roman" w:eastAsia="Times New Roman" w:hAnsi="Times New Roman"/>
          <w:sz w:val="20"/>
          <w:szCs w:val="20"/>
        </w:rPr>
        <w:t xml:space="preserve">The detector was found to frequently produce two overlapping bounding boxes for the same physical vehicle under two different class labels. Left uncorrected, the tracker would match one box and start a short-lived new identity from the other, fragmenting a single vehicle's trajectory into many short tracks; this artifact, not the tracker or its configuration, was the dominant cause of identity fragmentation observed during development. Applying the class-agnostic duplicate-suppression step described in Section III-A before tracking reduced the number of distinct identities assigned to a fixed real-world test clip from 113 to 45, and on a simulated flight from 48 to 37, with essentially unchanged detection coverage in both cases. On a longer, approximately 8,700-frame real-world clip, the number of distinct identities fell from 3,730 (requiring 2,308 trajectory-linking merges to approximate correct tracks) to 714 after the correction, and to 695 once trajectory linking was applied.</w:t>
      </w:r>
    </w:p>
    <w:p>
      <w:pPr>
        <w:keepNext/>
        <w:spacing w:after="42" w:before="85"/>
      </w:pPr>
      <w:r>
        <w:rPr>
          <w:rFonts w:ascii="Times New Roman" w:cs="Times New Roman" w:eastAsia="Times New Roman" w:hAnsi="Times New Roman"/>
          <w:b/>
          <w:bCs/>
          <w:i/>
          <w:iCs/>
          <w:sz w:val="20"/>
          <w:szCs w:val="20"/>
        </w:rPr>
        <w:t xml:space="preserve">C. Tracker Comparison on Ground Truth</w:t>
      </w:r>
    </w:p>
    <w:p>
      <w:pPr>
        <w:spacing w:after="68" w:line="222"/>
        <w:ind w:firstLine="260"/>
        <w:jc w:val="both"/>
      </w:pPr>
      <w:r>
        <w:rPr>
          <w:rFonts w:ascii="Times New Roman" w:cs="Times New Roman" w:eastAsia="Times New Roman" w:hAnsi="Times New Roman"/>
          <w:sz w:val="20"/>
          <w:szCs w:val="20"/>
        </w:rPr>
        <w:t xml:space="preserve">Table II compares the tracker configurations on the simulated ground-truth clip, after trajectory linking and post-processing. The alternative tracker evaluated here achieves the highest identity F1 score (0.874) and the fewest identity switches (2), with no false-positive tracks, at a small cost in recall relative to the adopted configuration.</w:t>
      </w:r>
    </w:p>
    <w:p>
      <w:pPr>
        <w:sectPr>
          <w:type w:val="continuous"/>
          <w:pgSz w:w="12240" w:h="15840" w:orient="portrait"/>
          <w:pgMar w:top="1080" w:right="1080" w:bottom="1080" w:left="1080" w:header="708" w:footer="708" w:gutter="0"/>
          <w:pgNumType/>
          <w:cols w:space="360" w:num="2"/>
          <w:docGrid w:linePitch="360"/>
        </w:sectPr>
      </w:pP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846"/>
        <w:gridCol w:w="680"/>
        <w:gridCol w:w="729"/>
        <w:gridCol w:w="583"/>
        <w:gridCol w:w="534"/>
        <w:gridCol w:w="486"/>
      </w:tblGrid>
      <w:tr>
        <w:trPr>
          <w:tblHeader/>
        </w:trPr>
        <w:tc>
          <w:tcPr>
            <w:tcW w:type="dxa" w:w="1846"/>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5"/>
                <w:szCs w:val="15"/>
              </w:rPr>
              <w:t xml:space="preserve">Config</w:t>
            </w:r>
          </w:p>
        </w:tc>
        <w:tc>
          <w:tcPr>
            <w:tcW w:type="dxa" w:w="1846"/>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5"/>
                <w:szCs w:val="15"/>
              </w:rPr>
              <w:t xml:space="preserve">IDF1</w:t>
            </w:r>
          </w:p>
        </w:tc>
        <w:tc>
          <w:tcPr>
            <w:tcW w:type="dxa" w:w="1846"/>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5"/>
                <w:szCs w:val="15"/>
              </w:rPr>
              <w:t xml:space="preserve">MOTA</w:t>
            </w:r>
          </w:p>
        </w:tc>
        <w:tc>
          <w:tcPr>
            <w:tcW w:type="dxa" w:w="1846"/>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5"/>
                <w:szCs w:val="15"/>
              </w:rPr>
              <w:t xml:space="preserve">ID sw.</w:t>
            </w:r>
          </w:p>
        </w:tc>
        <w:tc>
          <w:tcPr>
            <w:tcW w:type="dxa" w:w="1846"/>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5"/>
                <w:szCs w:val="15"/>
              </w:rPr>
              <w:t xml:space="preserve">Det. R</w:t>
            </w:r>
          </w:p>
        </w:tc>
        <w:tc>
          <w:tcPr>
            <w:tcW w:type="dxa" w:w="1846"/>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5"/>
                <w:szCs w:val="15"/>
              </w:rPr>
              <w:t xml:space="preserve">FP trk.</w:t>
            </w:r>
          </w:p>
        </w:tc>
      </w:tr>
      <w:tr>
        <w:tc>
          <w:tcPr>
            <w:tcW w:type="dxa" w:w="1846"/>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Motion+appearance (adopted)</w:t>
            </w:r>
          </w:p>
        </w:tc>
        <w:tc>
          <w:tcPr>
            <w:tcW w:type="dxa" w:w="1846"/>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0.852</w:t>
            </w:r>
          </w:p>
        </w:tc>
        <w:tc>
          <w:tcPr>
            <w:tcW w:type="dxa" w:w="1846"/>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0.806</w:t>
            </w:r>
          </w:p>
        </w:tc>
        <w:tc>
          <w:tcPr>
            <w:tcW w:type="dxa" w:w="1846"/>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3</w:t>
            </w:r>
          </w:p>
        </w:tc>
        <w:tc>
          <w:tcPr>
            <w:tcW w:type="dxa" w:w="1846"/>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0.879</w:t>
            </w:r>
          </w:p>
        </w:tc>
        <w:tc>
          <w:tcPr>
            <w:tcW w:type="dxa" w:w="1846"/>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2</w:t>
            </w:r>
          </w:p>
        </w:tc>
      </w:tr>
      <w:tr>
        <w:tc>
          <w:tcPr>
            <w:tcW w:type="dxa" w:w="1846"/>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 appearance, default thr.</w:t>
            </w:r>
          </w:p>
        </w:tc>
        <w:tc>
          <w:tcPr>
            <w:tcW w:type="dxa" w:w="1846"/>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0.852</w:t>
            </w:r>
          </w:p>
        </w:tc>
        <w:tc>
          <w:tcPr>
            <w:tcW w:type="dxa" w:w="1846"/>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0.806</w:t>
            </w:r>
          </w:p>
        </w:tc>
        <w:tc>
          <w:tcPr>
            <w:tcW w:type="dxa" w:w="1846"/>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3</w:t>
            </w:r>
          </w:p>
        </w:tc>
        <w:tc>
          <w:tcPr>
            <w:tcW w:type="dxa" w:w="1846"/>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0.879</w:t>
            </w:r>
          </w:p>
        </w:tc>
        <w:tc>
          <w:tcPr>
            <w:tcW w:type="dxa" w:w="1846"/>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2</w:t>
            </w:r>
          </w:p>
        </w:tc>
      </w:tr>
      <w:tr>
        <w:tc>
          <w:tcPr>
            <w:tcW w:type="dxa" w:w="1846"/>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 appearance, strict thr.</w:t>
            </w:r>
          </w:p>
        </w:tc>
        <w:tc>
          <w:tcPr>
            <w:tcW w:type="dxa" w:w="1846"/>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0.851</w:t>
            </w:r>
          </w:p>
        </w:tc>
        <w:tc>
          <w:tcPr>
            <w:tcW w:type="dxa" w:w="1846"/>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0.803</w:t>
            </w:r>
          </w:p>
        </w:tc>
        <w:tc>
          <w:tcPr>
            <w:tcW w:type="dxa" w:w="1846"/>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3</w:t>
            </w:r>
          </w:p>
        </w:tc>
        <w:tc>
          <w:tcPr>
            <w:tcW w:type="dxa" w:w="1846"/>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0.875</w:t>
            </w:r>
          </w:p>
        </w:tc>
        <w:tc>
          <w:tcPr>
            <w:tcW w:type="dxa" w:w="1846"/>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2</w:t>
            </w:r>
          </w:p>
        </w:tc>
      </w:tr>
      <w:tr>
        <w:tc>
          <w:tcPr>
            <w:tcW w:type="dxa" w:w="1846"/>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Motion only</w:t>
            </w:r>
          </w:p>
        </w:tc>
        <w:tc>
          <w:tcPr>
            <w:tcW w:type="dxa" w:w="1846"/>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0.826</w:t>
            </w:r>
          </w:p>
        </w:tc>
        <w:tc>
          <w:tcPr>
            <w:tcW w:type="dxa" w:w="1846"/>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0.750</w:t>
            </w:r>
          </w:p>
        </w:tc>
        <w:tc>
          <w:tcPr>
            <w:tcW w:type="dxa" w:w="1846"/>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4</w:t>
            </w:r>
          </w:p>
        </w:tc>
        <w:tc>
          <w:tcPr>
            <w:tcW w:type="dxa" w:w="1846"/>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0.814</w:t>
            </w:r>
          </w:p>
        </w:tc>
        <w:tc>
          <w:tcPr>
            <w:tcW w:type="dxa" w:w="1846"/>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2</w:t>
            </w:r>
          </w:p>
        </w:tc>
      </w:tr>
      <w:tr>
        <w:tc>
          <w:tcPr>
            <w:tcW w:type="dxa" w:w="1846"/>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Motion only, loosened gate</w:t>
            </w:r>
          </w:p>
        </w:tc>
        <w:tc>
          <w:tcPr>
            <w:tcW w:type="dxa" w:w="1846"/>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0.849</w:t>
            </w:r>
          </w:p>
        </w:tc>
        <w:tc>
          <w:tcPr>
            <w:tcW w:type="dxa" w:w="1846"/>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0.795</w:t>
            </w:r>
          </w:p>
        </w:tc>
        <w:tc>
          <w:tcPr>
            <w:tcW w:type="dxa" w:w="1846"/>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3</w:t>
            </w:r>
          </w:p>
        </w:tc>
        <w:tc>
          <w:tcPr>
            <w:tcW w:type="dxa" w:w="1846"/>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0.864</w:t>
            </w:r>
          </w:p>
        </w:tc>
        <w:tc>
          <w:tcPr>
            <w:tcW w:type="dxa" w:w="1846"/>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2</w:t>
            </w:r>
          </w:p>
        </w:tc>
      </w:tr>
      <w:tr>
        <w:tc>
          <w:tcPr>
            <w:tcW w:type="dxa" w:w="1846"/>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Alternative tracker A</w:t>
            </w:r>
          </w:p>
        </w:tc>
        <w:tc>
          <w:tcPr>
            <w:tcW w:type="dxa" w:w="1846"/>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0.871</w:t>
            </w:r>
          </w:p>
        </w:tc>
        <w:tc>
          <w:tcPr>
            <w:tcW w:type="dxa" w:w="1846"/>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0.801</w:t>
            </w:r>
          </w:p>
        </w:tc>
        <w:tc>
          <w:tcPr>
            <w:tcW w:type="dxa" w:w="1846"/>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2</w:t>
            </w:r>
          </w:p>
        </w:tc>
        <w:tc>
          <w:tcPr>
            <w:tcW w:type="dxa" w:w="1846"/>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0.865</w:t>
            </w:r>
          </w:p>
        </w:tc>
        <w:tc>
          <w:tcPr>
            <w:tcW w:type="dxa" w:w="1846"/>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w:t>
            </w:r>
          </w:p>
        </w:tc>
      </w:tr>
      <w:tr>
        <w:tc>
          <w:tcPr>
            <w:tcW w:type="dxa" w:w="1846"/>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Alternative tracker B</w:t>
            </w:r>
          </w:p>
        </w:tc>
        <w:tc>
          <w:tcPr>
            <w:tcW w:type="dxa" w:w="1846"/>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0.817</w:t>
            </w:r>
          </w:p>
        </w:tc>
        <w:tc>
          <w:tcPr>
            <w:tcW w:type="dxa" w:w="1846"/>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0.757</w:t>
            </w:r>
          </w:p>
        </w:tc>
        <w:tc>
          <w:tcPr>
            <w:tcW w:type="dxa" w:w="1846"/>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4</w:t>
            </w:r>
          </w:p>
        </w:tc>
        <w:tc>
          <w:tcPr>
            <w:tcW w:type="dxa" w:w="1846"/>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0.844</w:t>
            </w:r>
          </w:p>
        </w:tc>
        <w:tc>
          <w:tcPr>
            <w:tcW w:type="dxa" w:w="1846"/>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2</w:t>
            </w:r>
          </w:p>
        </w:tc>
      </w:tr>
      <w:tr>
        <w:tc>
          <w:tcPr>
            <w:tcW w:type="dxa" w:w="1846"/>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Alternative tracker C</w:t>
            </w:r>
          </w:p>
        </w:tc>
        <w:tc>
          <w:tcPr>
            <w:tcW w:type="dxa" w:w="1846"/>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0.827</w:t>
            </w:r>
          </w:p>
        </w:tc>
        <w:tc>
          <w:tcPr>
            <w:tcW w:type="dxa" w:w="1846"/>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0.756</w:t>
            </w:r>
          </w:p>
        </w:tc>
        <w:tc>
          <w:tcPr>
            <w:tcW w:type="dxa" w:w="1846"/>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3</w:t>
            </w:r>
          </w:p>
        </w:tc>
        <w:tc>
          <w:tcPr>
            <w:tcW w:type="dxa" w:w="1846"/>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0.842</w:t>
            </w:r>
          </w:p>
        </w:tc>
        <w:tc>
          <w:tcPr>
            <w:tcW w:type="dxa" w:w="1846"/>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2</w:t>
            </w:r>
          </w:p>
        </w:tc>
      </w:tr>
      <w:tr>
        <w:tc>
          <w:tcPr>
            <w:tcW w:type="dxa" w:w="1846"/>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Baseline motion tracker</w:t>
            </w:r>
          </w:p>
        </w:tc>
        <w:tc>
          <w:tcPr>
            <w:tcW w:type="dxa" w:w="1846"/>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0.808</w:t>
            </w:r>
          </w:p>
        </w:tc>
        <w:tc>
          <w:tcPr>
            <w:tcW w:type="dxa" w:w="1846"/>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0.724</w:t>
            </w:r>
          </w:p>
        </w:tc>
        <w:tc>
          <w:tcPr>
            <w:tcW w:type="dxa" w:w="1846"/>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14</w:t>
            </w:r>
          </w:p>
        </w:tc>
        <w:tc>
          <w:tcPr>
            <w:tcW w:type="dxa" w:w="1846"/>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0.795</w:t>
            </w:r>
          </w:p>
        </w:tc>
        <w:tc>
          <w:tcPr>
            <w:tcW w:type="dxa" w:w="1846"/>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2</w:t>
            </w:r>
          </w:p>
        </w:tc>
      </w:tr>
    </w:tbl>
    <w:p>
      <w:pPr>
        <w:spacing w:after="75" w:before="30"/>
        <w:jc w:val="center"/>
      </w:pPr>
      <w:r>
        <w:rPr>
          <w:rFonts w:ascii="Times New Roman" w:cs="Times New Roman" w:eastAsia="Times New Roman" w:hAnsi="Times New Roman"/>
          <w:b w:val="false"/>
          <w:bCs w:val="false"/>
          <w:sz w:val="18"/>
          <w:szCs w:val="18"/>
        </w:rPr>
        <w:t xml:space="preserve">TABLE II. TRACKER COMPARISON AFTER LINKING AND POST-PROCESSING</w:t>
      </w:r>
    </w:p>
    <w:p>
      <w:pPr>
        <w:sectPr>
          <w:type w:val="continuous"/>
          <w:pgSz w:w="12240" w:h="15840" w:orient="portrait"/>
          <w:pgMar w:top="1080" w:right="1080" w:bottom="1080" w:left="1080" w:header="708" w:footer="708" w:gutter="0"/>
          <w:pgNumType/>
          <w:cols w:space="360" w:num="1"/>
          <w:docGrid w:linePitch="360"/>
        </w:sectPr>
      </w:pPr>
    </w:p>
    <w:p>
      <w:pPr>
        <w:keepNext/>
        <w:spacing w:after="42" w:before="85"/>
      </w:pPr>
      <w:r>
        <w:rPr>
          <w:rFonts w:ascii="Times New Roman" w:cs="Times New Roman" w:eastAsia="Times New Roman" w:hAnsi="Times New Roman"/>
          <w:b/>
          <w:bCs/>
          <w:i/>
          <w:iCs/>
          <w:sz w:val="20"/>
          <w:szCs w:val="20"/>
        </w:rPr>
        <w:t xml:space="preserve">D. Appearance-Based Re-Identification Ablation</w:t>
      </w:r>
    </w:p>
    <w:p>
      <w:pPr>
        <w:spacing w:after="68" w:line="222"/>
        <w:ind w:firstLine="260"/>
        <w:jc w:val="both"/>
      </w:pPr>
      <w:r>
        <w:rPr>
          <w:rFonts w:ascii="Times New Roman" w:cs="Times New Roman" w:eastAsia="Times New Roman" w:hAnsi="Times New Roman"/>
          <w:sz w:val="20"/>
          <w:szCs w:val="20"/>
        </w:rPr>
        <w:t xml:space="preserve">A controlled comparison isolated the contribution of appearance-based re-identification. At the default appearance threshold, adding an appearance-embedding term produced identical identity assignments to the motion-only configuration on essentially every detection, indicating the embedding distance rarely crossed the rejection threshold in practice. Tightening the appearance threshold so that the embedding had to genuinely discriminate between vehicles was marginally worse, not better. Removing the appearance term entirely but loosening the spatial-overlap requirement for association instead recovered nearly all of the apparent benefit attributed to appearance matching, at lower computational cost. The evidence therefore indicates that, under the conditions tested here, appearance-based re-identification adds no measurable identity-preservation benefit beyond a suitably loosened motion-based association rule. The evaluated clip contains no long occlusions or sudden camera motion, the conditions appearance matching is generally intended to help with, so this finding is reported as specific to the tested conditions rather than a general claim about re-identification.</w:t>
      </w:r>
    </w:p>
    <w:p>
      <w:pPr>
        <w:keepNext/>
        <w:spacing w:after="42" w:before="85"/>
      </w:pPr>
      <w:r>
        <w:rPr>
          <w:rFonts w:ascii="Times New Roman" w:cs="Times New Roman" w:eastAsia="Times New Roman" w:hAnsi="Times New Roman"/>
          <w:b/>
          <w:bCs/>
          <w:i/>
          <w:iCs/>
          <w:sz w:val="20"/>
          <w:szCs w:val="20"/>
        </w:rPr>
        <w:t xml:space="preserve">E. Detector Input Resolution Ablation</w:t>
      </w:r>
    </w:p>
    <w:p>
      <w:pPr>
        <w:spacing w:after="68" w:line="222"/>
        <w:ind w:firstLine="260"/>
        <w:jc w:val="both"/>
      </w:pPr>
      <w:r>
        <w:rPr>
          <w:rFonts w:ascii="Times New Roman" w:cs="Times New Roman" w:eastAsia="Times New Roman" w:hAnsi="Times New Roman"/>
          <w:sz w:val="20"/>
          <w:szCs w:val="20"/>
        </w:rPr>
        <w:t xml:space="preserve">Increasing the detector's input resolution degraded both detection precision and tracking accuracy on the simulated ground-truth clip, the opposite of its effect on lower-resolution real-world footage, where a higher input resolution recovered a meaningful number of additional real vehicle detections. Vehicles in the simulated clip are comparatively large in pixel terms; enlarging the input pushes them outside the object-size range the detector was trained on, increasing both missed and duplicated detections. The appropriate input resolution therefore depends on flight altitude and vehicle scale rather than being fixed across footage types, and a lower resolution is preferable for the altitude used in the simulated evaluation.</w:t>
      </w:r>
    </w:p>
    <w:p>
      <w:pPr>
        <w:keepNext/>
        <w:spacing w:after="42" w:before="85"/>
      </w:pPr>
      <w:r>
        <w:rPr>
          <w:rFonts w:ascii="Times New Roman" w:cs="Times New Roman" w:eastAsia="Times New Roman" w:hAnsi="Times New Roman"/>
          <w:b/>
          <w:bCs/>
          <w:i/>
          <w:iCs/>
          <w:sz w:val="20"/>
          <w:szCs w:val="20"/>
        </w:rPr>
        <w:t xml:space="preserve">F. Gap Interpolation and HOTA</w:t>
      </w:r>
    </w:p>
    <w:p>
      <w:pPr>
        <w:spacing w:after="68" w:line="222"/>
        <w:ind w:firstLine="260"/>
        <w:jc w:val="both"/>
      </w:pPr>
      <w:r>
        <w:rPr>
          <w:rFonts w:ascii="Times New Roman" w:cs="Times New Roman" w:eastAsia="Times New Roman" w:hAnsi="Times New Roman"/>
          <w:sz w:val="20"/>
          <w:szCs w:val="20"/>
        </w:rPr>
        <w:t xml:space="preserve">Applying the gap-interpolation procedure of Eq. 6 to short internal breaks in otherwise-continuous tracks raised MOTA (Eq. 7) on the ground-truth clip for the adopted tracker configuration and for the best-performing alternative tracker alike, with detection precision essentially unchanged, confirming that the interpolated positions are placed correctly rather than merely inflating recall. With gap interpolation applied, the two leading configurations converge to within 0.001 of each other on HOTA (Eq. 9; Table III), so the final choice between them is not yet settled and is left for evaluation on a wider range of footage.</w:t>
      </w:r>
    </w:p>
    <w:p>
      <w:pPr>
        <w:sectPr>
          <w:type w:val="continuous"/>
          <w:pgSz w:w="12240" w:h="15840" w:orient="portrait"/>
          <w:pgMar w:top="1080" w:right="1080" w:bottom="1080" w:left="1080" w:header="708" w:footer="708" w:gutter="0"/>
          <w:pgNumType/>
          <w:cols w:space="360" w:num="2"/>
          <w:docGrid w:linePitch="360"/>
        </w:sectPr>
      </w:pP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458"/>
        <w:gridCol w:w="583"/>
        <w:gridCol w:w="583"/>
        <w:gridCol w:w="631"/>
        <w:gridCol w:w="534"/>
        <w:gridCol w:w="534"/>
        <w:gridCol w:w="534"/>
      </w:tblGrid>
      <w:tr>
        <w:trPr>
          <w:tblHeader/>
        </w:trPr>
        <w:tc>
          <w:tcPr>
            <w:tcW w:type="dxa" w:w="1458"/>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5"/>
                <w:szCs w:val="15"/>
              </w:rPr>
              <w:t xml:space="preserve">Config</w:t>
            </w:r>
          </w:p>
        </w:tc>
        <w:tc>
          <w:tcPr>
            <w:tcW w:type="dxa" w:w="1458"/>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5"/>
                <w:szCs w:val="15"/>
              </w:rPr>
              <w:t xml:space="preserve">HOTA</w:t>
            </w:r>
          </w:p>
        </w:tc>
        <w:tc>
          <w:tcPr>
            <w:tcW w:type="dxa" w:w="1458"/>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5"/>
                <w:szCs w:val="15"/>
              </w:rPr>
              <w:t xml:space="preserve">IDF1</w:t>
            </w:r>
          </w:p>
        </w:tc>
        <w:tc>
          <w:tcPr>
            <w:tcW w:type="dxa" w:w="1458"/>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5"/>
                <w:szCs w:val="15"/>
              </w:rPr>
              <w:t xml:space="preserve">MOTA</w:t>
            </w:r>
          </w:p>
        </w:tc>
        <w:tc>
          <w:tcPr>
            <w:tcW w:type="dxa" w:w="1458"/>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5"/>
                <w:szCs w:val="15"/>
              </w:rPr>
              <w:t xml:space="preserve">ID sw.</w:t>
            </w:r>
          </w:p>
        </w:tc>
        <w:tc>
          <w:tcPr>
            <w:tcW w:type="dxa" w:w="1458"/>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5"/>
                <w:szCs w:val="15"/>
              </w:rPr>
              <w:t xml:space="preserve">FP trk.</w:t>
            </w:r>
          </w:p>
        </w:tc>
        <w:tc>
          <w:tcPr>
            <w:tcW w:type="dxa" w:w="1458"/>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5"/>
                <w:szCs w:val="15"/>
              </w:rPr>
              <w:t xml:space="preserve">IDs (GT 40)</w:t>
            </w:r>
          </w:p>
        </w:tc>
      </w:tr>
      <w:tr>
        <w:tc>
          <w:tcPr>
            <w:tcW w:type="dxa" w:w="1458"/>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Motion+appearance (adopted)</w:t>
            </w:r>
          </w:p>
        </w:tc>
        <w:tc>
          <w:tcPr>
            <w:tcW w:type="dxa" w:w="1458"/>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0.630</w:t>
            </w:r>
          </w:p>
        </w:tc>
        <w:tc>
          <w:tcPr>
            <w:tcW w:type="dxa" w:w="1458"/>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0.859</w:t>
            </w:r>
          </w:p>
        </w:tc>
        <w:tc>
          <w:tcPr>
            <w:tcW w:type="dxa" w:w="1458"/>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0.829</w:t>
            </w:r>
          </w:p>
        </w:tc>
        <w:tc>
          <w:tcPr>
            <w:tcW w:type="dxa" w:w="1458"/>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3</w:t>
            </w:r>
          </w:p>
        </w:tc>
        <w:tc>
          <w:tcPr>
            <w:tcW w:type="dxa" w:w="1458"/>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1</w:t>
            </w:r>
          </w:p>
        </w:tc>
        <w:tc>
          <w:tcPr>
            <w:tcW w:type="dxa" w:w="1458"/>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41</w:t>
            </w:r>
          </w:p>
        </w:tc>
      </w:tr>
      <w:tr>
        <w:tc>
          <w:tcPr>
            <w:tcW w:type="dxa" w:w="1458"/>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Alternative tracker A</w:t>
            </w:r>
          </w:p>
        </w:tc>
        <w:tc>
          <w:tcPr>
            <w:tcW w:type="dxa" w:w="1458"/>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0.631</w:t>
            </w:r>
          </w:p>
        </w:tc>
        <w:tc>
          <w:tcPr>
            <w:tcW w:type="dxa" w:w="1458"/>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0.874</w:t>
            </w:r>
          </w:p>
        </w:tc>
        <w:tc>
          <w:tcPr>
            <w:tcW w:type="dxa" w:w="1458"/>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0.817</w:t>
            </w:r>
          </w:p>
        </w:tc>
        <w:tc>
          <w:tcPr>
            <w:tcW w:type="dxa" w:w="1458"/>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2</w:t>
            </w:r>
          </w:p>
        </w:tc>
        <w:tc>
          <w:tcPr>
            <w:tcW w:type="dxa" w:w="1458"/>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w:t>
            </w:r>
          </w:p>
        </w:tc>
        <w:tc>
          <w:tcPr>
            <w:tcW w:type="dxa" w:w="1458"/>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39</w:t>
            </w:r>
          </w:p>
        </w:tc>
      </w:tr>
    </w:tbl>
    <w:p>
      <w:pPr>
        <w:spacing w:after="75" w:before="30"/>
        <w:jc w:val="center"/>
      </w:pPr>
      <w:r>
        <w:rPr>
          <w:rFonts w:ascii="Times New Roman" w:cs="Times New Roman" w:eastAsia="Times New Roman" w:hAnsi="Times New Roman"/>
          <w:b w:val="false"/>
          <w:bCs w:val="false"/>
          <w:sz w:val="18"/>
          <w:szCs w:val="18"/>
        </w:rPr>
        <w:t xml:space="preserve">TABLE III. TRACKING RESULT WITH GAP INTERPOLATION APPLIED</w:t>
      </w:r>
    </w:p>
    <w:p>
      <w:pPr>
        <w:sectPr>
          <w:type w:val="continuous"/>
          <w:pgSz w:w="12240" w:h="15840" w:orient="portrait"/>
          <w:pgMar w:top="1080" w:right="1080" w:bottom="1080" w:left="1080" w:header="708" w:footer="708" w:gutter="0"/>
          <w:pgNumType/>
          <w:cols w:space="360" w:num="1"/>
          <w:docGrid w:linePitch="360"/>
        </w:sectPr>
      </w:pPr>
    </w:p>
    <w:p>
      <w:pPr>
        <w:keepNext/>
        <w:spacing w:after="42" w:before="85"/>
      </w:pPr>
      <w:r>
        <w:rPr>
          <w:rFonts w:ascii="Times New Roman" w:cs="Times New Roman" w:eastAsia="Times New Roman" w:hAnsi="Times New Roman"/>
          <w:b/>
          <w:bCs/>
          <w:i/>
          <w:iCs/>
          <w:sz w:val="20"/>
          <w:szCs w:val="20"/>
        </w:rPr>
        <w:t xml:space="preserve">G. Road Surface Anomaly Detection Baseline</w:t>
      </w:r>
    </w:p>
    <w:p>
      <w:pPr>
        <w:spacing w:after="68" w:line="222"/>
        <w:ind w:firstLine="260"/>
        <w:jc w:val="both"/>
      </w:pPr>
      <w:r>
        <w:rPr>
          <w:rFonts w:ascii="Times New Roman" w:cs="Times New Roman" w:eastAsia="Times New Roman" w:hAnsi="Times New Roman"/>
          <w:sz w:val="20"/>
          <w:szCs w:val="20"/>
        </w:rPr>
        <w:t xml:space="preserve">The pothole segmentation model reaches box precision 0.936, recall 0.838, and mAP50 0.923, and mask precision 0.956, recall 0.856, and mAP50 0.927 (Table IV), comfortably exceeding a common F1 ≥ 0.65 target for this task on the trained category. The proposed architectural extension described in Section III-F, intended to improve robustness to small, low-contrast defects from an aerial viewpoint, has not yet been evaluated, and the remaining anomaly categories — cracking, waterlogging, and debris — remain untrained, so this result should be read as a baseline rather than a final figure.</w:t>
      </w:r>
    </w:p>
    <w:p>
      <w:pPr>
        <w:sectPr>
          <w:type w:val="continuous"/>
          <w:pgSz w:w="12240" w:h="15840" w:orient="portrait"/>
          <w:pgMar w:top="1080" w:right="1080" w:bottom="1080" w:left="1080" w:header="708" w:footer="708" w:gutter="0"/>
          <w:pgNumType/>
          <w:cols w:space="360" w:num="2"/>
          <w:docGrid w:linePitch="360"/>
        </w:sectPr>
      </w:pP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2430"/>
        <w:gridCol w:w="1215"/>
        <w:gridCol w:w="1215"/>
      </w:tblGrid>
      <w:tr>
        <w:trPr>
          <w:tblHeader/>
        </w:trPr>
        <w:tc>
          <w:tcPr>
            <w:tcW w:type="dxa" w:w="2430"/>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5"/>
                <w:szCs w:val="15"/>
              </w:rPr>
              <w:t xml:space="preserve">Metric</w:t>
            </w:r>
          </w:p>
        </w:tc>
        <w:tc>
          <w:tcPr>
            <w:tcW w:type="dxa" w:w="2430"/>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5"/>
                <w:szCs w:val="15"/>
              </w:rPr>
              <w:t xml:space="preserve">Box</w:t>
            </w:r>
          </w:p>
        </w:tc>
        <w:tc>
          <w:tcPr>
            <w:tcW w:type="dxa" w:w="2430"/>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5"/>
                <w:szCs w:val="15"/>
              </w:rPr>
              <w:t xml:space="preserve">Mask</w:t>
            </w:r>
          </w:p>
        </w:tc>
      </w:tr>
      <w:tr>
        <w:tc>
          <w:tcPr>
            <w:tcW w:type="dxa" w:w="243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Precision</w:t>
            </w:r>
          </w:p>
        </w:tc>
        <w:tc>
          <w:tcPr>
            <w:tcW w:type="dxa" w:w="243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0.936</w:t>
            </w:r>
          </w:p>
        </w:tc>
        <w:tc>
          <w:tcPr>
            <w:tcW w:type="dxa" w:w="243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0.956</w:t>
            </w:r>
          </w:p>
        </w:tc>
      </w:tr>
      <w:tr>
        <w:tc>
          <w:tcPr>
            <w:tcW w:type="dxa" w:w="243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Recall</w:t>
            </w:r>
          </w:p>
        </w:tc>
        <w:tc>
          <w:tcPr>
            <w:tcW w:type="dxa" w:w="243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0.838</w:t>
            </w:r>
          </w:p>
        </w:tc>
        <w:tc>
          <w:tcPr>
            <w:tcW w:type="dxa" w:w="243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0.856</w:t>
            </w:r>
          </w:p>
        </w:tc>
      </w:tr>
      <w:tr>
        <w:tc>
          <w:tcPr>
            <w:tcW w:type="dxa" w:w="243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mAP50</w:t>
            </w:r>
          </w:p>
        </w:tc>
        <w:tc>
          <w:tcPr>
            <w:tcW w:type="dxa" w:w="243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0.923</w:t>
            </w:r>
          </w:p>
        </w:tc>
        <w:tc>
          <w:tcPr>
            <w:tcW w:type="dxa" w:w="243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0.927</w:t>
            </w:r>
          </w:p>
        </w:tc>
      </w:tr>
      <w:tr>
        <w:tc>
          <w:tcPr>
            <w:tcW w:type="dxa" w:w="243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mAP50-95</w:t>
            </w:r>
          </w:p>
        </w:tc>
        <w:tc>
          <w:tcPr>
            <w:tcW w:type="dxa" w:w="243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0.605</w:t>
            </w:r>
          </w:p>
        </w:tc>
        <w:tc>
          <w:tcPr>
            <w:tcW w:type="dxa" w:w="243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0.635</w:t>
            </w:r>
          </w:p>
        </w:tc>
      </w:tr>
    </w:tbl>
    <w:p>
      <w:pPr>
        <w:spacing w:after="75" w:before="30"/>
        <w:jc w:val="center"/>
      </w:pPr>
      <w:r>
        <w:rPr>
          <w:rFonts w:ascii="Times New Roman" w:cs="Times New Roman" w:eastAsia="Times New Roman" w:hAnsi="Times New Roman"/>
          <w:b w:val="false"/>
          <w:bCs w:val="false"/>
          <w:sz w:val="18"/>
          <w:szCs w:val="18"/>
        </w:rPr>
        <w:t xml:space="preserve">TABLE IV. POTHOLE SEGMENTATION BASELINE</w:t>
      </w:r>
    </w:p>
    <w:p>
      <w:pPr>
        <w:sectPr>
          <w:type w:val="continuous"/>
          <w:pgSz w:w="12240" w:h="15840" w:orient="portrait"/>
          <w:pgMar w:top="1080" w:right="1080" w:bottom="1080" w:left="1080" w:header="708" w:footer="708" w:gutter="0"/>
          <w:pgNumType/>
          <w:cols w:space="360" w:num="1"/>
          <w:docGrid w:linePitch="360"/>
        </w:sectPr>
      </w:pPr>
    </w:p>
    <w:p>
      <w:pPr>
        <w:keepNext/>
        <w:spacing w:after="42" w:before="85"/>
      </w:pPr>
      <w:r>
        <w:rPr>
          <w:rFonts w:ascii="Times New Roman" w:cs="Times New Roman" w:eastAsia="Times New Roman" w:hAnsi="Times New Roman"/>
          <w:b/>
          <w:bCs/>
          <w:i/>
          <w:iCs/>
          <w:sz w:val="20"/>
          <w:szCs w:val="20"/>
        </w:rPr>
        <w:t xml:space="preserve">H. Real-Footage Validation and a Simulation Misdiagnosis</w:t>
      </w:r>
    </w:p>
    <w:p>
      <w:pPr>
        <w:spacing w:after="68" w:line="222"/>
        <w:ind w:firstLine="260"/>
        <w:jc w:val="both"/>
      </w:pPr>
      <w:r>
        <w:rPr>
          <w:rFonts w:ascii="Times New Roman" w:cs="Times New Roman" w:eastAsia="Times New Roman" w:hAnsi="Times New Roman"/>
          <w:sz w:val="20"/>
          <w:szCs w:val="20"/>
        </w:rPr>
        <w:t xml:space="preserve">An early simulated capture initially appeared to reveal a severe gap between simulated and real-world detection performance: very few trajectory fragments were recorded across a short flight, none surviving more than a few consecutive frames. Loosening the tracker's association thresholds and lowering the detection confidence requirement were both tried and had essentially no effect, which was initially taken as further evidence of a genuine detection gap. Direct visual inspection of the captured frames instead revealed the actual cause: the automatically generated flight path had, for a substantial portion of the flight, pointed the camera at terrain with no road or vehicle in view at all, which is indistinguishable from a detection failure in aggregate statistics alone. Switching to a manually flown, continuously-verified flight path resolved the issue and produced the ground-truth clip used throughout Section VI. This sequence — an initial misdiagnosis, two ineffective corrective attempts, and a resolving visual inspection — is reported here because it directly motivated the practice of visually spot-checking annotated output before drawing conclusions from any aggregate metric.</w:t>
      </w:r>
    </w:p>
    <w:p>
      <w:pPr>
        <w:keepNext/>
        <w:spacing w:after="42" w:before="85"/>
      </w:pPr>
      <w:r>
        <w:rPr>
          <w:rFonts w:ascii="Times New Roman" w:cs="Times New Roman" w:eastAsia="Times New Roman" w:hAnsi="Times New Roman"/>
          <w:b/>
          <w:bCs/>
          <w:i/>
          <w:iCs/>
          <w:sz w:val="20"/>
          <w:szCs w:val="20"/>
        </w:rPr>
        <w:t xml:space="preserve">I. Limitations</w:t>
      </w:r>
    </w:p>
    <w:p>
      <w:pPr>
        <w:spacing w:after="42" w:line="222"/>
        <w:ind w:left="260" w:hanging="220"/>
        <w:jc w:val="both"/>
      </w:pPr>
      <w:r>
        <w:rPr>
          <w:rFonts w:ascii="Times New Roman" w:cs="Times New Roman" w:eastAsia="Times New Roman" w:hAnsi="Times New Roman"/>
          <w:sz w:val="20"/>
          <w:szCs w:val="20"/>
        </w:rPr>
        <w:t xml:space="preserve">•  The detector retrain restricted to the four relevant vehicle categories, expected to close most of the remaining accuracy gap, had not been completed at the time of evaluation.</w:t>
      </w:r>
    </w:p>
    <w:p>
      <w:pPr>
        <w:spacing w:after="42" w:line="222"/>
        <w:ind w:left="260" w:hanging="220"/>
        <w:jc w:val="both"/>
      </w:pPr>
      <w:r>
        <w:rPr>
          <w:rFonts w:ascii="Times New Roman" w:cs="Times New Roman" w:eastAsia="Times New Roman" w:hAnsi="Times New Roman"/>
          <w:sz w:val="20"/>
          <w:szCs w:val="20"/>
        </w:rPr>
        <w:t xml:space="preserve">•  All tracking ablations reported here use a single simulated ground-truth clip with large, largely unoccluded vehicles and no sudden camera motion; a second ground-truth clip covering camera motion and occlusion is needed before the appearance-matching and tracker-choice findings can be treated as general conclusions.</w:t>
      </w:r>
    </w:p>
    <w:p>
      <w:pPr>
        <w:spacing w:after="42" w:line="222"/>
        <w:ind w:left="260" w:hanging="220"/>
        <w:jc w:val="both"/>
      </w:pPr>
      <w:r>
        <w:rPr>
          <w:rFonts w:ascii="Times New Roman" w:cs="Times New Roman" w:eastAsia="Times New Roman" w:hAnsi="Times New Roman"/>
          <w:sz w:val="20"/>
          <w:szCs w:val="20"/>
        </w:rPr>
        <w:t xml:space="preserve">•  The choice between the two leading tracker configurations was informed in part by aggregate identity counts and visual review prior to the existence of a full ground-truth evaluation; a raw reduction in identity count cannot on its own rule out an incorrect merge of two distinct vehicles, only a verified ground truth can, and this check has so far been carried out only on simulated footage.</w:t>
      </w:r>
    </w:p>
    <w:p>
      <w:pPr>
        <w:spacing w:after="42" w:line="222"/>
        <w:ind w:left="260" w:hanging="220"/>
        <w:jc w:val="both"/>
      </w:pPr>
      <w:r>
        <w:rPr>
          <w:rFonts w:ascii="Times New Roman" w:cs="Times New Roman" w:eastAsia="Times New Roman" w:hAnsi="Times New Roman"/>
          <w:sz w:val="20"/>
          <w:szCs w:val="20"/>
        </w:rPr>
        <w:t xml:space="preserve">•  Traffic-rule violation logic, three-dimensional scene reconstruction, and higher-level planning and reporting components that this perception system is intended to feed are outside the scope of the present evaluation.</w:t>
      </w:r>
    </w:p>
    <w:p>
      <w:pPr>
        <w:spacing w:after="42" w:line="222"/>
        <w:ind w:left="260" w:hanging="220"/>
        <w:jc w:val="both"/>
      </w:pPr>
      <w:r>
        <w:rPr>
          <w:rFonts w:ascii="Times New Roman" w:cs="Times New Roman" w:eastAsia="Times New Roman" w:hAnsi="Times New Roman"/>
          <w:sz w:val="20"/>
          <w:szCs w:val="20"/>
        </w:rPr>
        <w:t xml:space="preserve">•  The pothole segmentation baseline covers only one of four target anomaly categories, and the proposed architectural extension for aerial-viewpoint robustness remains to be evaluated.</w:t>
      </w:r>
    </w:p>
    <w:p>
      <w:pPr>
        <w:keepNext/>
        <w:spacing w:after="65" w:before="130"/>
        <w:jc w:val="center"/>
      </w:pPr>
      <w:r>
        <w:rPr>
          <w:rFonts w:ascii="Times New Roman" w:cs="Times New Roman" w:eastAsia="Times New Roman" w:hAnsi="Times New Roman"/>
          <w:b/>
          <w:bCs/>
          <w:sz w:val="21"/>
          <w:szCs w:val="21"/>
        </w:rPr>
        <w:t xml:space="preserve">VII. CONCLUSION AND FUTURE WORK</w:t>
      </w:r>
    </w:p>
    <w:p>
      <w:pPr>
        <w:spacing w:after="68" w:line="222"/>
        <w:ind w:firstLine="260"/>
        <w:jc w:val="both"/>
      </w:pPr>
      <w:r>
        <w:rPr>
          <w:rFonts w:ascii="Times New Roman" w:cs="Times New Roman" w:eastAsia="Times New Roman" w:hAnsi="Times New Roman"/>
          <w:sz w:val="20"/>
          <w:szCs w:val="20"/>
        </w:rPr>
        <w:t xml:space="preserve">This paper presented the design and quantitative evaluation of an aerial vehicle detection, tracking, and road-surface anomaly detection system, validated through a combination of simulation-based ground truth and real drone footage. The fine-tuned detector reaches a relevant-class mAP50 of 0.585 against a 0.75 target, with the shortfall traced to addressable training-configuration issues rather than a limitation of the detector itself. A class-agnostic duplicate-detection correction removed an artifact that had been the dominant cause of identity fragmentation, and a lightweight trajectory-linking and gap-interpolation procedure raised tracking accuracy on the ground-truth clip without retraining any model. Controlled ablations showed that appearance-based re-identification adds no measurable benefit over a suitably configured motion-based association rule under the tested conditions, and that the two leading tracker configurations are within 0.001 of each other on the HOTA metric once gap interpolation is applied. The pothole segmentation baseline already exceeds its target accuracy on the single category evaluated so far.</w:t>
      </w:r>
    </w:p>
    <w:p>
      <w:pPr>
        <w:spacing w:after="68" w:line="222"/>
        <w:ind w:firstLine="260"/>
        <w:jc w:val="both"/>
      </w:pPr>
      <w:r>
        <w:rPr>
          <w:rFonts w:ascii="Times New Roman" w:cs="Times New Roman" w:eastAsia="Times New Roman" w:hAnsi="Times New Roman"/>
          <w:sz w:val="20"/>
          <w:szCs w:val="20"/>
        </w:rPr>
        <w:t xml:space="preserve">Future work follows directly from the limitations identified in Section VI-I: retraining the detector on a category set restricted to the vehicle classes of interest and run to genuine convergence; capturing and verifying a second ground-truth clip that covers camera motion and occlusion, to confirm or revise the appearance-matching and tracker-choice findings reported here; extending ground-truth verification to real-world footage so that tracker comparisons are not limited to simulated data; incorporating the proposed depthwise-separable-convolution and attention-based architectural extension into the segmentation model and extending training to the remaining anomaly categories; and integrating the resulting trajectory and anomaly data into the higher-level traffic-rule, scene-reconstruction, and planning components that this perception system is designed to support.</w:t>
      </w:r>
    </w:p>
    <w:p>
      <w:pPr>
        <w:keepNext/>
        <w:spacing w:after="65" w:before="120"/>
        <w:jc w:val="center"/>
      </w:pPr>
      <w:r>
        <w:rPr>
          <w:rFonts w:ascii="Times New Roman" w:cs="Times New Roman" w:eastAsia="Times New Roman" w:hAnsi="Times New Roman"/>
          <w:b/>
          <w:bCs/>
          <w:sz w:val="21"/>
          <w:szCs w:val="21"/>
        </w:rPr>
        <w:t xml:space="preserve">REFERENCES</w:t>
      </w:r>
    </w:p>
    <w:p>
      <w:pPr>
        <w:spacing w:after="26" w:line="200"/>
        <w:ind w:left="200" w:hanging="200"/>
        <w:jc w:val="both"/>
      </w:pPr>
      <w:r>
        <w:rPr>
          <w:rFonts w:ascii="Times New Roman" w:cs="Times New Roman" w:eastAsia="Times New Roman" w:hAnsi="Times New Roman"/>
          <w:sz w:val="18"/>
          <w:szCs w:val="18"/>
        </w:rPr>
        <w:t xml:space="preserve">[1] G. Jocher et al., “Ultralytics YOLO,” Ultralytics, 2024. [Online software].</w:t>
      </w:r>
    </w:p>
    <w:p>
      <w:pPr>
        <w:spacing w:after="26" w:line="200"/>
        <w:ind w:left="200" w:hanging="200"/>
        <w:jc w:val="both"/>
      </w:pPr>
      <w:r>
        <w:rPr>
          <w:rFonts w:ascii="Times New Roman" w:cs="Times New Roman" w:eastAsia="Times New Roman" w:hAnsi="Times New Roman"/>
          <w:sz w:val="18"/>
          <w:szCs w:val="18"/>
        </w:rPr>
        <w:t xml:space="preserve">[2] Y. Zhang, P. Sun, Y. Jiang, D. Yu, F. Weng, Z. Yuan, P. Luo, W. Liu, and X. Wang, “ByteTrack: Multi-Object Tracking by Associating Every Detection Box,” in Proc. European Conf. on Computer Vision (ECCV), 2022.</w:t>
      </w:r>
    </w:p>
    <w:p>
      <w:pPr>
        <w:spacing w:after="26" w:line="200"/>
        <w:ind w:left="200" w:hanging="200"/>
        <w:jc w:val="both"/>
      </w:pPr>
      <w:r>
        <w:rPr>
          <w:rFonts w:ascii="Times New Roman" w:cs="Times New Roman" w:eastAsia="Times New Roman" w:hAnsi="Times New Roman"/>
          <w:sz w:val="18"/>
          <w:szCs w:val="18"/>
        </w:rPr>
        <w:t xml:space="preserve">[3] N. Aharon, R. Orfaig, and B.-Z. Bobrovsky, “BoT-SORT: Robust Associations Multi-Pedestrian Tracking,” arXiv:2206.14651, 2022.</w:t>
      </w:r>
    </w:p>
    <w:p>
      <w:pPr>
        <w:spacing w:after="26" w:line="200"/>
        <w:ind w:left="200" w:hanging="200"/>
        <w:jc w:val="both"/>
      </w:pPr>
      <w:r>
        <w:rPr>
          <w:rFonts w:ascii="Times New Roman" w:cs="Times New Roman" w:eastAsia="Times New Roman" w:hAnsi="Times New Roman"/>
          <w:sz w:val="18"/>
          <w:szCs w:val="18"/>
        </w:rPr>
        <w:t xml:space="preserve">[4] K. Bernardin and R. Stiefelhagen, “Evaluating Multiple Object Tracking Performance: The CLEAR MOT Metrics,” EURASIP J. Image and Video Processing, 2008.</w:t>
      </w:r>
    </w:p>
    <w:p>
      <w:pPr>
        <w:spacing w:after="26" w:line="200"/>
        <w:ind w:left="200" w:hanging="200"/>
        <w:jc w:val="both"/>
      </w:pPr>
      <w:r>
        <w:rPr>
          <w:rFonts w:ascii="Times New Roman" w:cs="Times New Roman" w:eastAsia="Times New Roman" w:hAnsi="Times New Roman"/>
          <w:sz w:val="18"/>
          <w:szCs w:val="18"/>
        </w:rPr>
        <w:t xml:space="preserve">[5] E. Ristani, F. Solera, R. Zou, R. Cucchiara, and C. Tomasi, “Performance Measures and a Data Set for Multi-Target, Multi-Camera Tracking,” in Proc. ECCV Workshops, 2016.</w:t>
      </w:r>
    </w:p>
    <w:p>
      <w:pPr>
        <w:spacing w:after="26" w:line="200"/>
        <w:ind w:left="200" w:hanging="200"/>
        <w:jc w:val="both"/>
      </w:pPr>
      <w:r>
        <w:rPr>
          <w:rFonts w:ascii="Times New Roman" w:cs="Times New Roman" w:eastAsia="Times New Roman" w:hAnsi="Times New Roman"/>
          <w:sz w:val="18"/>
          <w:szCs w:val="18"/>
        </w:rPr>
        <w:t xml:space="preserve">[6] J. Luiten, A. Osep, P. Dendorfer, P. Torr, A. Geiger, L. Leal-Taixé, and B. Leibe, “HOTA: A Higher Order Metric for Evaluating Multi-Object Tracking,” Int. J. Computer Vision, vol. 129, pp. 548–578, 2021.</w:t>
      </w:r>
    </w:p>
    <w:p>
      <w:pPr>
        <w:spacing w:after="26" w:line="200"/>
        <w:ind w:left="200" w:hanging="200"/>
        <w:jc w:val="both"/>
      </w:pPr>
      <w:r>
        <w:rPr>
          <w:rFonts w:ascii="Times New Roman" w:cs="Times New Roman" w:eastAsia="Times New Roman" w:hAnsi="Times New Roman"/>
          <w:sz w:val="18"/>
          <w:szCs w:val="18"/>
        </w:rPr>
        <w:t xml:space="preserve">[7] A. Dosovitskiy, G. Ros, F. Codevilla, A. Lopez, and V. Koltun, “CARLA: An Open Urban Driving Simulator,” in Proc. Conf. on Robot Learning (CoRL), 2017.</w:t>
      </w:r>
    </w:p>
    <w:p>
      <w:pPr>
        <w:spacing w:after="26" w:line="200"/>
        <w:ind w:left="200" w:hanging="200"/>
        <w:jc w:val="both"/>
      </w:pPr>
      <w:r>
        <w:rPr>
          <w:rFonts w:ascii="Times New Roman" w:cs="Times New Roman" w:eastAsia="Times New Roman" w:hAnsi="Times New Roman"/>
          <w:sz w:val="18"/>
          <w:szCs w:val="18"/>
        </w:rPr>
        <w:t xml:space="preserve">[8] P. Zhu, L. Wen, D. Du, X. Bian, H. Fan, Q. Hu, and H. Ling, “Detection and Tracking Meet Drones Challenge,” IEEE Trans. Pattern Analysis and Machine Intelligence, vol. 44, no. 11, pp. 7380–7399, 2022.</w:t>
      </w:r>
    </w:p>
    <w:p>
      <w:pPr>
        <w:spacing w:after="26" w:line="200"/>
        <w:ind w:left="200" w:hanging="200"/>
        <w:jc w:val="both"/>
      </w:pPr>
      <w:r>
        <w:rPr>
          <w:rFonts w:ascii="Times New Roman" w:cs="Times New Roman" w:eastAsia="Times New Roman" w:hAnsi="Times New Roman"/>
          <w:sz w:val="18"/>
          <w:szCs w:val="18"/>
        </w:rPr>
        <w:t xml:space="preserve">[9] Author(s), “Lightweight Pavement Distress Segmentation via Depthwise-Separable Convolution and Attention-Augmented Detection Backbones,” arXiv:2505.04207, 2025.</w:t>
      </w:r>
    </w:p>
    <w:p>
      <w:pPr>
        <w:spacing w:after="26" w:line="200"/>
        <w:ind w:left="200" w:hanging="200"/>
        <w:jc w:val="both"/>
      </w:pPr>
      <w:r>
        <w:rPr>
          <w:rFonts w:ascii="Times New Roman" w:cs="Times New Roman" w:eastAsia="Times New Roman" w:hAnsi="Times New Roman"/>
          <w:sz w:val="18"/>
          <w:szCs w:val="18"/>
        </w:rPr>
        <w:t xml:space="preserve">[10] M. Ester, H.-P. Kriegel, J. Sander, and X. Xu, “A Density-Based Algorithm for Discovering Clusters in Large Spatial Databases with Noise,” in Proc. KDD, 1996.</w:t>
      </w:r>
    </w:p>
    <w:sectPr>
      <w:type w:val="continuous"/>
      <w:pgSz w:w="12240" w:h="15840" w:orient="portrait"/>
      <w:pgMar w:top="1080" w:right="1080" w:bottom="1080" w:left="1080" w:header="708" w:footer="708" w:gutter="0"/>
      <w:pgNumType/>
      <w:cols w:space="360" w:num="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2026-09-30T17:01:14.418Z</dcterms:created>
  <dcterms:modified xsi:type="dcterms:W3CDTF">2026-09-30T17:01:14.418Z</dcterms:modified>
</cp:coreProperties>
</file>

<file path=docProps/custom.xml><?xml version="1.0" encoding="utf-8"?>
<Properties xmlns="http://schemas.openxmlformats.org/officeDocument/2006/custom-properties" xmlns:vt="http://schemas.openxmlformats.org/officeDocument/2006/docPropsVTypes"/>
</file>