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95959"/>
          <w:sz w:val="20"/>
          <w:szCs w:val="20"/>
        </w:rPr>
        <w:t xml:space="preserve">英国线上零售商</w:t>
      </w:r>
    </w:p>
    <w:p>
      <w:pPr>
        <w:spacing w:after="60"/>
      </w:pPr>
      <w:r>
        <w:rPr>
          <w:b/>
          <w:bCs/>
          <w:color w:val="1a1a1a"/>
          <w:sz w:val="40"/>
          <w:szCs w:val="40"/>
        </w:rPr>
        <w:t xml:space="preserve">客户与销售数据分析报告</w:t>
      </w:r>
    </w:p>
    <w:p>
      <w:pPr>
        <w:spacing w:after="400"/>
      </w:pPr>
      <w:r>
        <w:rPr>
          <w:color w:val="595959"/>
          <w:sz w:val="20"/>
          <w:szCs w:val="20"/>
        </w:rPr>
        <w:t xml:space="preserve">分析周期：2010年12月 – 2011年12月　|　数据来源：交易记录（约54万条原始记录）</w:t>
      </w:r>
    </w:p>
    <w:p>
      <w:pPr>
        <w:pStyle w:val="Heading1"/>
        <w:spacing w:after="160" w:before="320"/>
      </w:pPr>
      <w:r>
        <w:t xml:space="preserve">一、背景与问题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本报告基于公司2010年12月至2011年12月的线上交易数据，旨在回答三个核心业务问题：我们的收入结构是否健康？哪些客户最值得投入资源维护？基于数据，运营资源应该如何优先分配？</w:t>
      </w:r>
    </w:p>
    <w:p>
      <w:pPr>
        <w:pStyle w:val="Heading1"/>
        <w:spacing w:after="160" w:before="320"/>
      </w:pPr>
      <w:r>
        <w:t xml:space="preserve">二、数据与方法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原始数据约54万条交易记录，覆盖英国及其他30余个国家的客户。分析前进行了数据清洗：剔除退货/取消订单（约2.5万条）、剔除异常价格记录（如账务调整产生的负价格）、剔除缺失客户ID的记录（约13.5万条，占比25%，因这些交易无法归因到具体客户）。清洗后剩余约39.7万条有效交易记录，覆盖4,338名有效识别客户。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在清洗后数据基础上，采用两种互补方法评估收入集中度：（1）按客户收入直接排名；（2）RFM模型（Recency最近购买时间、Frequency购买频次、Monetary消费金额），将客户按三项综合表现分为四类。</w:t>
      </w:r>
    </w:p>
    <w:p>
      <w:pPr>
        <w:pStyle w:val="Heading1"/>
        <w:spacing w:after="160" w:before="320"/>
      </w:pPr>
      <w:r>
        <w:t xml:space="preserve">三、关键发现</w:t>
      </w:r>
    </w:p>
    <w:p>
      <w:pPr>
        <w:pStyle w:val="Heading2"/>
        <w:spacing w:after="120" w:before="240"/>
      </w:pPr>
      <w:r>
        <w:t xml:space="preserve">发现1：收入高度集中于少数核心客户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按收入直接排名，前20%的客户贡献了总收入的74.6%。采用RFM模型交叉验证后，综合表现最优的“Champions核心客户”群体（934人，占客户总数21.5%）贡献了70.2%的总收入。两种方法结论一致：公司收入结构对少数客户存在高度依赖。</w:t>
      </w:r>
    </w:p>
    <w:p>
      <w:pPr>
        <w:spacing w:before="200"/>
        <w:jc w:val="center"/>
      </w:pPr>
      <w:r>
        <w:drawing>
          <wp:inline distT="0" distB="0" distL="0" distR="0">
            <wp:extent cx="4572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i/>
          <w:iCs/>
          <w:color w:val="595959"/>
          <w:sz w:val="18"/>
          <w:szCs w:val="18"/>
        </w:rPr>
        <w:t xml:space="preserve">图1：四类客户群体的收入贡献对比</w:t>
      </w:r>
    </w:p>
    <w:p>
      <w:pPr>
        <w:pStyle w:val="Heading2"/>
        <w:spacing w:after="120" w:before="240"/>
      </w:pPr>
      <w:r>
        <w:t xml:space="preserve">发现2：客户价值差距悬殊，人均消费相差24倍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Champions核心客户人均消费£6,697，而“已流失/低价值”客户人均消费仅£280，相差约24倍。这说明当前若采取“一视同仁”的运营方式，是对高价值客户关注不足、对低价值客户资源浪费的双重低效。</w:t>
      </w:r>
    </w:p>
    <w:p>
      <w:pPr>
        <w:spacing w:before="200"/>
        <w:jc w:val="center"/>
      </w:pPr>
      <w:r>
        <w:drawing>
          <wp:inline distT="0" distB="0" distL="0" distR="0">
            <wp:extent cx="41910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i/>
          <w:iCs/>
          <w:color w:val="595959"/>
          <w:sz w:val="18"/>
          <w:szCs w:val="18"/>
        </w:rPr>
        <w:t xml:space="preserve">图2：四类客户群体人均消费对比</w:t>
      </w:r>
    </w:p>
    <w:p>
      <w:pPr>
        <w:pStyle w:val="Heading2"/>
        <w:spacing w:after="120" w:before="240"/>
      </w:pPr>
      <w:r>
        <w:t xml:space="preserve">发现3：存在一批“高价值但正在流失”的客户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在筛选“历史消费超过£5,000且超过90天未购买”的客户后，识别出一批曾经高价值、目前处于流失状态的客户。例如某客户历史消费£77,184但已超过300天未购买；另一客户历史下单34次、消费£5,391，但已超过一年未产生新订单。这类客户不同于从未产生高消费的普通流失客户，其历史贡献证明了付费意愿与能力，流失的沉没成本更高，挽回的边际价值也更大。</w:t>
      </w:r>
    </w:p>
    <w:p>
      <w:pPr>
        <w:pStyle w:val="Heading2"/>
        <w:spacing w:after="120" w:before="240"/>
      </w:pPr>
      <w:r>
        <w:t xml:space="preserve">发现4：销售存在明显季节性，9–11月为全年高峰</w:t>
      </w:r>
    </w:p>
    <w:p>
      <w:pPr>
        <w:spacing w:before="200"/>
        <w:jc w:val="center"/>
      </w:pPr>
      <w:r>
        <w:drawing>
          <wp:inline distT="0" distB="0" distL="0" distR="0">
            <wp:extent cx="45720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80"/>
        <w:jc w:val="center"/>
      </w:pPr>
      <w:r>
        <w:rPr>
          <w:i/>
          <w:iCs/>
          <w:color w:val="595959"/>
          <w:sz w:val="18"/>
          <w:szCs w:val="18"/>
        </w:rPr>
        <w:t xml:space="preserve">图3：月度销售收入趋势（2010年12月–2011年12月）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月度收入在2011年5月前维持在£45–60万区间波动，此后持续攀升，9–11月加速明显，11月达到全年峰值约£116万，符合零售行业圣诞季备货的典型规律。12月数据仅覆盖至12月9日，收入回落属数据周期不完整所致，不代表真实需求下滑（详见“局限”部分）。</w:t>
      </w:r>
    </w:p>
    <w:p>
      <w:pPr>
        <w:pStyle w:val="Heading1"/>
        <w:spacing w:after="160" w:before="320"/>
      </w:pPr>
      <w:r>
        <w:t xml:space="preserve">四、客户分层总览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200"/>
        <w:gridCol w:w="2200"/>
      </w:tblGrid>
      <w:tr>
        <w:trPr>
          <w:tblHeader/>
        </w:trPr>
        <w:tc>
          <w:tcPr>
            <w:tcW w:type="dxa" w:w="2600"/>
            <w:shd w:fill="404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客户分组</w:t>
            </w:r>
          </w:p>
        </w:tc>
        <w:tc>
          <w:tcPr>
            <w:tcW w:type="dxa" w:w="1600"/>
            <w:shd w:fill="404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人数</w:t>
            </w:r>
          </w:p>
        </w:tc>
        <w:tc>
          <w:tcPr>
            <w:tcW w:type="dxa" w:w="2200"/>
            <w:shd w:fill="404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总收入</w:t>
            </w:r>
          </w:p>
        </w:tc>
        <w:tc>
          <w:tcPr>
            <w:tcW w:type="dxa" w:w="2200"/>
            <w:shd w:fill="4040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人均消费</w:t>
            </w:r>
          </w:p>
        </w:tc>
      </w:tr>
      <w:tr>
        <w:tc>
          <w:tcPr>
            <w:tcW w:type="dxa" w:w="2600"/>
            <w:shd w:fill="E9F9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Champions 核心客户</w:t>
            </w:r>
          </w:p>
        </w:tc>
        <w:tc>
          <w:tcPr>
            <w:tcW w:type="dxa" w:w="1600"/>
            <w:shd w:fill="E9F9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934 (21.5%)</w:t>
            </w:r>
          </w:p>
        </w:tc>
        <w:tc>
          <w:tcPr>
            <w:tcW w:type="dxa" w:w="2200"/>
            <w:shd w:fill="E9F9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£6,255,337 (70.2%)</w:t>
            </w:r>
          </w:p>
        </w:tc>
        <w:tc>
          <w:tcPr>
            <w:tcW w:type="dxa" w:w="2200"/>
            <w:shd w:fill="E9F9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£6,697</w:t>
            </w:r>
          </w:p>
        </w:tc>
      </w:tr>
      <w:tr>
        <w:tc>
          <w:tcPr>
            <w:tcW w:type="dxa" w:w="2600"/>
            <w:shd w:fill="EAF4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Loyal 忠实客户</w:t>
            </w:r>
          </w:p>
        </w:tc>
        <w:tc>
          <w:tcPr>
            <w:tcW w:type="dxa" w:w="1600"/>
            <w:shd w:fill="EAF4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1,008 (23.2%)</w:t>
            </w:r>
          </w:p>
        </w:tc>
        <w:tc>
          <w:tcPr>
            <w:tcW w:type="dxa" w:w="2200"/>
            <w:shd w:fill="EAF4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£1,408,630 (15.8%)</w:t>
            </w:r>
          </w:p>
        </w:tc>
        <w:tc>
          <w:tcPr>
            <w:tcW w:type="dxa" w:w="2200"/>
            <w:shd w:fill="EAF4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£1,397</w:t>
            </w:r>
          </w:p>
        </w:tc>
      </w:tr>
      <w:tr>
        <w:tc>
          <w:tcPr>
            <w:tcW w:type="dxa" w:w="2600"/>
            <w:shd w:fill="FDF3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At Risk 流失预警</w:t>
            </w:r>
          </w:p>
        </w:tc>
        <w:tc>
          <w:tcPr>
            <w:tcW w:type="dxa" w:w="1600"/>
            <w:shd w:fill="FDF3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1,092 (25.2%)</w:t>
            </w:r>
          </w:p>
        </w:tc>
        <w:tc>
          <w:tcPr>
            <w:tcW w:type="dxa" w:w="2200"/>
            <w:shd w:fill="FDF3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£882,613 (9.9%)</w:t>
            </w:r>
          </w:p>
        </w:tc>
        <w:tc>
          <w:tcPr>
            <w:tcW w:type="dxa" w:w="2200"/>
            <w:shd w:fill="FDF3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£808</w:t>
            </w:r>
          </w:p>
        </w:tc>
      </w:tr>
      <w:tr>
        <w:tc>
          <w:tcPr>
            <w:tcW w:type="dxa" w:w="260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Lost 已流失/低价值</w:t>
            </w:r>
          </w:p>
        </w:tc>
        <w:tc>
          <w:tcPr>
            <w:tcW w:type="dxa" w:w="160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1,304 (30.1%)</w:t>
            </w:r>
          </w:p>
        </w:tc>
        <w:tc>
          <w:tcPr>
            <w:tcW w:type="dxa" w:w="220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£364,829 (4.1%)</w:t>
            </w:r>
          </w:p>
        </w:tc>
        <w:tc>
          <w:tcPr>
            <w:tcW w:type="dxa" w:w="220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£280</w:t>
            </w:r>
          </w:p>
        </w:tc>
      </w:tr>
    </w:tbl>
    <w:p>
      <w:pPr>
        <w:spacing w:after="300"/>
      </w:pPr>
    </w:p>
    <w:p>
      <w:pPr>
        <w:pStyle w:val="Heading1"/>
        <w:spacing w:after="160" w:before="320"/>
      </w:pPr>
      <w:r>
        <w:t xml:space="preserve">五、建议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 w:val="false"/>
          <w:bCs w:val="false"/>
          <w:color w:val="1a1a1a"/>
          <w:sz w:val="22"/>
          <w:szCs w:val="22"/>
        </w:rPr>
        <w:t xml:space="preserve">优先级一 — 保护核心客户（Champions）：这21.5%的客户贡献了逾七成收入，任何微小的流失都会对整体收入造成不成比例的冲击。建议建立专属客户维护机制（如专属客服响应、定期主动触达、优先权益），并将其流失率纳入日常监控指标。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 w:val="false"/>
          <w:bCs w:val="false"/>
          <w:color w:val="1a1a1a"/>
          <w:sz w:val="22"/>
          <w:szCs w:val="22"/>
        </w:rPr>
        <w:t xml:space="preserve">优先级二 — 定向挽回高价值流失客户：针对“历史消费高但近期未购买”的客户群体，开展定向挽回动作（如个性化召回沟通、专属复购激励），而非面向全体客户的泛化促销。挽回存量高价值客户的成本通常低于获客成本，投入产出比更高。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 w:val="false"/>
          <w:bCs w:val="false"/>
          <w:color w:val="1a1a1a"/>
          <w:sz w:val="22"/>
          <w:szCs w:val="22"/>
        </w:rPr>
        <w:t xml:space="preserve">优先级三 — 对低价值/已流失客户保持最低成本维系：该群体人数占比最高（30.1%）但收入贡献仅4.1%，不建议投入专项资源挽回，维持基础的常规触达（如标准促销邮件）即可。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b w:val="false"/>
          <w:bCs w:val="false"/>
          <w:color w:val="1a1a1a"/>
          <w:sz w:val="22"/>
          <w:szCs w:val="22"/>
        </w:rPr>
        <w:t xml:space="preserve">提前布局旺季：鉴于9–11月为全年销售高峰，建议库存与营销资源提前于二、三季度完成筹备，避免旺季响应滞后。</w:t>
      </w:r>
    </w:p>
    <w:p>
      <w:pPr>
        <w:pStyle w:val="Heading1"/>
        <w:spacing w:after="160" w:before="320"/>
      </w:pPr>
      <w:r>
        <w:t xml:space="preserve">六、局限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本分析存在以下局限：（1）约25%的原始交易记录因缺失客户ID被排除，若这些交易存在系统性偏差（如特定渠道或客户类型），可能影响结论的代表性；（2）12月数据仅覆盖至12月9日，与其他完整月份不可直接比较；（3）RFM分组的评分区间（如Champions门槛设定为综合得分≥13分）基于经验设定，调整门槛会影响各分组的具体人数与占比，但不改变“收入高度集中”这一核心结论的方向；（4）本分析未纳入产品品类、营销活动等外部变量，后续可进一步结合这些因素深化分析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bfeee1ce166bcf758d01e9a9fd959742ea429f6.png"/><Relationship Id="rId8" Type="http://schemas.openxmlformats.org/officeDocument/2006/relationships/image" Target="media/35473bc4fae5ae187b593e02e67740434b8edbec.png"/><Relationship Id="rId9" Type="http://schemas.openxmlformats.org/officeDocument/2006/relationships/image" Target="media/c888ba528504a8aade70559a6af2d15471fb25e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2026-07-02T17:03:58.221Z</dcterms:created>
  <dcterms:modified xsi:type="dcterms:W3CDTF">2026-07-02T17:03:58.222Z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