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595959"/>
          <w:sz w:val="22"/>
          <w:szCs w:val="22"/>
        </w:rPr>
        <w:t xml:space="preserve">STANDARD OPERATING PROCEDURE</w:t>
      </w:r>
    </w:p>
    <w:p>
      <w:pPr>
        <w:spacing w:after="200"/>
        <w:jc w:val="center"/>
      </w:pPr>
      <w:r>
        <w:rPr>
          <w:b/>
          <w:bCs/>
          <w:color w:val="1F4E79"/>
          <w:sz w:val="34"/>
          <w:szCs w:val="34"/>
        </w:rPr>
        <w:t xml:space="preserve">Temporary (Non-tunnelled) Haemodialysis Catheter Insertion – Internal Jugular / Femoral Vein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313"/>
        <w:gridCol w:w="2200"/>
        <w:gridCol w:w="2313"/>
      </w:tblGrid>
      <w:tr>
        <w:tc>
          <w:tcPr>
            <w:tcW w:type="dxa" w:w="2200"/>
            <w:tcBorders>
              <w:top w:val="single" w:color="8EA9C1" w:sz="4"/>
              <w:left w:val="single" w:color="8EA9C1" w:sz="4"/>
              <w:bottom w:val="single" w:color="8EA9C1" w:sz="4"/>
              <w:right w:val="single" w:color="8EA9C1" w:sz="4"/>
            </w:tcBorders>
            <w:shd w:fill="DCE6F1" w:color="auto" w:val="clear"/>
            <w:tcMar>
              <w:top w:type="dxa" w:w="60"/>
              <w:left w:type="dxa" w:w="100"/>
              <w:bottom w:type="dxa" w:w="60"/>
              <w:right w:type="dxa" w:w="100"/>
            </w:tcMar>
          </w:tcPr>
          <w:p>
            <w:pPr>
              <w:spacing w:after="40" w:before="40"/>
            </w:pPr>
            <w:r>
              <w:rPr>
                <w:b/>
                <w:bCs/>
                <w:sz w:val="20"/>
                <w:szCs w:val="20"/>
              </w:rPr>
              <w:t xml:space="preserve">SOP No.</w:t>
            </w:r>
          </w:p>
        </w:tc>
        <w:tc>
          <w:tcPr>
            <w:tcW w:type="dxa" w:w="2313"/>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SOP/AKD/01</w:t>
            </w:r>
          </w:p>
        </w:tc>
        <w:tc>
          <w:tcPr>
            <w:tcW w:type="dxa" w:w="2200"/>
            <w:tcBorders>
              <w:top w:val="single" w:color="8EA9C1" w:sz="4"/>
              <w:left w:val="single" w:color="8EA9C1" w:sz="4"/>
              <w:bottom w:val="single" w:color="8EA9C1" w:sz="4"/>
              <w:right w:val="single" w:color="8EA9C1" w:sz="4"/>
            </w:tcBorders>
            <w:shd w:fill="DCE6F1" w:color="auto" w:val="clear"/>
            <w:tcMar>
              <w:top w:type="dxa" w:w="60"/>
              <w:left w:type="dxa" w:w="100"/>
              <w:bottom w:type="dxa" w:w="60"/>
              <w:right w:type="dxa" w:w="100"/>
            </w:tcMar>
          </w:tcPr>
          <w:p>
            <w:pPr>
              <w:spacing w:after="40" w:before="40"/>
            </w:pPr>
            <w:r>
              <w:rPr>
                <w:b/>
                <w:bCs/>
                <w:sz w:val="20"/>
                <w:szCs w:val="20"/>
              </w:rPr>
              <w:t xml:space="preserve">Version</w:t>
            </w:r>
          </w:p>
        </w:tc>
        <w:tc>
          <w:tcPr>
            <w:tcW w:type="dxa" w:w="2313"/>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1.0</w:t>
            </w:r>
          </w:p>
        </w:tc>
      </w:tr>
      <w:tr>
        <w:tc>
          <w:tcPr>
            <w:tcW w:type="dxa" w:w="2200"/>
            <w:tcBorders>
              <w:top w:val="single" w:color="8EA9C1" w:sz="4"/>
              <w:left w:val="single" w:color="8EA9C1" w:sz="4"/>
              <w:bottom w:val="single" w:color="8EA9C1" w:sz="4"/>
              <w:right w:val="single" w:color="8EA9C1" w:sz="4"/>
            </w:tcBorders>
            <w:shd w:fill="DCE6F1" w:color="auto" w:val="clear"/>
            <w:tcMar>
              <w:top w:type="dxa" w:w="60"/>
              <w:left w:type="dxa" w:w="100"/>
              <w:bottom w:type="dxa" w:w="60"/>
              <w:right w:type="dxa" w:w="100"/>
            </w:tcMar>
          </w:tcPr>
          <w:p>
            <w:pPr>
              <w:spacing w:after="40" w:before="40"/>
            </w:pPr>
            <w:r>
              <w:rPr>
                <w:b/>
                <w:bCs/>
                <w:sz w:val="20"/>
                <w:szCs w:val="20"/>
              </w:rPr>
              <w:t xml:space="preserve">Department</w:t>
            </w:r>
          </w:p>
        </w:tc>
        <w:tc>
          <w:tcPr>
            <w:tcW w:type="dxa" w:w="2313"/>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Nephrology – AKD / Dialysis Unit</w:t>
            </w:r>
          </w:p>
        </w:tc>
        <w:tc>
          <w:tcPr>
            <w:tcW w:type="dxa" w:w="2200"/>
            <w:tcBorders>
              <w:top w:val="single" w:color="8EA9C1" w:sz="4"/>
              <w:left w:val="single" w:color="8EA9C1" w:sz="4"/>
              <w:bottom w:val="single" w:color="8EA9C1" w:sz="4"/>
              <w:right w:val="single" w:color="8EA9C1" w:sz="4"/>
            </w:tcBorders>
            <w:shd w:fill="DCE6F1" w:color="auto" w:val="clear"/>
            <w:tcMar>
              <w:top w:type="dxa" w:w="60"/>
              <w:left w:type="dxa" w:w="100"/>
              <w:bottom w:type="dxa" w:w="60"/>
              <w:right w:type="dxa" w:w="100"/>
            </w:tcMar>
          </w:tcPr>
          <w:p>
            <w:pPr>
              <w:spacing w:after="40" w:before="40"/>
            </w:pPr>
            <w:r>
              <w:rPr>
                <w:b/>
                <w:bCs/>
                <w:sz w:val="20"/>
                <w:szCs w:val="20"/>
              </w:rPr>
              <w:t xml:space="preserve">Effective Date</w:t>
            </w:r>
          </w:p>
        </w:tc>
        <w:tc>
          <w:tcPr>
            <w:tcW w:type="dxa" w:w="2313"/>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__</w:t>
            </w:r>
            <w:r>
              <w:rPr>
                <w:i/>
                <w:iCs/>
                <w:sz w:val="20"/>
                <w:szCs w:val="20"/>
              </w:rPr>
              <w:t xml:space="preserve"> / </w:t>
            </w:r>
            <w:r>
              <w:rPr>
                <w:i/>
                <w:iCs/>
                <w:sz w:val="20"/>
                <w:szCs w:val="20"/>
              </w:rPr>
              <w:t xml:space="preserve"> / </w:t>
            </w:r>
            <w:r>
              <w:rPr>
                <w:sz w:val="20"/>
                <w:szCs w:val="20"/>
              </w:rPr>
              <w:t xml:space="preserve">____</w:t>
            </w:r>
          </w:p>
        </w:tc>
      </w:tr>
      <w:tr>
        <w:tc>
          <w:tcPr>
            <w:tcW w:type="dxa" w:w="2200"/>
            <w:tcBorders>
              <w:top w:val="single" w:color="8EA9C1" w:sz="4"/>
              <w:left w:val="single" w:color="8EA9C1" w:sz="4"/>
              <w:bottom w:val="single" w:color="8EA9C1" w:sz="4"/>
              <w:right w:val="single" w:color="8EA9C1" w:sz="4"/>
            </w:tcBorders>
            <w:shd w:fill="DCE6F1" w:color="auto" w:val="clear"/>
            <w:tcMar>
              <w:top w:type="dxa" w:w="60"/>
              <w:left w:type="dxa" w:w="100"/>
              <w:bottom w:type="dxa" w:w="60"/>
              <w:right w:type="dxa" w:w="100"/>
            </w:tcMar>
          </w:tcPr>
          <w:p>
            <w:pPr>
              <w:spacing w:after="40" w:before="40"/>
            </w:pPr>
            <w:r>
              <w:rPr>
                <w:b/>
                <w:bCs/>
                <w:sz w:val="20"/>
                <w:szCs w:val="20"/>
              </w:rPr>
              <w:t xml:space="preserve">Prepared by</w:t>
            </w:r>
          </w:p>
        </w:tc>
        <w:tc>
          <w:tcPr>
            <w:tcW w:type="dxa" w:w="2313"/>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Name / Sign / Date</w:t>
            </w:r>
          </w:p>
        </w:tc>
        <w:tc>
          <w:tcPr>
            <w:tcW w:type="dxa" w:w="2200"/>
            <w:tcBorders>
              <w:top w:val="single" w:color="8EA9C1" w:sz="4"/>
              <w:left w:val="single" w:color="8EA9C1" w:sz="4"/>
              <w:bottom w:val="single" w:color="8EA9C1" w:sz="4"/>
              <w:right w:val="single" w:color="8EA9C1" w:sz="4"/>
            </w:tcBorders>
            <w:shd w:fill="DCE6F1" w:color="auto" w:val="clear"/>
            <w:tcMar>
              <w:top w:type="dxa" w:w="60"/>
              <w:left w:type="dxa" w:w="100"/>
              <w:bottom w:type="dxa" w:w="60"/>
              <w:right w:type="dxa" w:w="100"/>
            </w:tcMar>
          </w:tcPr>
          <w:p>
            <w:pPr>
              <w:spacing w:after="40" w:before="40"/>
            </w:pPr>
            <w:r>
              <w:rPr>
                <w:b/>
                <w:bCs/>
                <w:sz w:val="20"/>
                <w:szCs w:val="20"/>
              </w:rPr>
              <w:t xml:space="preserve">Next Review Date</w:t>
            </w:r>
          </w:p>
        </w:tc>
        <w:tc>
          <w:tcPr>
            <w:tcW w:type="dxa" w:w="2313"/>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2 years from effective date or earlier if guidelines change</w:t>
            </w:r>
          </w:p>
        </w:tc>
      </w:tr>
      <w:tr>
        <w:tc>
          <w:tcPr>
            <w:tcW w:type="dxa" w:w="2200"/>
            <w:tcBorders>
              <w:top w:val="single" w:color="8EA9C1" w:sz="4"/>
              <w:left w:val="single" w:color="8EA9C1" w:sz="4"/>
              <w:bottom w:val="single" w:color="8EA9C1" w:sz="4"/>
              <w:right w:val="single" w:color="8EA9C1" w:sz="4"/>
            </w:tcBorders>
            <w:shd w:fill="DCE6F1" w:color="auto" w:val="clear"/>
            <w:tcMar>
              <w:top w:type="dxa" w:w="60"/>
              <w:left w:type="dxa" w:w="100"/>
              <w:bottom w:type="dxa" w:w="60"/>
              <w:right w:type="dxa" w:w="100"/>
            </w:tcMar>
          </w:tcPr>
          <w:p>
            <w:pPr>
              <w:spacing w:after="40" w:before="40"/>
            </w:pPr>
            <w:r>
              <w:rPr>
                <w:b/>
                <w:bCs/>
                <w:sz w:val="20"/>
                <w:szCs w:val="20"/>
              </w:rPr>
              <w:t xml:space="preserve">Reviewed by</w:t>
            </w:r>
          </w:p>
        </w:tc>
        <w:tc>
          <w:tcPr>
            <w:tcW w:type="dxa" w:w="2313"/>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Name / Sign / Date</w:t>
            </w:r>
          </w:p>
        </w:tc>
        <w:tc>
          <w:tcPr>
            <w:tcW w:type="dxa" w:w="2200"/>
            <w:tcBorders>
              <w:top w:val="single" w:color="8EA9C1" w:sz="4"/>
              <w:left w:val="single" w:color="8EA9C1" w:sz="4"/>
              <w:bottom w:val="single" w:color="8EA9C1" w:sz="4"/>
              <w:right w:val="single" w:color="8EA9C1" w:sz="4"/>
            </w:tcBorders>
            <w:shd w:fill="DCE6F1" w:color="auto" w:val="clear"/>
            <w:tcMar>
              <w:top w:type="dxa" w:w="60"/>
              <w:left w:type="dxa" w:w="100"/>
              <w:bottom w:type="dxa" w:w="60"/>
              <w:right w:type="dxa" w:w="100"/>
            </w:tcMar>
          </w:tcPr>
          <w:p>
            <w:pPr>
              <w:spacing w:after="40" w:before="40"/>
            </w:pPr>
            <w:r>
              <w:rPr>
                <w:b/>
                <w:bCs/>
                <w:sz w:val="20"/>
                <w:szCs w:val="20"/>
              </w:rPr>
              <w:t xml:space="preserve">Approved by</w:t>
            </w:r>
          </w:p>
        </w:tc>
        <w:tc>
          <w:tcPr>
            <w:tcW w:type="dxa" w:w="2313"/>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Name / Sign / Date</w:t>
            </w:r>
          </w:p>
        </w:tc>
      </w:tr>
    </w:tbl>
    <w:p>
      <w:pPr>
        <w:spacing w:after="120"/>
      </w:pPr>
    </w:p>
    <w:p>
      <w:pPr>
        <w:pStyle w:val="Heading1"/>
      </w:pPr>
      <w:r>
        <w:t xml:space="preserve">1. Name</w:t>
      </w:r>
    </w:p>
    <w:p>
      <w:pPr>
        <w:spacing w:after="100"/>
      </w:pPr>
      <w:r>
        <w:rPr>
          <w:b/>
          <w:bCs/>
        </w:rPr>
        <w:t xml:space="preserve">Temporary (Non-tunnelled) Haemodialysis Catheter Insertion – Internal Jugular / Femoral Vein</w:t>
      </w:r>
    </w:p>
    <w:p>
      <w:pPr>
        <w:pStyle w:val="Heading1"/>
      </w:pPr>
      <w:r>
        <w:t xml:space="preserve">2. Purpose</w:t>
      </w:r>
    </w:p>
    <w:p>
      <w:pPr>
        <w:spacing w:after="100"/>
      </w:pPr>
      <w:r>
        <w:t xml:space="preserve">To lay down a standardised, safe and aseptic method for ultrasound-guided insertion of a non-tunnelled, non-cuffed haemodialysis catheter (NTDC) into the internal jugular vein (IJV) or femoral vein, so that urgent extracorporeal therapy (HD, SLED, CRRT, plasma exchange) can be started while minimising mechanical complications and catheter-related bloodstream infection (CRBSI).</w:t>
      </w:r>
    </w:p>
    <w:p>
      <w:pPr>
        <w:pStyle w:val="Heading1"/>
      </w:pPr>
      <w:r>
        <w:t xml:space="preserve">3. Scope</w:t>
      </w:r>
    </w:p>
    <w:p>
      <w:pPr>
        <w:spacing w:after="100"/>
      </w:pPr>
      <w:r>
        <w:t xml:space="preserve">Applies to all adult patients in the AKD / Dialysis Unit, ICU, emergency department and wards of the hospital who need urgent vascular access for kidney replacement therapy or apheresis.</w:t>
      </w:r>
    </w:p>
    <w:p>
      <w:pPr>
        <w:spacing w:after="100"/>
      </w:pPr>
      <w:r>
        <w:t xml:space="preserve">Covers patient selection, site selection, pre-procedure preparation, ultrasound-guided insertion, confirmation of position, catheter locking, post-procedure care and documentation.</w:t>
      </w:r>
    </w:p>
    <w:p>
      <w:pPr>
        <w:spacing w:after="100"/>
      </w:pPr>
      <w:r>
        <w:t xml:space="preserve">Excludes tunnelled cuffed catheters (see SOP/AKD/02), paediatric catheters (refer to paediatric nephrology protocol) and subclavian access (to be avoided; used only with consultant approval when no other site is available).</w:t>
      </w:r>
    </w:p>
    <w:p>
      <w:pPr>
        <w:pStyle w:val="Heading1"/>
      </w:pPr>
      <w:r>
        <w:t xml:space="preserve">4. Responsibility</w:t>
      </w:r>
    </w:p>
    <w:p>
      <w:pPr>
        <w:pStyle w:val="ListParagraph"/>
        <w:numPr>
          <w:ilvl w:val="0"/>
          <w:numId w:val="2"/>
        </w:numPr>
        <w:spacing w:after="60"/>
      </w:pPr>
      <w:r>
        <w:rPr>
          <w:b/>
          <w:bCs/>
        </w:rPr>
        <w:t xml:space="preserve">Operator:</w:t>
      </w:r>
      <w:r>
        <w:t xml:space="preserve"> Nephrology consultant, or nephrology resident (DM/DNB) / trained medical officer who is credentialed for ultrasound-guided central venous access. Trainees perform under direct supervision until credentialed (minimum supervised procedures as per departmental credentialing policy).</w:t>
      </w:r>
    </w:p>
    <w:p>
      <w:pPr>
        <w:pStyle w:val="ListParagraph"/>
        <w:numPr>
          <w:ilvl w:val="0"/>
          <w:numId w:val="2"/>
        </w:numPr>
        <w:spacing w:after="60"/>
      </w:pPr>
      <w:r>
        <w:rPr>
          <w:b/>
          <w:bCs/>
        </w:rPr>
        <w:t xml:space="preserve">Assistant:</w:t>
      </w:r>
      <w:r>
        <w:t xml:space="preserve"> Dialysis nurse / technician – patient preparation, positioning, sterile trolley, ultrasound set-up, monitoring and completion of the insertion checklist.</w:t>
      </w:r>
    </w:p>
    <w:p>
      <w:pPr>
        <w:pStyle w:val="ListParagraph"/>
        <w:numPr>
          <w:ilvl w:val="0"/>
          <w:numId w:val="2"/>
        </w:numPr>
        <w:spacing w:after="60"/>
      </w:pPr>
      <w:r>
        <w:rPr>
          <w:b/>
          <w:bCs/>
        </w:rPr>
        <w:t xml:space="preserve">Dialysis nurse:</w:t>
      </w:r>
      <w:r>
        <w:t xml:space="preserve"> post-insertion monitoring, dressing and catheter care.</w:t>
      </w:r>
    </w:p>
    <w:p>
      <w:pPr>
        <w:pStyle w:val="ListParagraph"/>
        <w:numPr>
          <w:ilvl w:val="0"/>
          <w:numId w:val="2"/>
        </w:numPr>
        <w:spacing w:after="60"/>
      </w:pPr>
      <w:r>
        <w:rPr>
          <w:b/>
          <w:bCs/>
        </w:rPr>
        <w:t xml:space="preserve">Consent:</w:t>
      </w:r>
      <w:r>
        <w:t xml:space="preserve"> Operator obtains and documents informed written consent.</w:t>
      </w:r>
    </w:p>
    <w:p>
      <w:pPr>
        <w:pStyle w:val="Heading1"/>
      </w:pPr>
      <w:r>
        <w:t xml:space="preserve">5. Authority</w:t>
      </w:r>
    </w:p>
    <w:p>
      <w:pPr>
        <w:spacing w:after="100"/>
      </w:pPr>
      <w:r>
        <w:t xml:space="preserve">Head of Department (HOD), Nephrology / Consultant-in-charge of the AKD / Dialysis Unit. The supervising consultant confirms indication, site and adequacy of the procedure. The Hospital Infection Control Committee (HICC) audits compliance with the central-line insertion bundle.</w:t>
      </w:r>
    </w:p>
    <w:p>
      <w:pPr>
        <w:pStyle w:val="Heading1"/>
      </w:pPr>
      <w:r>
        <w:t xml:space="preserve">6. Specific Environmental Requirement</w:t>
      </w:r>
    </w:p>
    <w:p>
      <w:pPr>
        <w:pStyle w:val="ListParagraph"/>
        <w:numPr>
          <w:ilvl w:val="0"/>
          <w:numId w:val="2"/>
        </w:numPr>
        <w:spacing w:after="60"/>
      </w:pPr>
      <w:r>
        <w:t xml:space="preserve">Procedure room, ICU bed or dialysis bay with adequate space, good lighting, and curtain/screen for privacy.</w:t>
      </w:r>
    </w:p>
    <w:p>
      <w:pPr>
        <w:pStyle w:val="ListParagraph"/>
        <w:numPr>
          <w:ilvl w:val="0"/>
          <w:numId w:val="2"/>
        </w:numPr>
        <w:spacing w:after="60"/>
      </w:pPr>
      <w:r>
        <w:t xml:space="preserve">Clean area with restricted traffic during the procedure; doors/curtains closed; no fans directly blowing on the field.</w:t>
      </w:r>
    </w:p>
    <w:p>
      <w:pPr>
        <w:pStyle w:val="ListParagraph"/>
        <w:numPr>
          <w:ilvl w:val="0"/>
          <w:numId w:val="2"/>
        </w:numPr>
        <w:spacing w:after="60"/>
      </w:pPr>
      <w:r>
        <w:t xml:space="preserve">Full aseptic technique with </w:t>
      </w:r>
      <w:r>
        <w:rPr>
          <w:b/>
          <w:bCs/>
        </w:rPr>
        <w:t xml:space="preserve">maximal sterile barrier precautions</w:t>
      </w:r>
      <w:r>
        <w:t xml:space="preserve">: cap, mask, sterile gown, sterile gloves, and full-body sterile drape for the patient.</w:t>
      </w:r>
    </w:p>
    <w:p>
      <w:pPr>
        <w:pStyle w:val="ListParagraph"/>
        <w:numPr>
          <w:ilvl w:val="0"/>
          <w:numId w:val="2"/>
        </w:numPr>
        <w:spacing w:after="60"/>
      </w:pPr>
      <w:r>
        <w:t xml:space="preserve">Continuous ECG and SpO₂ monitoring; non-invasive BP; oxygen, suction and resuscitation trolley with defibrillator immediately available.</w:t>
      </w:r>
    </w:p>
    <w:p>
      <w:pPr>
        <w:pStyle w:val="ListParagraph"/>
        <w:numPr>
          <w:ilvl w:val="0"/>
          <w:numId w:val="2"/>
        </w:numPr>
        <w:spacing w:after="60"/>
      </w:pPr>
      <w:r>
        <w:t xml:space="preserve">Ultrasound machine with high-frequency (5–13 MHz) linear probe and sterile probe cover with sterile gel.</w:t>
      </w:r>
    </w:p>
    <w:p>
      <w:pPr>
        <w:pStyle w:val="ListParagraph"/>
        <w:numPr>
          <w:ilvl w:val="0"/>
          <w:numId w:val="2"/>
        </w:numPr>
        <w:spacing w:after="60"/>
      </w:pPr>
      <w:r>
        <w:t xml:space="preserve">For IJV: patient able to tolerate 10–15° Trendelenburg (head-down) position. For femoral: supine with leg slightly abducted and externally rotated.</w:t>
      </w:r>
    </w:p>
    <w:p>
      <w:pPr>
        <w:pStyle w:val="ListParagraph"/>
        <w:numPr>
          <w:ilvl w:val="0"/>
          <w:numId w:val="2"/>
        </w:numPr>
        <w:spacing w:after="60"/>
      </w:pPr>
      <w:r>
        <w:t xml:space="preserve">Sharps container and biomedical waste bins as per Bio-Medical Waste Management Rules, 2016 (as amended) at point of use.</w:t>
      </w:r>
    </w:p>
    <w:p>
      <w:pPr>
        <w:pStyle w:val="Heading1"/>
      </w:pPr>
      <w:r>
        <w:t xml:space="preserve">7. Equipment / Instruments</w:t>
      </w:r>
    </w:p>
    <w:p>
      <w:pPr>
        <w:pStyle w:val="ListParagraph"/>
        <w:numPr>
          <w:ilvl w:val="0"/>
          <w:numId w:val="2"/>
        </w:numPr>
        <w:spacing w:after="60"/>
      </w:pPr>
      <w:r>
        <w:rPr>
          <w:b/>
          <w:bCs/>
        </w:rPr>
        <w:t xml:space="preserve">Catheter:</w:t>
      </w:r>
      <w:r>
        <w:t xml:space="preserve"> Non-tunnelled, dual-lumen (or triple-lumen if extra infusion port needed) haemodialysis catheter, 11.5–13.5 Fr, polyurethane. Recommended lengths (adult): </w:t>
      </w:r>
      <w:r>
        <w:rPr>
          <w:b/>
          <w:bCs/>
        </w:rPr>
        <w:t xml:space="preserve">Right IJV 15–16 cm; Left IJV 19–20 cm; Femoral ≥ 20–24 cm</w:t>
      </w:r>
      <w:r>
        <w:t xml:space="preserve"> (tip should reach the IVC to reduce recirculation).</w:t>
      </w:r>
    </w:p>
    <w:p>
      <w:pPr>
        <w:pStyle w:val="ListParagraph"/>
        <w:numPr>
          <w:ilvl w:val="0"/>
          <w:numId w:val="2"/>
        </w:numPr>
        <w:spacing w:after="60"/>
      </w:pPr>
      <w:r>
        <w:t xml:space="preserve">Catheter kit: introducer needle (18 G), J-tip guidewire, tissue dilator(s), scalpel (No. 11), syringes.</w:t>
      </w:r>
    </w:p>
    <w:p>
      <w:pPr>
        <w:pStyle w:val="ListParagraph"/>
        <w:numPr>
          <w:ilvl w:val="0"/>
          <w:numId w:val="2"/>
        </w:numPr>
        <w:spacing w:after="60"/>
      </w:pPr>
      <w:r>
        <w:t xml:space="preserve">Ultrasound machine with linear probe, sterile probe sheath, sterile gel.</w:t>
      </w:r>
    </w:p>
    <w:p>
      <w:pPr>
        <w:pStyle w:val="ListParagraph"/>
        <w:numPr>
          <w:ilvl w:val="0"/>
          <w:numId w:val="2"/>
        </w:numPr>
        <w:spacing w:after="60"/>
      </w:pPr>
      <w:r>
        <w:t xml:space="preserve">Skin antiseptic: </w:t>
      </w:r>
      <w:r>
        <w:rPr>
          <w:b/>
          <w:bCs/>
        </w:rPr>
        <w:t xml:space="preserve">2% chlorhexidine gluconate in 70% isopropyl alcohol</w:t>
      </w:r>
      <w:r>
        <w:t xml:space="preserve"> (use povidone-iodine 10% if chlorhexidine allergy).</w:t>
      </w:r>
    </w:p>
    <w:p>
      <w:pPr>
        <w:pStyle w:val="ListParagraph"/>
        <w:numPr>
          <w:ilvl w:val="0"/>
          <w:numId w:val="2"/>
        </w:numPr>
        <w:spacing w:after="60"/>
      </w:pPr>
      <w:r>
        <w:t xml:space="preserve">Sterile drape (full body with fenestration), sterile gown, gloves, cap, mask, gauze, sterile bowl, sterile trolley.</w:t>
      </w:r>
    </w:p>
    <w:p>
      <w:pPr>
        <w:pStyle w:val="ListParagraph"/>
        <w:numPr>
          <w:ilvl w:val="0"/>
          <w:numId w:val="2"/>
        </w:numPr>
        <w:spacing w:after="60"/>
      </w:pPr>
      <w:r>
        <w:t xml:space="preserve">Local anaesthetic: Lignocaine 2% (max 3–4.5 mg/kg plain), 5 mL and 10 mL syringes, 23–25 G needles.</w:t>
      </w:r>
    </w:p>
    <w:p>
      <w:pPr>
        <w:pStyle w:val="ListParagraph"/>
        <w:numPr>
          <w:ilvl w:val="0"/>
          <w:numId w:val="2"/>
        </w:numPr>
        <w:spacing w:after="60"/>
      </w:pPr>
      <w:r>
        <w:t xml:space="preserve">0.9% sodium chloride flushes (10 mL syringes), heparinised saline for priming as per unit policy.</w:t>
      </w:r>
    </w:p>
    <w:p>
      <w:pPr>
        <w:pStyle w:val="ListParagraph"/>
        <w:numPr>
          <w:ilvl w:val="0"/>
          <w:numId w:val="2"/>
        </w:numPr>
        <w:spacing w:after="60"/>
      </w:pPr>
      <w:r>
        <w:t xml:space="preserve">Catheter lock solution: Heparin 1,000–5,000 IU/mL (unit standard: 1,000 IU/mL unless otherwise prescribed) </w:t>
      </w:r>
      <w:r>
        <w:rPr>
          <w:b/>
          <w:bCs/>
        </w:rPr>
        <w:t xml:space="preserve">or</w:t>
      </w:r>
      <w:r>
        <w:t xml:space="preserve"> Trisodium citrate 4% – volume exactly equal to the lumen fill volume printed on each limb.</w:t>
      </w:r>
    </w:p>
    <w:p>
      <w:pPr>
        <w:pStyle w:val="ListParagraph"/>
        <w:numPr>
          <w:ilvl w:val="0"/>
          <w:numId w:val="2"/>
        </w:numPr>
        <w:spacing w:after="60"/>
      </w:pPr>
      <w:r>
        <w:t xml:space="preserve">Suture (2-0 / 3-0 non-absorbable) on cutting needle or sutureless securement device; needle holder; scissors.</w:t>
      </w:r>
    </w:p>
    <w:p>
      <w:pPr>
        <w:pStyle w:val="ListParagraph"/>
        <w:numPr>
          <w:ilvl w:val="0"/>
          <w:numId w:val="2"/>
        </w:numPr>
        <w:spacing w:after="60"/>
      </w:pPr>
      <w:r>
        <w:t xml:space="preserve">Sterile transparent semipermeable dressing (preferably chlorhexidine-impregnated) or sterile gauze dressing.</w:t>
      </w:r>
    </w:p>
    <w:p>
      <w:pPr>
        <w:pStyle w:val="ListParagraph"/>
        <w:numPr>
          <w:ilvl w:val="0"/>
          <w:numId w:val="2"/>
        </w:numPr>
        <w:spacing w:after="60"/>
      </w:pPr>
      <w:r>
        <w:t xml:space="preserve">Needle-free connectors / sterile caps for each lumen.</w:t>
      </w:r>
    </w:p>
    <w:p>
      <w:pPr>
        <w:pStyle w:val="ListParagraph"/>
        <w:numPr>
          <w:ilvl w:val="0"/>
          <w:numId w:val="2"/>
        </w:numPr>
        <w:spacing w:after="60"/>
      </w:pPr>
      <w:r>
        <w:t xml:space="preserve">Resuscitation trolley, oxygen, suction, defibrillator.</w:t>
      </w:r>
    </w:p>
    <w:p>
      <w:pPr>
        <w:pStyle w:val="Heading1"/>
      </w:pPr>
      <w:r>
        <w:t xml:space="preserve">8. Procedure</w:t>
      </w:r>
    </w:p>
    <w:p>
      <w:pPr>
        <w:pStyle w:val="Heading2"/>
      </w:pPr>
      <w:r>
        <w:t xml:space="preserve">8.1 Indications</w:t>
      </w:r>
    </w:p>
    <w:p>
      <w:pPr>
        <w:pStyle w:val="ListParagraph"/>
        <w:numPr>
          <w:ilvl w:val="0"/>
          <w:numId w:val="2"/>
        </w:numPr>
        <w:spacing w:after="60"/>
      </w:pPr>
      <w:r>
        <w:t xml:space="preserve">Need for urgent KRT (HD, SLED, CRRT) in AKI or acute-on-chronic kidney disease when no functioning permanent access is available.</w:t>
      </w:r>
    </w:p>
    <w:p>
      <w:pPr>
        <w:pStyle w:val="ListParagraph"/>
        <w:numPr>
          <w:ilvl w:val="0"/>
          <w:numId w:val="2"/>
        </w:numPr>
        <w:spacing w:after="60"/>
      </w:pPr>
      <w:r>
        <w:t xml:space="preserve">Therapeutic plasma exchange / haemoperfusion / other extracorporeal therapy.</w:t>
      </w:r>
    </w:p>
    <w:p>
      <w:pPr>
        <w:pStyle w:val="ListParagraph"/>
        <w:numPr>
          <w:ilvl w:val="0"/>
          <w:numId w:val="2"/>
        </w:numPr>
        <w:spacing w:after="60"/>
      </w:pPr>
      <w:r>
        <w:t xml:space="preserve">Bridge access while AV fistula matures or after loss of permanent access / PD failure (expected duration ideally &lt; 2 weeks).</w:t>
      </w:r>
    </w:p>
    <w:p>
      <w:pPr>
        <w:pStyle w:val="Heading2"/>
      </w:pPr>
      <w:r>
        <w:t xml:space="preserve">8.2 Contraindications / Precautions</w:t>
      </w:r>
    </w:p>
    <w:p>
      <w:pPr>
        <w:pStyle w:val="ListParagraph"/>
        <w:numPr>
          <w:ilvl w:val="0"/>
          <w:numId w:val="2"/>
        </w:numPr>
        <w:spacing w:after="60"/>
      </w:pPr>
      <w:r>
        <w:t xml:space="preserve">Infection, burn or haematoma at the insertion site; thrombosis of the target vein on ultrasound (choose another site).</w:t>
      </w:r>
    </w:p>
    <w:p>
      <w:pPr>
        <w:pStyle w:val="ListParagraph"/>
        <w:numPr>
          <w:ilvl w:val="0"/>
          <w:numId w:val="2"/>
        </w:numPr>
        <w:spacing w:after="60"/>
      </w:pPr>
      <w:r>
        <w:t xml:space="preserve">Uncorrected severe coagulopathy – see 8.4; relative contraindication only, as IJV/femoral sites are compressible.</w:t>
      </w:r>
    </w:p>
    <w:p>
      <w:pPr>
        <w:pStyle w:val="ListParagraph"/>
        <w:numPr>
          <w:ilvl w:val="0"/>
          <w:numId w:val="2"/>
        </w:numPr>
        <w:spacing w:after="60"/>
      </w:pPr>
      <w:r>
        <w:t xml:space="preserve">Avoid subclavian vein (high risk of central venous stenosis that compromises future AV access) – KDOQI 2019.</w:t>
      </w:r>
    </w:p>
    <w:p>
      <w:pPr>
        <w:pStyle w:val="ListParagraph"/>
        <w:numPr>
          <w:ilvl w:val="0"/>
          <w:numId w:val="2"/>
        </w:numPr>
        <w:spacing w:after="60"/>
      </w:pPr>
      <w:r>
        <w:t xml:space="preserve">In patients with CKD who may need an AV fistula, avoid the IJV on the side of planned/existing AV access if possible; preserve arm veins.</w:t>
      </w:r>
    </w:p>
    <w:p>
      <w:pPr>
        <w:pStyle w:val="ListParagraph"/>
        <w:numPr>
          <w:ilvl w:val="0"/>
          <w:numId w:val="2"/>
        </w:numPr>
        <w:spacing w:after="60"/>
      </w:pPr>
      <w:r>
        <w:t xml:space="preserve">Femoral site preferred over IJV in: severe respiratory failure requiring urgent access without positioning, inability to lie flat / head-down, uncorrected coagulopathy (compressible), anticipated short duration. Femoral is less preferred in obese patients (BMI &gt; 28–30) because of higher infection risk.</w:t>
      </w:r>
    </w:p>
    <w:p>
      <w:pPr>
        <w:pStyle w:val="Heading2"/>
      </w:pPr>
      <w:r>
        <w:t xml:space="preserve">8.3 Site selection (order of preference)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71"/>
        <w:gridCol w:w="2034"/>
        <w:gridCol w:w="5721"/>
      </w:tblGrid>
      <w:tr>
        <w:trPr>
          <w:tblHeader/>
        </w:trPr>
        <w:tc>
          <w:tcPr>
            <w:tcW w:type="dxa" w:w="1271"/>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tcPr>
          <w:p>
            <w:pPr>
              <w:spacing w:after="40" w:before="40"/>
            </w:pPr>
            <w:r>
              <w:rPr>
                <w:b/>
                <w:bCs/>
                <w:color w:val="FFFFFF"/>
                <w:sz w:val="20"/>
                <w:szCs w:val="20"/>
              </w:rPr>
              <w:t xml:space="preserve">Preference</w:t>
            </w:r>
          </w:p>
        </w:tc>
        <w:tc>
          <w:tcPr>
            <w:tcW w:type="dxa" w:w="2034"/>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tcPr>
          <w:p>
            <w:pPr>
              <w:spacing w:after="40" w:before="40"/>
            </w:pPr>
            <w:r>
              <w:rPr>
                <w:b/>
                <w:bCs/>
                <w:color w:val="FFFFFF"/>
                <w:sz w:val="20"/>
                <w:szCs w:val="20"/>
              </w:rPr>
              <w:t xml:space="preserve">Site</w:t>
            </w:r>
          </w:p>
        </w:tc>
        <w:tc>
          <w:tcPr>
            <w:tcW w:type="dxa" w:w="5721"/>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tcPr>
          <w:p>
            <w:pPr>
              <w:spacing w:after="40" w:before="40"/>
            </w:pPr>
            <w:r>
              <w:rPr>
                <w:b/>
                <w:bCs/>
                <w:color w:val="FFFFFF"/>
                <w:sz w:val="20"/>
                <w:szCs w:val="20"/>
              </w:rPr>
              <w:t xml:space="preserve">Comment</w:t>
            </w:r>
          </w:p>
        </w:tc>
      </w:tr>
      <w:tr>
        <w:trPr>
          <w:cantSplit/>
        </w:trPr>
        <w:tc>
          <w:tcPr>
            <w:tcW w:type="dxa" w:w="1271"/>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1st</w:t>
            </w:r>
          </w:p>
        </w:tc>
        <w:tc>
          <w:tcPr>
            <w:tcW w:type="dxa" w:w="2034"/>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Right internal jugular vein</w:t>
            </w:r>
          </w:p>
        </w:tc>
        <w:tc>
          <w:tcPr>
            <w:tcW w:type="dxa" w:w="5721"/>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Straight course to SVC/RA; lowest risk of malposition and dysfunction; avoid if planned/existing right arm AVF in CKD.</w:t>
            </w:r>
          </w:p>
        </w:tc>
      </w:tr>
      <w:tr>
        <w:trPr>
          <w:cantSplit/>
        </w:trPr>
        <w:tc>
          <w:tcPr>
            <w:tcW w:type="dxa" w:w="1271"/>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2nd</w:t>
            </w:r>
          </w:p>
        </w:tc>
        <w:tc>
          <w:tcPr>
            <w:tcW w:type="dxa" w:w="2034"/>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Femoral vein (right or left)</w:t>
            </w:r>
          </w:p>
        </w:tc>
        <w:tc>
          <w:tcPr>
            <w:tcW w:type="dxa" w:w="5721"/>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Easy, compressible; preferred in emergency, coagulopathy or unstable patients; patient should be largely bed-bound; use ≥ 20 cm catheter.</w:t>
            </w:r>
          </w:p>
        </w:tc>
      </w:tr>
      <w:tr>
        <w:trPr>
          <w:cantSplit/>
        </w:trPr>
        <w:tc>
          <w:tcPr>
            <w:tcW w:type="dxa" w:w="1271"/>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3rd</w:t>
            </w:r>
          </w:p>
        </w:tc>
        <w:tc>
          <w:tcPr>
            <w:tcW w:type="dxa" w:w="2034"/>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Left internal jugular vein</w:t>
            </w:r>
          </w:p>
        </w:tc>
        <w:tc>
          <w:tcPr>
            <w:tcW w:type="dxa" w:w="5721"/>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Tortuous course through left brachiocephalic vein; higher dysfunction and stenosis risk; use 19–20 cm catheter.</w:t>
            </w:r>
          </w:p>
        </w:tc>
      </w:tr>
      <w:tr>
        <w:trPr>
          <w:cantSplit/>
        </w:trPr>
        <w:tc>
          <w:tcPr>
            <w:tcW w:type="dxa" w:w="1271"/>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Last resort</w:t>
            </w:r>
          </w:p>
        </w:tc>
        <w:tc>
          <w:tcPr>
            <w:tcW w:type="dxa" w:w="2034"/>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Subclavian vein</w:t>
            </w:r>
          </w:p>
        </w:tc>
        <w:tc>
          <w:tcPr>
            <w:tcW w:type="dxa" w:w="5721"/>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Only with consultant approval when no alternative – high risk of central venous stenosis.</w:t>
            </w:r>
          </w:p>
        </w:tc>
      </w:tr>
    </w:tbl>
    <w:p>
      <w:pPr>
        <w:spacing w:after="80"/>
      </w:pPr>
    </w:p>
    <w:p>
      <w:pPr>
        <w:pStyle w:val="Heading2"/>
      </w:pPr>
      <w:r>
        <w:t xml:space="preserve">8.4 Pre-procedure preparation</w:t>
      </w:r>
    </w:p>
    <w:p>
      <w:pPr>
        <w:pStyle w:val="ListParagraph"/>
        <w:numPr>
          <w:ilvl w:val="0"/>
          <w:numId w:val="3"/>
        </w:numPr>
        <w:spacing w:after="60"/>
      </w:pPr>
      <w:r>
        <w:t xml:space="preserve">Confirm indication, urgency and site with the consultant; document in case notes.</w:t>
      </w:r>
    </w:p>
    <w:p>
      <w:pPr>
        <w:pStyle w:val="ListParagraph"/>
        <w:numPr>
          <w:ilvl w:val="0"/>
          <w:numId w:val="3"/>
        </w:numPr>
        <w:spacing w:after="60"/>
      </w:pPr>
      <w:r>
        <w:t xml:space="preserve">Review history: previous catheters/access, cardiac devices (pacemaker leads – prefer site away from leads), known central venous stenosis, anticoagulant/antiplatelet use, allergy (chlorhexidine, lignocaine, heparin; history of HIT).</w:t>
      </w:r>
    </w:p>
    <w:p>
      <w:pPr>
        <w:pStyle w:val="ListParagraph"/>
        <w:numPr>
          <w:ilvl w:val="0"/>
          <w:numId w:val="3"/>
        </w:numPr>
        <w:spacing w:after="60"/>
      </w:pPr>
      <w:r>
        <w:t xml:space="preserve">Investigations: Hb, platelet count, PT/INR, aPTT, serum potassium, blood group; HBsAg, anti-HCV, HIV (send before first dialysis; do not delay emergency access for results).</w:t>
      </w:r>
    </w:p>
    <w:p>
      <w:pPr>
        <w:pStyle w:val="ListParagraph"/>
        <w:numPr>
          <w:ilvl w:val="0"/>
          <w:numId w:val="3"/>
        </w:numPr>
        <w:spacing w:after="60"/>
      </w:pPr>
      <w:r>
        <w:t xml:space="preserve">Bleeding risk thresholds (SIR 2019 consensus – CVC/non-tunnelled catheter is a </w:t>
      </w:r>
      <w:r>
        <w:rPr>
          <w:b/>
          <w:bCs/>
        </w:rPr>
        <w:t xml:space="preserve">low bleeding-risk</w:t>
      </w:r>
      <w:r>
        <w:t xml:space="preserve"> procedure): correct INR if &gt; 2.0–3.0; transfuse platelets if &lt; 20 × 10⁹/L. Uraemic platelet dysfunction: consider Desmopressin 0.3 µg/kg IV if active bleeding risk is high. Unfractionated heparin infusion: hold 1–2 h before if feasible.</w:t>
      </w:r>
    </w:p>
    <w:p>
      <w:pPr>
        <w:pStyle w:val="ListParagraph"/>
        <w:numPr>
          <w:ilvl w:val="0"/>
          <w:numId w:val="3"/>
        </w:numPr>
        <w:spacing w:after="60"/>
      </w:pPr>
      <w:r>
        <w:t xml:space="preserve">Obtain informed written consent in a language the patient/relative understands, explaining benefits, alternatives and risks (arterial puncture, haematoma, pneumothorax, air embolism, arrhythmia, infection, thrombosis, malposition, need for repeat procedure).</w:t>
      </w:r>
    </w:p>
    <w:p>
      <w:pPr>
        <w:pStyle w:val="ListParagraph"/>
        <w:numPr>
          <w:ilvl w:val="0"/>
          <w:numId w:val="3"/>
        </w:numPr>
        <w:spacing w:after="60"/>
      </w:pPr>
      <w:r>
        <w:t xml:space="preserve">Perform a </w:t>
      </w:r>
      <w:r>
        <w:rPr>
          <w:b/>
          <w:bCs/>
        </w:rPr>
        <w:t xml:space="preserve">pre-scan ultrasound</w:t>
      </w:r>
      <w:r>
        <w:t xml:space="preserve"> of both IJVs/femoral veins: check patency, compressibility, diameter, relationship with artery, respiratory variation.</w:t>
      </w:r>
    </w:p>
    <w:p>
      <w:pPr>
        <w:pStyle w:val="ListParagraph"/>
        <w:numPr>
          <w:ilvl w:val="0"/>
          <w:numId w:val="3"/>
        </w:numPr>
        <w:spacing w:after="60"/>
      </w:pPr>
      <w:r>
        <w:t xml:space="preserve">Hand hygiene; complete the Central Line Insertion Checklist; perform </w:t>
      </w:r>
      <w:r>
        <w:rPr>
          <w:b/>
          <w:bCs/>
        </w:rPr>
        <w:t xml:space="preserve">Time-out</w:t>
      </w:r>
      <w:r>
        <w:t xml:space="preserve"> (correct patient, procedure, site, consent, allergies, investigations).</w:t>
      </w:r>
    </w:p>
    <w:p>
      <w:pPr>
        <w:pStyle w:val="ListParagraph"/>
        <w:numPr>
          <w:ilvl w:val="0"/>
          <w:numId w:val="3"/>
        </w:numPr>
        <w:spacing w:after="60"/>
      </w:pPr>
      <w:r>
        <w:t xml:space="preserve">Position: IJV – supine, 10–15° head-down, head turned slightly (≤ 30°) to opposite side, rolled towel under shoulders if needed. Femoral – supine, flat, thigh slightly abducted and externally rotated.</w:t>
      </w:r>
    </w:p>
    <w:p>
      <w:pPr>
        <w:pStyle w:val="ListParagraph"/>
        <w:numPr>
          <w:ilvl w:val="0"/>
          <w:numId w:val="3"/>
        </w:numPr>
        <w:spacing w:after="60"/>
      </w:pPr>
      <w:r>
        <w:t xml:space="preserve">Attach monitor (ECG, SpO₂, NIBP). Give oxygen if required. Ensure IV access for emergency drugs.</w:t>
      </w:r>
    </w:p>
    <w:p>
      <w:pPr>
        <w:pStyle w:val="Heading2"/>
      </w:pPr>
      <w:r>
        <w:t xml:space="preserve">8.5 Insertion technique (real-time ultrasound-guided Seldinger technique)</w:t>
      </w:r>
    </w:p>
    <w:p>
      <w:pPr>
        <w:pStyle w:val="ListParagraph"/>
        <w:numPr>
          <w:ilvl w:val="0"/>
          <w:numId w:val="4"/>
        </w:numPr>
        <w:spacing w:after="60"/>
      </w:pPr>
      <w:r>
        <w:t xml:space="preserve">Operator performs surgical hand antisepsis and dons cap, mask, sterile gown and sterile gloves.</w:t>
      </w:r>
    </w:p>
    <w:p>
      <w:pPr>
        <w:pStyle w:val="ListParagraph"/>
        <w:numPr>
          <w:ilvl w:val="0"/>
          <w:numId w:val="4"/>
        </w:numPr>
        <w:spacing w:after="60"/>
      </w:pPr>
      <w:r>
        <w:t xml:space="preserve">Clean the skin with 2% chlorhexidine–70% alcohol using back-and-forth friction for at least 30 seconds over a wide area; </w:t>
      </w:r>
      <w:r>
        <w:rPr>
          <w:b/>
          <w:bCs/>
        </w:rPr>
        <w:t xml:space="preserve">allow to air-dry completely</w:t>
      </w:r>
      <w:r>
        <w:t xml:space="preserve"> (≥ 30 s; do not blot).</w:t>
      </w:r>
    </w:p>
    <w:p>
      <w:pPr>
        <w:pStyle w:val="ListParagraph"/>
        <w:numPr>
          <w:ilvl w:val="0"/>
          <w:numId w:val="4"/>
        </w:numPr>
        <w:spacing w:after="60"/>
      </w:pPr>
      <w:r>
        <w:t xml:space="preserve">Drape the patient with a full-body sterile drape. Cover the ultrasound probe with a sterile sheath containing sterile gel.</w:t>
      </w:r>
    </w:p>
    <w:p>
      <w:pPr>
        <w:pStyle w:val="ListParagraph"/>
        <w:numPr>
          <w:ilvl w:val="0"/>
          <w:numId w:val="4"/>
        </w:numPr>
        <w:spacing w:after="60"/>
      </w:pPr>
      <w:r>
        <w:t xml:space="preserve">Prepare the catheter: flush all lumens with 0.9% saline and clamp; check guidewire passage through the catheter (distal lumen).</w:t>
      </w:r>
    </w:p>
    <w:p>
      <w:pPr>
        <w:pStyle w:val="ListParagraph"/>
        <w:numPr>
          <w:ilvl w:val="0"/>
          <w:numId w:val="4"/>
        </w:numPr>
        <w:spacing w:after="60"/>
      </w:pPr>
      <w:r>
        <w:t xml:space="preserve">Identify the vein in short-axis (transverse) view. Infiltrate local anaesthetic (lignocaine 2%) into skin and track, aspirating before each injection.</w:t>
      </w:r>
    </w:p>
    <w:p>
      <w:pPr>
        <w:pStyle w:val="ListParagraph"/>
        <w:numPr>
          <w:ilvl w:val="0"/>
          <w:numId w:val="4"/>
        </w:numPr>
        <w:spacing w:after="60"/>
      </w:pPr>
      <w:r>
        <w:t xml:space="preserve">IJV: puncture at the apex of the triangle formed by the two heads of sternocleidomastoid, ~2–3 cm above the clavicle, needle directed towards the ipsilateral nipple at 30–45° to the skin. Femoral: puncture 1–2 cm below the inguinal ligament, medial to the femoral artery (identify the common femoral vein </w:t>
      </w:r>
      <w:r>
        <w:rPr>
          <w:b/>
          <w:bCs/>
        </w:rPr>
        <w:t xml:space="preserve">above</w:t>
      </w:r>
      <w:r>
        <w:t xml:space="preserve"> the saphenofemoral junction and bifurcation of the femoral artery).</w:t>
      </w:r>
    </w:p>
    <w:p>
      <w:pPr>
        <w:pStyle w:val="ListParagraph"/>
        <w:numPr>
          <w:ilvl w:val="0"/>
          <w:numId w:val="4"/>
        </w:numPr>
        <w:spacing w:after="60"/>
      </w:pPr>
      <w:r>
        <w:t xml:space="preserve">Under continuous real-time ultrasound, advance the introducer needle with gentle aspiration until the needle tip is visualised in the vein lumen and free flow of dark, non-pulsatile blood is obtained. Avoid through-and-through puncture of the vein.</w:t>
      </w:r>
    </w:p>
    <w:p>
      <w:pPr>
        <w:pStyle w:val="ListParagraph"/>
        <w:numPr>
          <w:ilvl w:val="0"/>
          <w:numId w:val="4"/>
        </w:numPr>
        <w:spacing w:after="60"/>
      </w:pPr>
      <w:r>
        <w:t xml:space="preserve">Remove the syringe, occlude the hub with a thumb (to prevent air embolism) and introduce the J-tip guidewire. </w:t>
      </w:r>
      <w:r>
        <w:rPr>
          <w:b/>
          <w:bCs/>
        </w:rPr>
        <w:t xml:space="preserve">Never let go of the guidewire.</w:t>
      </w:r>
      <w:r>
        <w:t xml:space="preserve"> For IJV insert no more than 15–20 cm of wire; observe ECG for ectopics and withdraw wire slightly if arrhythmia occurs.</w:t>
      </w:r>
    </w:p>
    <w:p>
      <w:pPr>
        <w:pStyle w:val="ListParagraph"/>
        <w:numPr>
          <w:ilvl w:val="0"/>
          <w:numId w:val="4"/>
        </w:numPr>
        <w:spacing w:after="60"/>
      </w:pPr>
      <w:r>
        <w:rPr>
          <w:b/>
          <w:bCs/>
        </w:rPr>
        <w:t xml:space="preserve">Confirm venous placement of the guidewire before dilatation</w:t>
      </w:r>
      <w:r>
        <w:t xml:space="preserve"> – visualise the wire in the vein in both short and long axis on ultrasound (mandatory). If doubt, transduce pressure / check blood gas before dilating.</w:t>
      </w:r>
    </w:p>
    <w:p>
      <w:pPr>
        <w:pStyle w:val="ListParagraph"/>
        <w:numPr>
          <w:ilvl w:val="0"/>
          <w:numId w:val="4"/>
        </w:numPr>
        <w:spacing w:after="60"/>
      </w:pPr>
      <w:r>
        <w:t xml:space="preserve">Make a small skin nick with the scalpel along the wire (blade facing away from the wire). Pass the dilator over the wire only through the subcutaneous tissue up to the vein wall (do not dilate deeper than necessary – IJV ~4–5 cm), with wire moving freely back and forth.</w:t>
      </w:r>
    </w:p>
    <w:p>
      <w:pPr>
        <w:pStyle w:val="ListParagraph"/>
        <w:numPr>
          <w:ilvl w:val="0"/>
          <w:numId w:val="4"/>
        </w:numPr>
        <w:spacing w:after="60"/>
      </w:pPr>
      <w:r>
        <w:t xml:space="preserve">Remove the dilator, maintain pressure on the site and thread the catheter over the wire until the wire emerges from the distal (venous) port; hold the wire while advancing the catheter to the desired depth.</w:t>
      </w:r>
    </w:p>
    <w:p>
      <w:pPr>
        <w:pStyle w:val="ListParagraph"/>
        <w:numPr>
          <w:ilvl w:val="0"/>
          <w:numId w:val="4"/>
        </w:numPr>
        <w:spacing w:after="60"/>
      </w:pPr>
      <w:r>
        <w:t xml:space="preserve">Remove the guidewire and </w:t>
      </w:r>
      <w:r>
        <w:rPr>
          <w:b/>
          <w:bCs/>
        </w:rPr>
        <w:t xml:space="preserve">confirm it is intact and removed</w:t>
      </w:r>
      <w:r>
        <w:t xml:space="preserve"> (count with the assistant). Aspirate blood freely from both lumens, then flush each lumen with 10 mL 0.9% saline using a push-pause technique. Both lumens should allow aspiration of ≥ 30 mL in 6 seconds approx. (free flow) for adequate Qb.</w:t>
      </w:r>
    </w:p>
    <w:p>
      <w:pPr>
        <w:pStyle w:val="ListParagraph"/>
        <w:numPr>
          <w:ilvl w:val="0"/>
          <w:numId w:val="4"/>
        </w:numPr>
        <w:spacing w:after="60"/>
      </w:pPr>
      <w:r>
        <w:t xml:space="preserve">Instil the prescribed lock solution exactly equal to the labelled lumen volume and clamp; apply sterile caps.</w:t>
      </w:r>
    </w:p>
    <w:p>
      <w:pPr>
        <w:pStyle w:val="ListParagraph"/>
        <w:numPr>
          <w:ilvl w:val="0"/>
          <w:numId w:val="4"/>
        </w:numPr>
        <w:spacing w:after="60"/>
      </w:pPr>
      <w:r>
        <w:t xml:space="preserve">Secure the catheter with sutures through the wings or a sutureless securement device. Clean the site with chlorhexidine and apply a sterile transparent (preferably chlorhexidine-impregnated) dressing.</w:t>
      </w:r>
    </w:p>
    <w:p>
      <w:pPr>
        <w:pStyle w:val="ListParagraph"/>
        <w:numPr>
          <w:ilvl w:val="0"/>
          <w:numId w:val="4"/>
        </w:numPr>
        <w:spacing w:after="60"/>
      </w:pPr>
      <w:r>
        <w:t xml:space="preserve">Dispose of sharps immediately into the sharps container. Remove gown and gloves, perform hand hygiene.</w:t>
      </w:r>
    </w:p>
    <w:p>
      <w:pPr>
        <w:pStyle w:val="Heading2"/>
      </w:pPr>
      <w:r>
        <w:t xml:space="preserve">8.6 Confirmation of position</w:t>
      </w:r>
    </w:p>
    <w:p>
      <w:pPr>
        <w:pStyle w:val="ListParagraph"/>
        <w:numPr>
          <w:ilvl w:val="0"/>
          <w:numId w:val="2"/>
        </w:numPr>
        <w:spacing w:after="60"/>
      </w:pPr>
      <w:r>
        <w:rPr>
          <w:b/>
          <w:bCs/>
        </w:rPr>
        <w:t xml:space="preserve">IJV:</w:t>
      </w:r>
      <w:r>
        <w:t xml:space="preserve"> Chest X-ray (or point-of-care ultrasound with saline-bubble test plus lung sliding) to confirm the tip at the cavo-atrial junction / lower SVC and exclude pneumothorax before use, unless there is an emergency (consultant decision, documented).</w:t>
      </w:r>
    </w:p>
    <w:p>
      <w:pPr>
        <w:pStyle w:val="ListParagraph"/>
        <w:numPr>
          <w:ilvl w:val="0"/>
          <w:numId w:val="2"/>
        </w:numPr>
        <w:spacing w:after="60"/>
      </w:pPr>
      <w:r>
        <w:rPr>
          <w:b/>
          <w:bCs/>
        </w:rPr>
        <w:t xml:space="preserve">Femoral:</w:t>
      </w:r>
      <w:r>
        <w:t xml:space="preserve"> X-ray is not routinely required; confirm free flow on both lumens.</w:t>
      </w:r>
    </w:p>
    <w:p>
      <w:pPr>
        <w:pStyle w:val="ListParagraph"/>
        <w:numPr>
          <w:ilvl w:val="0"/>
          <w:numId w:val="2"/>
        </w:numPr>
        <w:spacing w:after="60"/>
      </w:pPr>
      <w:r>
        <w:t xml:space="preserve">Document catheter make, size, length, insertion depth (cm mark at skin), number of attempts, ultrasound use and complications.</w:t>
      </w:r>
    </w:p>
    <w:p>
      <w:pPr>
        <w:pStyle w:val="Heading2"/>
      </w:pPr>
      <w:r>
        <w:t xml:space="preserve">8.7 Post-procedure care</w:t>
      </w:r>
    </w:p>
    <w:p>
      <w:pPr>
        <w:pStyle w:val="ListParagraph"/>
        <w:numPr>
          <w:ilvl w:val="0"/>
          <w:numId w:val="5"/>
        </w:numPr>
        <w:spacing w:after="60"/>
      </w:pPr>
      <w:r>
        <w:t xml:space="preserve">Monitor vitals every 15 min for the first hour; check site for bleeding/haematoma; check for dyspnoea (pneumothorax), limb swelling or distal pulses (femoral).</w:t>
      </w:r>
    </w:p>
    <w:p>
      <w:pPr>
        <w:pStyle w:val="ListParagraph"/>
        <w:numPr>
          <w:ilvl w:val="0"/>
          <w:numId w:val="5"/>
        </w:numPr>
        <w:spacing w:after="60"/>
      </w:pPr>
      <w:r>
        <w:t xml:space="preserve">The catheter is to be used </w:t>
      </w:r>
      <w:r>
        <w:rPr>
          <w:b/>
          <w:bCs/>
        </w:rPr>
        <w:t xml:space="preserve">only for extracorporeal therapy</w:t>
      </w:r>
      <w:r>
        <w:t xml:space="preserve"> by trained dialysis staff; no blood sampling or infusion by ward staff except in emergency per consultant order.</w:t>
      </w:r>
    </w:p>
    <w:p>
      <w:pPr>
        <w:pStyle w:val="ListParagraph"/>
        <w:numPr>
          <w:ilvl w:val="0"/>
          <w:numId w:val="5"/>
        </w:numPr>
        <w:spacing w:after="60"/>
      </w:pPr>
      <w:r>
        <w:t xml:space="preserve">Every connection/disconnection: hand hygiene, mask for staff and patient (or patient face turned away), clean gloves, scrub hub with chlorhexidine–alcohol for ≥ 15 s and allow to dry; aseptic non-touch technique (see SOP/AKD/11).</w:t>
      </w:r>
    </w:p>
    <w:p>
      <w:pPr>
        <w:pStyle w:val="ListParagraph"/>
        <w:numPr>
          <w:ilvl w:val="0"/>
          <w:numId w:val="5"/>
        </w:numPr>
        <w:spacing w:after="60"/>
      </w:pPr>
      <w:r>
        <w:t xml:space="preserve">Dressing change: gauze dressing every 2 days, transparent dressing every 7 days, or earlier if soiled, damp or loose. Inspect exit site daily.</w:t>
      </w:r>
    </w:p>
    <w:p>
      <w:pPr>
        <w:pStyle w:val="ListParagraph"/>
        <w:numPr>
          <w:ilvl w:val="0"/>
          <w:numId w:val="5"/>
        </w:numPr>
        <w:spacing w:after="60"/>
      </w:pPr>
      <w:r>
        <w:t xml:space="preserve">Daily review of need for the catheter; plan transition to tunnelled catheter / AVF / PD. Recommended maximum dwell: </w:t>
      </w:r>
      <w:r>
        <w:rPr>
          <w:b/>
          <w:bCs/>
        </w:rPr>
        <w:t xml:space="preserve">IJV – up to 1–2 weeks; femoral – up to 5–7 days in bed-bound patients</w:t>
      </w:r>
      <w:r>
        <w:t xml:space="preserve"> (KDOQI 2019); convert to tunnelled catheter if KRT is expected beyond ~2 weeks.</w:t>
      </w:r>
    </w:p>
    <w:p>
      <w:pPr>
        <w:pStyle w:val="ListParagraph"/>
        <w:numPr>
          <w:ilvl w:val="0"/>
          <w:numId w:val="5"/>
        </w:numPr>
        <w:spacing w:after="60"/>
      </w:pPr>
      <w:r>
        <w:t xml:space="preserve">Femoral catheter: restrict hip flexion &gt; 45°; ambulation not recommended.</w:t>
      </w:r>
    </w:p>
    <w:p>
      <w:pPr>
        <w:pStyle w:val="Heading2"/>
      </w:pPr>
      <w:r>
        <w:t xml:space="preserve">8.8 Management of complications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67"/>
        <w:gridCol w:w="6659"/>
      </w:tblGrid>
      <w:tr>
        <w:trPr>
          <w:tblHeader/>
        </w:trPr>
        <w:tc>
          <w:tcPr>
            <w:tcW w:type="dxa" w:w="2367"/>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tcPr>
          <w:p>
            <w:pPr>
              <w:spacing w:after="40" w:before="40"/>
            </w:pPr>
            <w:r>
              <w:rPr>
                <w:b/>
                <w:bCs/>
                <w:color w:val="FFFFFF"/>
                <w:sz w:val="20"/>
                <w:szCs w:val="20"/>
              </w:rPr>
              <w:t xml:space="preserve">Complication</w:t>
            </w:r>
          </w:p>
        </w:tc>
        <w:tc>
          <w:tcPr>
            <w:tcW w:type="dxa" w:w="6659"/>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tcPr>
          <w:p>
            <w:pPr>
              <w:spacing w:after="40" w:before="40"/>
            </w:pPr>
            <w:r>
              <w:rPr>
                <w:b/>
                <w:bCs/>
                <w:color w:val="FFFFFF"/>
                <w:sz w:val="20"/>
                <w:szCs w:val="20"/>
              </w:rPr>
              <w:t xml:space="preserve">Immediate action</w:t>
            </w:r>
          </w:p>
        </w:tc>
      </w:tr>
      <w:tr>
        <w:trPr>
          <w:cantSplit/>
        </w:trPr>
        <w:tc>
          <w:tcPr>
            <w:tcW w:type="dxa" w:w="2367"/>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Arterial puncture by needle</w:t>
            </w:r>
          </w:p>
        </w:tc>
        <w:tc>
          <w:tcPr>
            <w:tcW w:type="dxa" w:w="6659"/>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Withdraw needle, apply firm pressure 5–10 min (15 min if coagulopathic), re-attempt after haemostasis or choose another site.</w:t>
            </w:r>
          </w:p>
        </w:tc>
      </w:tr>
      <w:tr>
        <w:trPr>
          <w:cantSplit/>
        </w:trPr>
        <w:tc>
          <w:tcPr>
            <w:tcW w:type="dxa" w:w="2367"/>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Arterial cannulation by dilator/catheter</w:t>
            </w:r>
          </w:p>
        </w:tc>
        <w:tc>
          <w:tcPr>
            <w:tcW w:type="dxa" w:w="6659"/>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b/>
                <w:bCs/>
                <w:sz w:val="20"/>
                <w:szCs w:val="20"/>
              </w:rPr>
              <w:t xml:space="preserve">Do not remove</w:t>
            </w:r>
            <w:r>
              <w:rPr>
                <w:sz w:val="20"/>
                <w:szCs w:val="20"/>
              </w:rPr>
              <w:t xml:space="preserve">. Leave catheter in situ, inform consultant, urgent vascular surgery / interventional radiology opinion.</w:t>
            </w:r>
          </w:p>
        </w:tc>
      </w:tr>
      <w:tr>
        <w:trPr>
          <w:cantSplit/>
        </w:trPr>
        <w:tc>
          <w:tcPr>
            <w:tcW w:type="dxa" w:w="2367"/>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Pneumothorax</w:t>
            </w:r>
          </w:p>
        </w:tc>
        <w:tc>
          <w:tcPr>
            <w:tcW w:type="dxa" w:w="6659"/>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Oxygen, chest X-ray; intercostal drain if large/symptomatic; inform consultant.</w:t>
            </w:r>
          </w:p>
        </w:tc>
      </w:tr>
      <w:tr>
        <w:trPr>
          <w:cantSplit/>
        </w:trPr>
        <w:tc>
          <w:tcPr>
            <w:tcW w:type="dxa" w:w="2367"/>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Air embolism (sudden hypotension, hypoxia, chest pain)</w:t>
            </w:r>
          </w:p>
        </w:tc>
        <w:tc>
          <w:tcPr>
            <w:tcW w:type="dxa" w:w="6659"/>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Clamp catheter, 100% oxygen, place patient left lateral and head-down (Durant position), call for help; ACLS if arrest.</w:t>
            </w:r>
          </w:p>
        </w:tc>
      </w:tr>
      <w:tr>
        <w:trPr>
          <w:cantSplit/>
        </w:trPr>
        <w:tc>
          <w:tcPr>
            <w:tcW w:type="dxa" w:w="2367"/>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Arrhythmia</w:t>
            </w:r>
          </w:p>
        </w:tc>
        <w:tc>
          <w:tcPr>
            <w:tcW w:type="dxa" w:w="6659"/>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Withdraw guidewire/catheter a few cm; treat per ACLS if persistent.</w:t>
            </w:r>
          </w:p>
        </w:tc>
      </w:tr>
      <w:tr>
        <w:trPr>
          <w:cantSplit/>
        </w:trPr>
        <w:tc>
          <w:tcPr>
            <w:tcW w:type="dxa" w:w="2367"/>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Haematoma / bleeding</w:t>
            </w:r>
          </w:p>
        </w:tc>
        <w:tc>
          <w:tcPr>
            <w:tcW w:type="dxa" w:w="6659"/>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Local pressure, check coagulation, correct, consider re-suturing; neck haematoma with airway compromise is an emergency.</w:t>
            </w:r>
          </w:p>
        </w:tc>
      </w:tr>
      <w:tr>
        <w:trPr>
          <w:cantSplit/>
        </w:trPr>
        <w:tc>
          <w:tcPr>
            <w:tcW w:type="dxa" w:w="2367"/>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Lost guidewire</w:t>
            </w:r>
          </w:p>
        </w:tc>
        <w:tc>
          <w:tcPr>
            <w:tcW w:type="dxa" w:w="6659"/>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Do not attempt blind retrieval; X-ray; interventional radiology for snare retrieval.</w:t>
            </w:r>
          </w:p>
        </w:tc>
      </w:tr>
      <w:tr>
        <w:trPr>
          <w:cantSplit/>
        </w:trPr>
        <w:tc>
          <w:tcPr>
            <w:tcW w:type="dxa" w:w="2367"/>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Poor flow</w:t>
            </w:r>
          </w:p>
        </w:tc>
        <w:tc>
          <w:tcPr>
            <w:tcW w:type="dxa" w:w="6659"/>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Check clamps/kinks, reposition patient, flush; X-ray position; do not force flush against resistance.</w:t>
            </w:r>
          </w:p>
        </w:tc>
      </w:tr>
    </w:tbl>
    <w:p>
      <w:pPr>
        <w:spacing w:after="80"/>
      </w:pPr>
    </w:p>
    <w:p>
      <w:pPr>
        <w:pStyle w:val="Heading2"/>
      </w:pPr>
      <w:r>
        <w:t xml:space="preserve">8.9 Catheter removal</w:t>
      </w:r>
    </w:p>
    <w:p>
      <w:pPr>
        <w:pStyle w:val="ListParagraph"/>
        <w:numPr>
          <w:ilvl w:val="0"/>
          <w:numId w:val="2"/>
        </w:numPr>
        <w:spacing w:after="60"/>
      </w:pPr>
      <w:r>
        <w:t xml:space="preserve">Position supine (IJV: head-down; Valsalva or breath-hold at end-expiration). Remove sutures, withdraw the catheter in one smooth movement, apply firm pressure 5–10 min, then occlusive dressing for 24 h. Patient remains supine for 30 min.</w:t>
      </w:r>
    </w:p>
    <w:p>
      <w:pPr>
        <w:pStyle w:val="ListParagraph"/>
        <w:numPr>
          <w:ilvl w:val="0"/>
          <w:numId w:val="2"/>
        </w:numPr>
        <w:spacing w:after="60"/>
      </w:pPr>
      <w:r>
        <w:t xml:space="preserve">Send tip for culture only if CRBSI is suspected.</w:t>
      </w:r>
    </w:p>
    <w:p>
      <w:pPr>
        <w:pStyle w:val="Heading1"/>
      </w:pPr>
      <w:r>
        <w:t xml:space="preserve">9. Forms &amp; Documents</w:t>
      </w:r>
    </w:p>
    <w:p>
      <w:pPr>
        <w:pStyle w:val="ListParagraph"/>
        <w:numPr>
          <w:ilvl w:val="0"/>
          <w:numId w:val="2"/>
        </w:numPr>
        <w:spacing w:after="60"/>
      </w:pPr>
      <w:r>
        <w:t xml:space="preserve">Informed consent form – Central venous / haemodialysis catheter insertion (FORM/AKD/01).</w:t>
      </w:r>
    </w:p>
    <w:p>
      <w:pPr>
        <w:pStyle w:val="ListParagraph"/>
        <w:numPr>
          <w:ilvl w:val="0"/>
          <w:numId w:val="2"/>
        </w:numPr>
        <w:spacing w:after="60"/>
      </w:pPr>
      <w:r>
        <w:t xml:space="preserve">Central Line Insertion Checklist (bundle compliance) &amp; Time-out record (FORM/AKD/02).</w:t>
      </w:r>
    </w:p>
    <w:p>
      <w:pPr>
        <w:pStyle w:val="ListParagraph"/>
        <w:numPr>
          <w:ilvl w:val="0"/>
          <w:numId w:val="2"/>
        </w:numPr>
        <w:spacing w:after="60"/>
      </w:pPr>
      <w:r>
        <w:t xml:space="preserve">Procedure note in case sheet: indication, site, side, catheter details, depth, US guidance, attempts, complications, position confirmation.</w:t>
      </w:r>
    </w:p>
    <w:p>
      <w:pPr>
        <w:pStyle w:val="ListParagraph"/>
        <w:numPr>
          <w:ilvl w:val="0"/>
          <w:numId w:val="2"/>
        </w:numPr>
        <w:spacing w:after="60"/>
      </w:pPr>
      <w:r>
        <w:t xml:space="preserve">Haemodialysis Catheter Care &amp; Daily Assessment Chart (FORM/AKD/03).</w:t>
      </w:r>
    </w:p>
    <w:p>
      <w:pPr>
        <w:pStyle w:val="ListParagraph"/>
        <w:numPr>
          <w:ilvl w:val="0"/>
          <w:numId w:val="2"/>
        </w:numPr>
        <w:spacing w:after="60"/>
      </w:pPr>
      <w:r>
        <w:t xml:space="preserve">CLABSI / CRBSI surveillance form (HICC).</w:t>
      </w:r>
    </w:p>
    <w:p>
      <w:pPr>
        <w:pStyle w:val="ListParagraph"/>
        <w:numPr>
          <w:ilvl w:val="0"/>
          <w:numId w:val="2"/>
        </w:numPr>
        <w:spacing w:after="60"/>
      </w:pPr>
      <w:r>
        <w:t xml:space="preserve">Adverse event / incident reporting form.</w:t>
      </w:r>
    </w:p>
    <w:p>
      <w:pPr>
        <w:pStyle w:val="Heading1"/>
      </w:pPr>
      <w:r>
        <w:t xml:space="preserve">10. References</w:t>
      </w:r>
    </w:p>
    <w:p>
      <w:pPr>
        <w:pStyle w:val="ListParagraph"/>
        <w:numPr>
          <w:ilvl w:val="0"/>
          <w:numId w:val="6"/>
        </w:numPr>
        <w:spacing w:after="60"/>
      </w:pPr>
      <w:r>
        <w:t xml:space="preserve">Lok CE, Huber TS, Lee T, et al. KDOQI Clinical Practice Guideline for Vascular Access: 2019 Update. Am J Kidney Dis. 2020;75(4 Suppl 2):S1–S164.</w:t>
      </w:r>
    </w:p>
    <w:p>
      <w:pPr>
        <w:pStyle w:val="ListParagraph"/>
        <w:numPr>
          <w:ilvl w:val="0"/>
          <w:numId w:val="6"/>
        </w:numPr>
        <w:spacing w:after="60"/>
      </w:pPr>
      <w:r>
        <w:t xml:space="preserve">Kidney Disease: Improving Global Outcomes (KDIGO) Acute Kidney Injury Work Group. KDIGO Clinical Practice Guideline for Acute Kidney Injury. Kidney Int Suppl. 2012;2:1–138 (Chapter 5.4 – Vascular access for RRT in AKI).</w:t>
      </w:r>
    </w:p>
    <w:p>
      <w:pPr>
        <w:pStyle w:val="ListParagraph"/>
        <w:numPr>
          <w:ilvl w:val="0"/>
          <w:numId w:val="6"/>
        </w:numPr>
        <w:spacing w:after="60"/>
      </w:pPr>
      <w:r>
        <w:t xml:space="preserve">O’Grady NP, et al. Guidelines for the Prevention of Intravascular Catheter-Related Infections, 2011 (updated 2017). Centers for Disease Control and Prevention (CDC/HICPAC).</w:t>
      </w:r>
    </w:p>
    <w:p>
      <w:pPr>
        <w:pStyle w:val="ListParagraph"/>
        <w:numPr>
          <w:ilvl w:val="0"/>
          <w:numId w:val="6"/>
        </w:numPr>
        <w:spacing w:after="60"/>
      </w:pPr>
      <w:r>
        <w:t xml:space="preserve">Patel IJ, Rahim S, Davidson JC, et al. Society of Interventional Radiology Consensus Guidelines for the Periprocedural Management of Thrombotic and Bleeding Risk in Patients Undergoing Percutaneous Image-Guided Interventions – Part II. J Vasc Interv Radiol. 2019;30:1168–1184.</w:t>
      </w:r>
    </w:p>
    <w:p>
      <w:pPr>
        <w:pStyle w:val="ListParagraph"/>
        <w:numPr>
          <w:ilvl w:val="0"/>
          <w:numId w:val="6"/>
        </w:numPr>
        <w:spacing w:after="60"/>
      </w:pPr>
      <w:r>
        <w:t xml:space="preserve">Practice Guidelines for Central Venous Access 2020: An Updated Report by the American Society of Anesthesiologists Task Force on Central Venous Access. Anesthesiology. 2020;132:8–43.</w:t>
      </w:r>
    </w:p>
    <w:p>
      <w:pPr>
        <w:pStyle w:val="ListParagraph"/>
        <w:numPr>
          <w:ilvl w:val="0"/>
          <w:numId w:val="6"/>
        </w:numPr>
        <w:spacing w:after="60"/>
      </w:pPr>
      <w:r>
        <w:t xml:space="preserve">Lamperti M, et al. International evidence-based recommendations on ultrasound-guided vascular access. Intensive Care Med. 2012;38:1105–1117.</w:t>
      </w:r>
    </w:p>
    <w:p>
      <w:pPr>
        <w:pStyle w:val="ListParagraph"/>
        <w:numPr>
          <w:ilvl w:val="0"/>
          <w:numId w:val="6"/>
        </w:numPr>
        <w:spacing w:after="60"/>
      </w:pPr>
      <w:r>
        <w:t xml:space="preserve">Ministry of Health &amp; Family Welfare, Government of India. Guidelines for Haemodialysis under Pradhan Mantri National Dialysis Programme (PMNDP), 2016.</w:t>
      </w:r>
    </w:p>
    <w:p>
      <w:pPr>
        <w:pStyle w:val="ListParagraph"/>
        <w:numPr>
          <w:ilvl w:val="0"/>
          <w:numId w:val="6"/>
        </w:numPr>
        <w:spacing w:after="60"/>
      </w:pPr>
      <w:r>
        <w:t xml:space="preserve">National Accreditation Board for Hospitals &amp; Healthcare Providers (NABH). Accreditation Standards for Hospitals, 5th Edition (2020) – Chapters COP and HIC; and NABH Standards for Dialysis Centres.</w:t>
      </w:r>
    </w:p>
    <w:p>
      <w:pPr>
        <w:pStyle w:val="ListParagraph"/>
        <w:numPr>
          <w:ilvl w:val="0"/>
          <w:numId w:val="6"/>
        </w:numPr>
        <w:spacing w:after="60"/>
      </w:pPr>
      <w:r>
        <w:t xml:space="preserve">Bio-Medical Waste Management Rules, 2016 (and amendments 2018, 2019), MoEF&amp;CC, Government of India.</w:t>
      </w:r>
    </w:p>
    <w:p>
      <w:pPr>
        <w:pStyle w:val="Heading1"/>
      </w:pPr>
      <w:r>
        <w:t xml:space="preserve">11. Abbreviations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tblHeader/>
        </w:trPr>
        <w:tc>
          <w:tcPr>
            <w:tcW w:type="dxa" w:w="2257"/>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tcPr>
          <w:p>
            <w:pPr>
              <w:spacing w:after="40" w:before="40"/>
            </w:pPr>
            <w:r>
              <w:rPr>
                <w:b/>
                <w:bCs/>
                <w:color w:val="FFFFFF"/>
                <w:sz w:val="20"/>
                <w:szCs w:val="20"/>
              </w:rPr>
              <w:t xml:space="preserve">Abbreviation</w:t>
            </w:r>
          </w:p>
        </w:tc>
        <w:tc>
          <w:tcPr>
            <w:tcW w:type="dxa" w:w="6769"/>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tcPr>
          <w:p>
            <w:pPr>
              <w:spacing w:after="40" w:before="40"/>
            </w:pPr>
            <w:r>
              <w:rPr>
                <w:b/>
                <w:bCs/>
                <w:color w:val="FFFFFF"/>
                <w:sz w:val="20"/>
                <w:szCs w:val="20"/>
              </w:rPr>
              <w:t xml:space="preserve">Meaning</w:t>
            </w:r>
          </w:p>
        </w:tc>
      </w:tr>
      <w:tr>
        <w:trPr>
          <w:cantSplit/>
        </w:trPr>
        <w:tc>
          <w:tcPr>
            <w:tcW w:type="dxa" w:w="2257"/>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AKD</w:t>
            </w:r>
          </w:p>
        </w:tc>
        <w:tc>
          <w:tcPr>
            <w:tcW w:type="dxa" w:w="6769"/>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Acute Kidney Disease</w:t>
            </w:r>
          </w:p>
        </w:tc>
      </w:tr>
      <w:tr>
        <w:trPr>
          <w:cantSplit/>
        </w:trPr>
        <w:tc>
          <w:tcPr>
            <w:tcW w:type="dxa" w:w="2257"/>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AKI</w:t>
            </w:r>
          </w:p>
        </w:tc>
        <w:tc>
          <w:tcPr>
            <w:tcW w:type="dxa" w:w="6769"/>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Acute Kidney Injury</w:t>
            </w:r>
          </w:p>
        </w:tc>
      </w:tr>
      <w:tr>
        <w:trPr>
          <w:cantSplit/>
        </w:trPr>
        <w:tc>
          <w:tcPr>
            <w:tcW w:type="dxa" w:w="2257"/>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CRBSI</w:t>
            </w:r>
          </w:p>
        </w:tc>
        <w:tc>
          <w:tcPr>
            <w:tcW w:type="dxa" w:w="6769"/>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Catheter-Related Bloodstream Infection</w:t>
            </w:r>
          </w:p>
        </w:tc>
      </w:tr>
      <w:tr>
        <w:trPr>
          <w:cantSplit/>
        </w:trPr>
        <w:tc>
          <w:tcPr>
            <w:tcW w:type="dxa" w:w="2257"/>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CRRT</w:t>
            </w:r>
          </w:p>
        </w:tc>
        <w:tc>
          <w:tcPr>
            <w:tcW w:type="dxa" w:w="6769"/>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Continuous Renal Replacement Therapy</w:t>
            </w:r>
          </w:p>
        </w:tc>
      </w:tr>
      <w:tr>
        <w:trPr>
          <w:cantSplit/>
        </w:trPr>
        <w:tc>
          <w:tcPr>
            <w:tcW w:type="dxa" w:w="2257"/>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IJV</w:t>
            </w:r>
          </w:p>
        </w:tc>
        <w:tc>
          <w:tcPr>
            <w:tcW w:type="dxa" w:w="6769"/>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Internal Jugular Vein</w:t>
            </w:r>
          </w:p>
        </w:tc>
      </w:tr>
      <w:tr>
        <w:trPr>
          <w:cantSplit/>
        </w:trPr>
        <w:tc>
          <w:tcPr>
            <w:tcW w:type="dxa" w:w="2257"/>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KRT</w:t>
            </w:r>
          </w:p>
        </w:tc>
        <w:tc>
          <w:tcPr>
            <w:tcW w:type="dxa" w:w="6769"/>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Kidney Replacement Therapy</w:t>
            </w:r>
          </w:p>
        </w:tc>
      </w:tr>
      <w:tr>
        <w:trPr>
          <w:cantSplit/>
        </w:trPr>
        <w:tc>
          <w:tcPr>
            <w:tcW w:type="dxa" w:w="2257"/>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NTDC</w:t>
            </w:r>
          </w:p>
        </w:tc>
        <w:tc>
          <w:tcPr>
            <w:tcW w:type="dxa" w:w="6769"/>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Non-Tunnelled Dialysis Catheter</w:t>
            </w:r>
          </w:p>
        </w:tc>
      </w:tr>
      <w:tr>
        <w:trPr>
          <w:cantSplit/>
        </w:trPr>
        <w:tc>
          <w:tcPr>
            <w:tcW w:type="dxa" w:w="2257"/>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SLED</w:t>
            </w:r>
          </w:p>
        </w:tc>
        <w:tc>
          <w:tcPr>
            <w:tcW w:type="dxa" w:w="6769"/>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Sustained Low-Efficiency Dialysis</w:t>
            </w:r>
          </w:p>
        </w:tc>
      </w:tr>
      <w:tr>
        <w:trPr>
          <w:cantSplit/>
        </w:trPr>
        <w:tc>
          <w:tcPr>
            <w:tcW w:type="dxa" w:w="2257"/>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SVC</w:t>
            </w:r>
          </w:p>
        </w:tc>
        <w:tc>
          <w:tcPr>
            <w:tcW w:type="dxa" w:w="6769"/>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Superior Vena Cava</w:t>
            </w:r>
          </w:p>
        </w:tc>
      </w:tr>
    </w:tbl>
    <w:p>
      <w:pPr>
        <w:spacing w:after="80"/>
      </w:pPr>
    </w:p>
    <w:p>
      <w:pPr>
        <w:pStyle w:val="Heading1"/>
      </w:pPr>
      <w:r>
        <w:t xml:space="preserve">Document Approval &amp; Revision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rPr>
          <w:tblHeader/>
        </w:trPr>
        <w:tc>
          <w:tcPr>
            <w:tcW w:type="dxa" w:w="3009"/>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tcPr>
          <w:p>
            <w:pPr>
              <w:spacing w:after="40" w:before="40"/>
            </w:pPr>
            <w:r>
              <w:rPr>
                <w:b/>
                <w:bCs/>
                <w:color w:val="FFFFFF"/>
                <w:sz w:val="20"/>
                <w:szCs w:val="20"/>
              </w:rPr>
              <w:t xml:space="preserve">Prepared by</w:t>
            </w:r>
          </w:p>
        </w:tc>
        <w:tc>
          <w:tcPr>
            <w:tcW w:type="dxa" w:w="3009"/>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tcPr>
          <w:p>
            <w:pPr>
              <w:spacing w:after="40" w:before="40"/>
            </w:pPr>
            <w:r>
              <w:rPr>
                <w:b/>
                <w:bCs/>
                <w:color w:val="FFFFFF"/>
                <w:sz w:val="20"/>
                <w:szCs w:val="20"/>
              </w:rPr>
              <w:t xml:space="preserve">Reviewed by</w:t>
            </w:r>
          </w:p>
        </w:tc>
        <w:tc>
          <w:tcPr>
            <w:tcW w:type="dxa" w:w="3008"/>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tcPr>
          <w:p>
            <w:pPr>
              <w:spacing w:after="40" w:before="40"/>
            </w:pPr>
            <w:r>
              <w:rPr>
                <w:b/>
                <w:bCs/>
                <w:color w:val="FFFFFF"/>
                <w:sz w:val="20"/>
                <w:szCs w:val="20"/>
              </w:rPr>
              <w:t xml:space="preserve">Approved by</w:t>
            </w:r>
          </w:p>
        </w:tc>
      </w:tr>
      <w:tr>
        <w:tc>
          <w:tcPr>
            <w:tcW w:type="dxa" w:w="3009"/>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Name:</w:t>
            </w:r>
          </w:p>
        </w:tc>
        <w:tc>
          <w:tcPr>
            <w:tcW w:type="dxa" w:w="3009"/>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Name:</w:t>
            </w:r>
          </w:p>
        </w:tc>
        <w:tc>
          <w:tcPr>
            <w:tcW w:type="dxa" w:w="3008"/>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Name:</w:t>
            </w:r>
          </w:p>
        </w:tc>
      </w:tr>
      <w:tr>
        <w:tc>
          <w:tcPr>
            <w:tcW w:type="dxa" w:w="3009"/>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Designation:</w:t>
            </w:r>
          </w:p>
        </w:tc>
        <w:tc>
          <w:tcPr>
            <w:tcW w:type="dxa" w:w="3009"/>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Designation:</w:t>
            </w:r>
          </w:p>
        </w:tc>
        <w:tc>
          <w:tcPr>
            <w:tcW w:type="dxa" w:w="3008"/>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Designation:</w:t>
            </w:r>
          </w:p>
        </w:tc>
      </w:tr>
      <w:tr>
        <w:tc>
          <w:tcPr>
            <w:tcW w:type="dxa" w:w="3009"/>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Signature &amp; Date:</w:t>
            </w:r>
          </w:p>
        </w:tc>
        <w:tc>
          <w:tcPr>
            <w:tcW w:type="dxa" w:w="3009"/>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Signature &amp; Date:</w:t>
            </w:r>
          </w:p>
        </w:tc>
        <w:tc>
          <w:tcPr>
            <w:tcW w:type="dxa" w:w="3008"/>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Signature &amp; Date: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1"/>
        <w:gridCol w:w="1541"/>
        <w:gridCol w:w="4403"/>
        <w:gridCol w:w="1981"/>
      </w:tblGrid>
      <w:tr>
        <w:trPr>
          <w:tblHeader/>
        </w:trPr>
        <w:tc>
          <w:tcPr>
            <w:tcW w:type="dxa" w:w="1101"/>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tcPr>
          <w:p>
            <w:pPr>
              <w:spacing w:after="40" w:before="40"/>
            </w:pPr>
            <w:r>
              <w:rPr>
                <w:b/>
                <w:bCs/>
                <w:color w:val="FFFFFF"/>
                <w:sz w:val="20"/>
                <w:szCs w:val="20"/>
              </w:rPr>
              <w:t xml:space="preserve">Version</w:t>
            </w:r>
          </w:p>
        </w:tc>
        <w:tc>
          <w:tcPr>
            <w:tcW w:type="dxa" w:w="1541"/>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tcPr>
          <w:p>
            <w:pPr>
              <w:spacing w:after="40" w:before="40"/>
            </w:pPr>
            <w:r>
              <w:rPr>
                <w:b/>
                <w:bCs/>
                <w:color w:val="FFFFFF"/>
                <w:sz w:val="20"/>
                <w:szCs w:val="20"/>
              </w:rPr>
              <w:t xml:space="preserve">Date</w:t>
            </w:r>
          </w:p>
        </w:tc>
        <w:tc>
          <w:tcPr>
            <w:tcW w:type="dxa" w:w="4403"/>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tcPr>
          <w:p>
            <w:pPr>
              <w:spacing w:after="40" w:before="40"/>
            </w:pPr>
            <w:r>
              <w:rPr>
                <w:b/>
                <w:bCs/>
                <w:color w:val="FFFFFF"/>
                <w:sz w:val="20"/>
                <w:szCs w:val="20"/>
              </w:rPr>
              <w:t xml:space="preserve">Description of change</w:t>
            </w:r>
          </w:p>
        </w:tc>
        <w:tc>
          <w:tcPr>
            <w:tcW w:type="dxa" w:w="1981"/>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tcPr>
          <w:p>
            <w:pPr>
              <w:spacing w:after="40" w:before="40"/>
            </w:pPr>
            <w:r>
              <w:rPr>
                <w:b/>
                <w:bCs/>
                <w:color w:val="FFFFFF"/>
                <w:sz w:val="20"/>
                <w:szCs w:val="20"/>
              </w:rPr>
              <w:t xml:space="preserve">Approved by</w:t>
            </w:r>
          </w:p>
        </w:tc>
      </w:tr>
      <w:tr>
        <w:trPr>
          <w:cantSplit/>
        </w:trPr>
        <w:tc>
          <w:tcPr>
            <w:tcW w:type="dxa" w:w="1101"/>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1.0</w:t>
            </w:r>
          </w:p>
        </w:tc>
        <w:tc>
          <w:tcPr>
            <w:tcW w:type="dxa" w:w="1541"/>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p>
        </w:tc>
        <w:tc>
          <w:tcPr>
            <w:tcW w:type="dxa" w:w="4403"/>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First issue</w:t>
            </w:r>
          </w:p>
        </w:tc>
        <w:tc>
          <w:tcPr>
            <w:tcW w:type="dxa" w:w="1981"/>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p>
        </w:tc>
      </w:tr>
      <w:tr>
        <w:trPr>
          <w:cantSplit/>
        </w:trPr>
        <w:tc>
          <w:tcPr>
            <w:tcW w:type="dxa" w:w="1101"/>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p>
        </w:tc>
        <w:tc>
          <w:tcPr>
            <w:tcW w:type="dxa" w:w="1541"/>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p>
        </w:tc>
        <w:tc>
          <w:tcPr>
            <w:tcW w:type="dxa" w:w="4403"/>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p>
        </w:tc>
        <w:tc>
          <w:tcPr>
            <w:tcW w:type="dxa" w:w="1981"/>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p>
        </w:tc>
      </w:tr>
      <w:tr>
        <w:trPr>
          <w:cantSplit/>
        </w:trPr>
        <w:tc>
          <w:tcPr>
            <w:tcW w:type="dxa" w:w="1101"/>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p>
        </w:tc>
        <w:tc>
          <w:tcPr>
            <w:tcW w:type="dxa" w:w="1541"/>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p>
        </w:tc>
        <w:tc>
          <w:tcPr>
            <w:tcW w:type="dxa" w:w="4403"/>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p>
        </w:tc>
        <w:tc>
          <w:tcPr>
            <w:tcW w:type="dxa" w:w="1981"/>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p>
        </w:tc>
      </w:tr>
    </w:tbl>
    <w:p>
      <w:pPr>
        <w:spacing w:after="80"/>
      </w:pPr>
    </w:p>
    <w:p>
      <w:pPr>
        <w:spacing w:before="120"/>
      </w:pPr>
      <w:r>
        <w:rPr>
          <w:i/>
          <w:iCs/>
          <w:color w:val="595959"/>
          <w:sz w:val="18"/>
          <w:szCs w:val="18"/>
        </w:rPr>
        <w:t xml:space="preserve">This SOP is based on current published guidelines. It does not replace clinical judgement; deviations must be justified and documented in the patient record. Drug doses must be verified against the current hospital formulary and adjusted for renal function.</w:t>
      </w:r>
    </w:p>
    <w:sectPr>
      <w:headerReference w:type="default" r:id="rId7"/>
      <w:footerReference w:type="default" r:id="rId8"/>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08080"/>
        <w:sz w:val="16"/>
        <w:szCs w:val="16"/>
      </w:rPr>
      <w:t xml:space="preserve">Controlled document – do not photocopy without authorisation. Version 1.0</w:t>
    </w:r>
    <w:r>
      <w:rPr>
        <w:color w:val="808080"/>
        <w:sz w:val="16"/>
        <w:szCs w:val="16"/>
      </w:rPr>
      <w:t xml:space="preserve">	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EA9C1" w:sz="4" w:space="2"/>
      </w:pBdr>
      <w:tabs>
        <w:tab w:val="right" w:pos="9026"/>
      </w:tabs>
    </w:pPr>
    <w:r>
      <w:rPr>
        <w:color w:val="595959"/>
        <w:sz w:val="17"/>
        <w:szCs w:val="17"/>
      </w:rPr>
      <w:t xml:space="preserve">[Hospital Name] | Department of Nephrology – AKD / Dialysis Unit</w:t>
    </w:r>
    <w:r>
      <w:rPr>
        <w:b/>
        <w:bCs/>
        <w:color w:val="595959"/>
        <w:sz w:val="17"/>
        <w:szCs w:val="17"/>
      </w:rPr>
      <w:t xml:space="preserve">	SOP/AKD/01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lvl w:ilvl="2" w15:tentative="1">
      <w:start w:val="1"/>
      <w:numFmt w:val="bullet"/>
      <w:lvlText w:val="◦"/>
      <w:lvlJc w:val="left"/>
      <w:pPr>
        <w:ind w:left="162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4E79" w:sz="6" w:space="2"/>
      </w:pBdr>
      <w:spacing w:after="120" w:before="280"/>
      <w:outlineLvl w:val="0"/>
    </w:pPr>
    <w:rPr>
      <w:rFonts w:ascii="Calibri" w:cs="Calibri" w:eastAsia="Calibri" w:hAnsi="Calibri"/>
      <w:b/>
      <w:bCs/>
      <w:color w:val="1F4E79"/>
      <w:sz w:val="26"/>
      <w:szCs w:val="26"/>
    </w:rPr>
  </w:style>
  <w:style w:type="paragraph" w:styleId="Heading2">
    <w:name w:val="Heading 2"/>
    <w:basedOn w:val="Normal"/>
    <w:next w:val="Normal"/>
    <w:qFormat/>
    <w:pPr>
      <w:keepNext/>
      <w:spacing w:after="80" w:before="200"/>
      <w:outlineLvl w:val="1"/>
    </w:pPr>
    <w:rPr>
      <w:rFonts w:ascii="Calibri" w:cs="Calibri" w:eastAsia="Calibri" w:hAnsi="Calibri"/>
      <w:b/>
      <w:bCs/>
      <w:color w:val="2E75B6"/>
      <w:sz w:val="23"/>
      <w:szCs w:val="23"/>
    </w:rPr>
  </w:style>
  <w:style w:type="paragraph" w:styleId="Heading3">
    <w:name w:val="Heading 3"/>
    <w:basedOn w:val="Normal"/>
    <w:next w:val="Normal"/>
    <w:qFormat/>
    <w:pPr>
      <w:keepNext/>
      <w:spacing w:after="60" w:before="140"/>
      <w:outlineLvl w:val="2"/>
    </w:pPr>
    <w:rPr>
      <w:rFonts w:ascii="Calibri" w:cs="Calibri" w:eastAsia="Calibri" w:hAnsi="Calibri"/>
      <w:b/>
      <w:bCs/>
      <w:i/>
      <w:iCs/>
      <w:color w:val="40404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Temporary (Non-tunnelled) Haemodialysis Catheter Insertion – Internal Jugular / Femoral Vein</dc:title>
  <dc:creator>Department of Nephrology</dc:creator>
  <cp:lastModifiedBy>Un-named</cp:lastModifiedBy>
  <cp:revision>1</cp:revision>
  <dcterms:created xsi:type="dcterms:W3CDTF">2026-10-13T04:51:53.132Z</dcterms:created>
  <dcterms:modified xsi:type="dcterms:W3CDTF">2026-10-13T04:51:53.133Z</dcterms:modified>
</cp:coreProperties>
</file>

<file path=docProps/custom.xml><?xml version="1.0" encoding="utf-8"?>
<Properties xmlns="http://schemas.openxmlformats.org/officeDocument/2006/custom-properties" xmlns:vt="http://schemas.openxmlformats.org/officeDocument/2006/docPropsVTypes"/>
</file>