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2"/>
          <w:szCs w:val="22"/>
        </w:rPr>
        <w:t xml:space="preserve">STANDARD OPERATING PROCEDURE</w:t>
      </w:r>
    </w:p>
    <w:p>
      <w:pPr>
        <w:spacing w:after="200"/>
        <w:jc w:val="center"/>
      </w:pPr>
      <w:r>
        <w:rPr>
          <w:b/>
          <w:bCs/>
          <w:color w:val="1F4E79"/>
          <w:sz w:val="34"/>
          <w:szCs w:val="34"/>
        </w:rPr>
        <w:t xml:space="preserve">Permanent (Tunnelled Cuffed) Haemodialysis Catheter Insertion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SOP No.</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SOP/AKD/02</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Version</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Department</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Nephrology – AKD / Dialysis Unit</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Effective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__</w:t>
            </w:r>
            <w:r>
              <w:rPr>
                <w:i/>
                <w:iCs/>
                <w:sz w:val="20"/>
                <w:szCs w:val="20"/>
              </w:rPr>
              <w:t xml:space="preserve"> / </w:t>
            </w:r>
            <w:r>
              <w:rPr>
                <w:i/>
                <w:iCs/>
                <w:sz w:val="20"/>
                <w:szCs w:val="20"/>
              </w:rPr>
              <w:t xml:space="preserve"> / </w:t>
            </w:r>
            <w:r>
              <w:rPr>
                <w:sz w:val="20"/>
                <w:szCs w:val="20"/>
              </w:rPr>
              <w:t xml:space="preserve">____</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Prepared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Next Review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 years from effective date or earlier if guidelines change</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Reviewed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Approved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r>
    </w:tbl>
    <w:p>
      <w:pPr>
        <w:spacing w:after="120"/>
      </w:pPr>
    </w:p>
    <w:p>
      <w:pPr>
        <w:pStyle w:val="Heading1"/>
      </w:pPr>
      <w:r>
        <w:t xml:space="preserve">1. Name</w:t>
      </w:r>
    </w:p>
    <w:p>
      <w:pPr>
        <w:spacing w:after="100"/>
      </w:pPr>
      <w:r>
        <w:rPr>
          <w:b/>
          <w:bCs/>
        </w:rPr>
        <w:t xml:space="preserve">Permanent (Tunnelled Cuffed) Haemodialysis Catheter Insertion</w:t>
      </w:r>
    </w:p>
    <w:p>
      <w:pPr>
        <w:pStyle w:val="Heading1"/>
      </w:pPr>
      <w:r>
        <w:t xml:space="preserve">2. Purpose</w:t>
      </w:r>
    </w:p>
    <w:p>
      <w:pPr>
        <w:spacing w:after="100"/>
      </w:pPr>
      <w:r>
        <w:t xml:space="preserve">To standardise the indication, preparation, image-guided insertion technique and aftercare of tunnelled cuffed haemodialysis catheters (TCC / “permcath”), so that patients needing medium- to long-term haemodialysis receive a well-functioning access with the lowest possible risk of infection, dysfunction and central venous stenosis.</w:t>
      </w:r>
    </w:p>
    <w:p>
      <w:pPr>
        <w:pStyle w:val="Heading1"/>
      </w:pPr>
      <w:r>
        <w:t xml:space="preserve">3. Scope</w:t>
      </w:r>
    </w:p>
    <w:p>
      <w:pPr>
        <w:spacing w:after="100"/>
      </w:pPr>
      <w:r>
        <w:t xml:space="preserve">Applies to adult patients of the AKD / Dialysis Unit who require haemodialysis for an expected duration of more than ~2 weeks and in whom an AV fistula / graft or PD catheter is not immediately usable.</w:t>
      </w:r>
    </w:p>
    <w:p>
      <w:pPr>
        <w:spacing w:after="100"/>
      </w:pPr>
      <w:r>
        <w:t xml:space="preserve">Procedure is performed in the interventional nephrology suite / cath lab / operation theatre with fluoroscopy, by the nephrology or interventional radiology / vascular surgery team.</w:t>
      </w:r>
    </w:p>
    <w:p>
      <w:pPr>
        <w:spacing w:after="100"/>
      </w:pPr>
      <w:r>
        <w:t xml:space="preserve">Covers de novo insertion and guidewire exchange of a dysfunctional TCC. Excludes non-tunnelled catheters (SOP/AKD/01) and paediatric patients.</w:t>
      </w:r>
    </w:p>
    <w:p>
      <w:pPr>
        <w:pStyle w:val="Heading1"/>
      </w:pPr>
      <w:r>
        <w:t xml:space="preserve">4. Responsibility</w:t>
      </w:r>
    </w:p>
    <w:p>
      <w:pPr>
        <w:pStyle w:val="ListParagraph"/>
        <w:numPr>
          <w:ilvl w:val="0"/>
          <w:numId w:val="2"/>
        </w:numPr>
        <w:spacing w:after="60"/>
      </w:pPr>
      <w:r>
        <w:rPr>
          <w:b/>
          <w:bCs/>
        </w:rPr>
        <w:t xml:space="preserve">Operator:</w:t>
      </w:r>
      <w:r>
        <w:t xml:space="preserve"> Interventional nephrologist / nephrology consultant, interventional radiologist or vascular surgeon credentialed for tunnelled catheter placement; trainees under direct supervision.</w:t>
      </w:r>
    </w:p>
    <w:p>
      <w:pPr>
        <w:pStyle w:val="ListParagraph"/>
        <w:numPr>
          <w:ilvl w:val="0"/>
          <w:numId w:val="2"/>
        </w:numPr>
        <w:spacing w:after="60"/>
      </w:pPr>
      <w:r>
        <w:rPr>
          <w:b/>
          <w:bCs/>
        </w:rPr>
        <w:t xml:space="preserve">Anaesthetist (if required):</w:t>
      </w:r>
      <w:r>
        <w:t xml:space="preserve"> monitored anaesthesia care / sedation in high-risk or uncooperative patients.</w:t>
      </w:r>
    </w:p>
    <w:p>
      <w:pPr>
        <w:pStyle w:val="ListParagraph"/>
        <w:numPr>
          <w:ilvl w:val="0"/>
          <w:numId w:val="2"/>
        </w:numPr>
        <w:spacing w:after="60"/>
      </w:pPr>
      <w:r>
        <w:rPr>
          <w:b/>
          <w:bCs/>
        </w:rPr>
        <w:t xml:space="preserve">Cath-lab / OT nurse and radiographer:</w:t>
      </w:r>
      <w:r>
        <w:t xml:space="preserve"> sterile set-up, fluoroscopy, radiation safety, monitoring, checklist.</w:t>
      </w:r>
    </w:p>
    <w:p>
      <w:pPr>
        <w:pStyle w:val="ListParagraph"/>
        <w:numPr>
          <w:ilvl w:val="0"/>
          <w:numId w:val="2"/>
        </w:numPr>
        <w:spacing w:after="60"/>
      </w:pPr>
      <w:r>
        <w:rPr>
          <w:b/>
          <w:bCs/>
        </w:rPr>
        <w:t xml:space="preserve">Dialysis nurse:</w:t>
      </w:r>
      <w:r>
        <w:t xml:space="preserve"> pre-procedure preparation, post-procedure monitoring, first use and ongoing catheter care.</w:t>
      </w:r>
    </w:p>
    <w:p>
      <w:pPr>
        <w:pStyle w:val="Heading1"/>
      </w:pPr>
      <w:r>
        <w:t xml:space="preserve">5. Authority</w:t>
      </w:r>
    </w:p>
    <w:p>
      <w:pPr>
        <w:spacing w:after="100"/>
      </w:pPr>
      <w:r>
        <w:t xml:space="preserve">HOD Nephrology / Consultant-in-charge of interventional nephrology. Vascular Access Coordinator / Access team reviews each insertion for appropriateness (ESKD Life-Plan) and audits outcomes (infection, dysfunction, catheter days). HICC audits infection bundle compliance.</w:t>
      </w:r>
    </w:p>
    <w:p>
      <w:pPr>
        <w:pStyle w:val="Heading1"/>
      </w:pPr>
      <w:r>
        <w:t xml:space="preserve">6. Specific Environmental Requirement</w:t>
      </w:r>
    </w:p>
    <w:p>
      <w:pPr>
        <w:pStyle w:val="ListParagraph"/>
        <w:numPr>
          <w:ilvl w:val="0"/>
          <w:numId w:val="2"/>
        </w:numPr>
        <w:spacing w:after="60"/>
      </w:pPr>
      <w:r>
        <w:t xml:space="preserve">Cath lab / interventional suite or OT with C-arm fluoroscopy, radiolucent table and lead protection (aprons, thyroid shields, dosimeters) as per AERB guidelines.</w:t>
      </w:r>
    </w:p>
    <w:p>
      <w:pPr>
        <w:pStyle w:val="ListParagraph"/>
        <w:numPr>
          <w:ilvl w:val="0"/>
          <w:numId w:val="2"/>
        </w:numPr>
        <w:spacing w:after="60"/>
      </w:pPr>
      <w:r>
        <w:t xml:space="preserve">Laminar or clean-air environment; restricted entry; full surgical asepsis with </w:t>
      </w:r>
      <w:r>
        <w:rPr>
          <w:b/>
          <w:bCs/>
        </w:rPr>
        <w:t xml:space="preserve">maximal sterile barrier precautions</w:t>
      </w:r>
      <w:r>
        <w:t xml:space="preserve"> (cap, mask, sterile gown, gloves, full-body drape).</w:t>
      </w:r>
    </w:p>
    <w:p>
      <w:pPr>
        <w:pStyle w:val="ListParagraph"/>
        <w:numPr>
          <w:ilvl w:val="0"/>
          <w:numId w:val="2"/>
        </w:numPr>
        <w:spacing w:after="60"/>
      </w:pPr>
      <w:r>
        <w:t xml:space="preserve">Ultrasound machine with linear probe and sterile cover for real-time guided venepuncture.</w:t>
      </w:r>
    </w:p>
    <w:p>
      <w:pPr>
        <w:pStyle w:val="ListParagraph"/>
        <w:numPr>
          <w:ilvl w:val="0"/>
          <w:numId w:val="2"/>
        </w:numPr>
        <w:spacing w:after="60"/>
      </w:pPr>
      <w:r>
        <w:t xml:space="preserve">Continuous ECG, SpO₂, NIBP monitoring; oxygen, suction, resuscitation trolley and defibrillator.</w:t>
      </w:r>
    </w:p>
    <w:p>
      <w:pPr>
        <w:pStyle w:val="ListParagraph"/>
        <w:numPr>
          <w:ilvl w:val="0"/>
          <w:numId w:val="2"/>
        </w:numPr>
        <w:spacing w:after="60"/>
      </w:pPr>
      <w:r>
        <w:t xml:space="preserve">Facility for conscious sedation as per hospital sedation policy, with recovery area.</w:t>
      </w:r>
    </w:p>
    <w:p>
      <w:pPr>
        <w:pStyle w:val="Heading1"/>
      </w:pPr>
      <w:r>
        <w:t xml:space="preserve">7. Equipment / Instruments</w:t>
      </w:r>
    </w:p>
    <w:p>
      <w:pPr>
        <w:pStyle w:val="ListParagraph"/>
        <w:numPr>
          <w:ilvl w:val="0"/>
          <w:numId w:val="2"/>
        </w:numPr>
        <w:spacing w:after="60"/>
      </w:pPr>
      <w:r>
        <w:rPr>
          <w:b/>
          <w:bCs/>
        </w:rPr>
        <w:t xml:space="preserve">Tunnelled cuffed dual-lumen catheter</w:t>
      </w:r>
      <w:r>
        <w:t xml:space="preserve"> 14.5–16 Fr (split-tip or step-tip design), with Dacron cuff. Cuff-to-tip length: </w:t>
      </w:r>
      <w:r>
        <w:rPr>
          <w:b/>
          <w:bCs/>
        </w:rPr>
        <w:t xml:space="preserve">Right IJV 19–23 cm; Left IJV 23–28 cm; Femoral 40–55 cm</w:t>
      </w:r>
      <w:r>
        <w:t xml:space="preserve"> (select by fluoroscopic measurement).</w:t>
      </w:r>
    </w:p>
    <w:p>
      <w:pPr>
        <w:pStyle w:val="ListParagraph"/>
        <w:numPr>
          <w:ilvl w:val="0"/>
          <w:numId w:val="2"/>
        </w:numPr>
        <w:spacing w:after="60"/>
      </w:pPr>
      <w:r>
        <w:t xml:space="preserve">Kit: 18–21 G micropuncture needle and 0.018" wire (preferred), transition dilator, 0.035"/0.038" guidewire, serial dilators, peel-away sheath with haemostatic valve, tunnelling device.</w:t>
      </w:r>
    </w:p>
    <w:p>
      <w:pPr>
        <w:pStyle w:val="ListParagraph"/>
        <w:numPr>
          <w:ilvl w:val="0"/>
          <w:numId w:val="2"/>
        </w:numPr>
        <w:spacing w:after="60"/>
      </w:pPr>
      <w:r>
        <w:t xml:space="preserve">Ultrasound with linear probe, sterile sheath and gel; C-arm fluoroscope.</w:t>
      </w:r>
    </w:p>
    <w:p>
      <w:pPr>
        <w:pStyle w:val="ListParagraph"/>
        <w:numPr>
          <w:ilvl w:val="0"/>
          <w:numId w:val="2"/>
        </w:numPr>
        <w:spacing w:after="60"/>
      </w:pPr>
      <w:r>
        <w:t xml:space="preserve">Antiseptic: 2% chlorhexidine in 70% alcohol; povidone-iodine if allergy.</w:t>
      </w:r>
    </w:p>
    <w:p>
      <w:pPr>
        <w:pStyle w:val="ListParagraph"/>
        <w:numPr>
          <w:ilvl w:val="0"/>
          <w:numId w:val="2"/>
        </w:numPr>
        <w:spacing w:after="60"/>
      </w:pPr>
      <w:r>
        <w:t xml:space="preserve">Local anaesthetic: lignocaine 1–2% with or without adrenaline (for tunnel); syringes and needles.</w:t>
      </w:r>
    </w:p>
    <w:p>
      <w:pPr>
        <w:pStyle w:val="ListParagraph"/>
        <w:numPr>
          <w:ilvl w:val="0"/>
          <w:numId w:val="2"/>
        </w:numPr>
        <w:spacing w:after="60"/>
      </w:pPr>
      <w:r>
        <w:t xml:space="preserve">Minor surgical set: scalpel (No. 11 &amp; 15), artery forceps, blunt dissecting scissors, needle holder, toothed forceps.</w:t>
      </w:r>
    </w:p>
    <w:p>
      <w:pPr>
        <w:pStyle w:val="ListParagraph"/>
        <w:numPr>
          <w:ilvl w:val="0"/>
          <w:numId w:val="2"/>
        </w:numPr>
        <w:spacing w:after="60"/>
      </w:pPr>
      <w:r>
        <w:t xml:space="preserve">Sutures: 3-0 absorbable for venotomy incision, 2-0/3-0 non-absorbable for catheter securement.</w:t>
      </w:r>
    </w:p>
    <w:p>
      <w:pPr>
        <w:pStyle w:val="ListParagraph"/>
        <w:numPr>
          <w:ilvl w:val="0"/>
          <w:numId w:val="2"/>
        </w:numPr>
        <w:spacing w:after="60"/>
      </w:pPr>
      <w:r>
        <w:t xml:space="preserve">Heparin 1,000–5,000 IU/mL or citrate 4% lock solution; 0.9% saline flushes.</w:t>
      </w:r>
    </w:p>
    <w:p>
      <w:pPr>
        <w:pStyle w:val="ListParagraph"/>
        <w:numPr>
          <w:ilvl w:val="0"/>
          <w:numId w:val="2"/>
        </w:numPr>
        <w:spacing w:after="60"/>
      </w:pPr>
      <w:r>
        <w:t xml:space="preserve">Sterile dressings, gauze; radiopaque marker for measurement.</w:t>
      </w:r>
    </w:p>
    <w:p>
      <w:pPr>
        <w:pStyle w:val="ListParagraph"/>
        <w:numPr>
          <w:ilvl w:val="0"/>
          <w:numId w:val="2"/>
        </w:numPr>
        <w:spacing w:after="60"/>
      </w:pPr>
      <w:r>
        <w:t xml:space="preserve">Sedation drugs (midazolam, fentanyl) and reversal agents (flumazenil, naloxone) as per sedation policy.</w:t>
      </w:r>
    </w:p>
    <w:p>
      <w:pPr>
        <w:pStyle w:val="Heading1"/>
      </w:pPr>
      <w:r>
        <w:t xml:space="preserve">8. Procedure</w:t>
      </w:r>
    </w:p>
    <w:p>
      <w:pPr>
        <w:pStyle w:val="Heading2"/>
      </w:pPr>
      <w:r>
        <w:t xml:space="preserve">8.1 Indications</w:t>
      </w:r>
    </w:p>
    <w:p>
      <w:pPr>
        <w:pStyle w:val="ListParagraph"/>
        <w:numPr>
          <w:ilvl w:val="0"/>
          <w:numId w:val="2"/>
        </w:numPr>
        <w:spacing w:after="60"/>
      </w:pPr>
      <w:r>
        <w:t xml:space="preserve">Need for haemodialysis expected &gt; 2 weeks when AVF/AVG is not available or not yet mature (bridge access).</w:t>
      </w:r>
    </w:p>
    <w:p>
      <w:pPr>
        <w:pStyle w:val="ListParagraph"/>
        <w:numPr>
          <w:ilvl w:val="0"/>
          <w:numId w:val="2"/>
        </w:numPr>
        <w:spacing w:after="60"/>
      </w:pPr>
      <w:r>
        <w:t xml:space="preserve">Patients in whom an AVF/AVG is not feasible or appropriate according to the individual </w:t>
      </w:r>
      <w:r>
        <w:rPr>
          <w:b/>
          <w:bCs/>
        </w:rPr>
        <w:t xml:space="preserve">ESKD Life-Plan</w:t>
      </w:r>
      <w:r>
        <w:t xml:space="preserve"> (e.g., exhausted vessels, severe cardiac failure, very limited life expectancy, patient preference after counselling).</w:t>
      </w:r>
    </w:p>
    <w:p>
      <w:pPr>
        <w:pStyle w:val="ListParagraph"/>
        <w:numPr>
          <w:ilvl w:val="0"/>
          <w:numId w:val="2"/>
        </w:numPr>
        <w:spacing w:after="60"/>
      </w:pPr>
      <w:r>
        <w:t xml:space="preserve">Conversion of a non-tunnelled catheter that is still needed beyond 1–2 weeks.</w:t>
      </w:r>
    </w:p>
    <w:p>
      <w:pPr>
        <w:pBdr>
          <w:left w:val="single" w:color="E69500" w:sz="18" w:space="6"/>
        </w:pBdr>
        <w:shd w:fill="FFF4E5" w:color="auto" w:val="clear"/>
        <w:spacing w:after="120" w:before="80"/>
        <w:ind w:left="120"/>
      </w:pPr>
      <w:r>
        <w:t xml:space="preserve">KDOQI 2019 emphasises a patient-centred “ESKD Life-Plan” and the “right access, in the right patient, at the right time, for the right reasons”. A TCC should not delay planning of definitive access (AVF/AVG/PD) unless it is the intended long-term access.</w:t>
      </w:r>
    </w:p>
    <w:p>
      <w:pPr>
        <w:pStyle w:val="Heading2"/>
      </w:pPr>
      <w:r>
        <w:t xml:space="preserve">8.2 Contraindications</w:t>
      </w:r>
    </w:p>
    <w:p>
      <w:pPr>
        <w:pStyle w:val="ListParagraph"/>
        <w:numPr>
          <w:ilvl w:val="0"/>
          <w:numId w:val="2"/>
        </w:numPr>
        <w:spacing w:after="60"/>
      </w:pPr>
      <w:r>
        <w:t xml:space="preserve">Active bacteraemia / sepsis (until blood cultures are negative for 48–72 h on appropriate antibiotics – use non-tunnelled catheter meanwhile).</w:t>
      </w:r>
    </w:p>
    <w:p>
      <w:pPr>
        <w:pStyle w:val="ListParagraph"/>
        <w:numPr>
          <w:ilvl w:val="0"/>
          <w:numId w:val="2"/>
        </w:numPr>
        <w:spacing w:after="60"/>
      </w:pPr>
      <w:r>
        <w:t xml:space="preserve">Uncorrected coagulopathy (see 8.4); skin infection at the exit/tunnel site; known occlusion of target central vein (requires venography / alternate site).</w:t>
      </w:r>
    </w:p>
    <w:p>
      <w:pPr>
        <w:pStyle w:val="Heading2"/>
      </w:pPr>
      <w:r>
        <w:t xml:space="preserve">8.3 Site selection (KDOQI 2019)</w:t>
      </w:r>
    </w:p>
    <w:p>
      <w:pPr>
        <w:pStyle w:val="ListParagraph"/>
        <w:numPr>
          <w:ilvl w:val="0"/>
          <w:numId w:val="3"/>
        </w:numPr>
        <w:spacing w:after="60"/>
      </w:pPr>
      <w:r>
        <w:t xml:space="preserve">Right internal jugular vein (preferred).</w:t>
      </w:r>
    </w:p>
    <w:p>
      <w:pPr>
        <w:pStyle w:val="ListParagraph"/>
        <w:numPr>
          <w:ilvl w:val="0"/>
          <w:numId w:val="3"/>
        </w:numPr>
        <w:spacing w:after="60"/>
      </w:pPr>
      <w:r>
        <w:t xml:space="preserve">Left internal jugular vein.</w:t>
      </w:r>
    </w:p>
    <w:p>
      <w:pPr>
        <w:pStyle w:val="ListParagraph"/>
        <w:numPr>
          <w:ilvl w:val="0"/>
          <w:numId w:val="3"/>
        </w:numPr>
        <w:spacing w:after="60"/>
      </w:pPr>
      <w:r>
        <w:t xml:space="preserve">Femoral vein (right/left) – when both IJVs are unavailable or in patients with upper-body access to be preserved.</w:t>
      </w:r>
    </w:p>
    <w:p>
      <w:pPr>
        <w:pStyle w:val="ListParagraph"/>
        <w:numPr>
          <w:ilvl w:val="0"/>
          <w:numId w:val="3"/>
        </w:numPr>
        <w:spacing w:after="60"/>
      </w:pPr>
      <w:r>
        <w:t xml:space="preserve">External jugular vein, subclavian vein (avoid – stenosis risk; ipsilateral to future arm access is particularly harmful), translumbar / transhepatic IVC – by interventional radiology only.</w:t>
      </w:r>
    </w:p>
    <w:p>
      <w:pPr>
        <w:spacing w:after="100"/>
      </w:pPr>
      <w:r>
        <w:t xml:space="preserve">Avoid placing the catheter on the side of a maturing AVF/AVG wherever possible.</w:t>
      </w:r>
    </w:p>
    <w:p>
      <w:pPr>
        <w:pStyle w:val="Heading2"/>
      </w:pPr>
      <w:r>
        <w:t xml:space="preserve">8.4 Pre-procedure preparation</w:t>
      </w:r>
    </w:p>
    <w:p>
      <w:pPr>
        <w:pStyle w:val="ListParagraph"/>
        <w:numPr>
          <w:ilvl w:val="0"/>
          <w:numId w:val="4"/>
        </w:numPr>
        <w:spacing w:after="60"/>
      </w:pPr>
      <w:r>
        <w:t xml:space="preserve">Decision and indication documented by consultant; check that permanent access planning (AVF referral / PD counselling) has been made.</w:t>
      </w:r>
    </w:p>
    <w:p>
      <w:pPr>
        <w:pStyle w:val="ListParagraph"/>
        <w:numPr>
          <w:ilvl w:val="0"/>
          <w:numId w:val="4"/>
        </w:numPr>
        <w:spacing w:after="60"/>
      </w:pPr>
      <w:r>
        <w:t xml:space="preserve">Investigations: CBC, PT/INR, aPTT, serum K⁺, blood group &amp; screen, HBsAg/anti-HCV/HIV status, blood cultures if febrile. Chest X-ray / prior imaging. Doppler or venogram if previous multiple catheters, arm swelling or collateral veins.</w:t>
      </w:r>
    </w:p>
    <w:p>
      <w:pPr>
        <w:pStyle w:val="ListParagraph"/>
        <w:numPr>
          <w:ilvl w:val="0"/>
          <w:numId w:val="4"/>
        </w:numPr>
        <w:spacing w:after="60"/>
      </w:pPr>
      <w:r>
        <w:t xml:space="preserve">Bleeding risk (SIR 2019 – TCC is </w:t>
      </w:r>
      <w:r>
        <w:rPr>
          <w:b/>
          <w:bCs/>
        </w:rPr>
        <w:t xml:space="preserve">low bleeding-risk</w:t>
      </w:r>
      <w:r>
        <w:t xml:space="preserve">): INR ≤ 2.0–3.0 and platelets ≥ 20 × 10⁹/L. Hold heparin infusion 4–6 h, LMWH (therapeutic) 12–24 h. Aspirin may be continued; continue clopidogrel unless operator decides otherwise. Warfarin: target INR as above. DOACs: generally hold 1–2 doses for low-risk procedures (longer for dabigatran in renal failure – consult haematology/pharmacy).</w:t>
      </w:r>
    </w:p>
    <w:p>
      <w:pPr>
        <w:pStyle w:val="ListParagraph"/>
        <w:numPr>
          <w:ilvl w:val="0"/>
          <w:numId w:val="4"/>
        </w:numPr>
        <w:spacing w:after="60"/>
      </w:pPr>
      <w:r>
        <w:t xml:space="preserve">Serum potassium must be &lt; 6.0 mmol/L; if hyperkalaemic or fluid overloaded, dialyse first through a temporary access or treat medically.</w:t>
      </w:r>
    </w:p>
    <w:p>
      <w:pPr>
        <w:pStyle w:val="ListParagraph"/>
        <w:numPr>
          <w:ilvl w:val="0"/>
          <w:numId w:val="4"/>
        </w:numPr>
        <w:spacing w:after="60"/>
      </w:pPr>
      <w:r>
        <w:t xml:space="preserve">Fasting: 4–6 h for solids if sedation is planned (2 h for clear fluids).</w:t>
      </w:r>
    </w:p>
    <w:p>
      <w:pPr>
        <w:pStyle w:val="ListParagraph"/>
        <w:numPr>
          <w:ilvl w:val="0"/>
          <w:numId w:val="4"/>
        </w:numPr>
        <w:spacing w:after="60"/>
      </w:pPr>
      <w:r>
        <w:t xml:space="preserve">Antibiotic prophylaxis: not routinely recommended (SIR); give single-dose prophylaxis (e.g., Cefazolin 1–2 g IV within 60 min) only if mandated by institutional policy or for guidewire exchange in a previously colonised catheter.</w:t>
      </w:r>
    </w:p>
    <w:p>
      <w:pPr>
        <w:pStyle w:val="ListParagraph"/>
        <w:numPr>
          <w:ilvl w:val="0"/>
          <w:numId w:val="4"/>
        </w:numPr>
        <w:spacing w:after="60"/>
      </w:pPr>
      <w:r>
        <w:t xml:space="preserve">Informed written consent including risks: bleeding, haematoma, pneumothorax, air embolism, arrhythmia, arterial injury, malposition, infection (exit, tunnel, bloodstream), catheter dysfunction/thrombosis, central venous stenosis, need for future exchange.</w:t>
      </w:r>
    </w:p>
    <w:p>
      <w:pPr>
        <w:pStyle w:val="ListParagraph"/>
        <w:numPr>
          <w:ilvl w:val="0"/>
          <w:numId w:val="4"/>
        </w:numPr>
        <w:spacing w:after="60"/>
      </w:pPr>
      <w:r>
        <w:t xml:space="preserve">Patient in hospital gown; IV cannula in a hand vein (avoid future access arm veins); monitoring; Time-out &amp; WHO Surgical Safety Checklist.</w:t>
      </w:r>
    </w:p>
    <w:p>
      <w:pPr>
        <w:pStyle w:val="Heading2"/>
      </w:pPr>
      <w:r>
        <w:t xml:space="preserve">8.5 Insertion technique (right IJV – standard)</w:t>
      </w:r>
    </w:p>
    <w:p>
      <w:pPr>
        <w:pStyle w:val="ListParagraph"/>
        <w:numPr>
          <w:ilvl w:val="0"/>
          <w:numId w:val="5"/>
        </w:numPr>
        <w:spacing w:after="60"/>
      </w:pPr>
      <w:r>
        <w:t xml:space="preserve">Supine position with slight head-down tilt; head turned slightly left. Perform ultrasound survey of the IJV (patency, diameter, compressibility, relation to carotid).</w:t>
      </w:r>
    </w:p>
    <w:p>
      <w:pPr>
        <w:pStyle w:val="ListParagraph"/>
        <w:numPr>
          <w:ilvl w:val="0"/>
          <w:numId w:val="5"/>
        </w:numPr>
        <w:spacing w:after="60"/>
      </w:pPr>
      <w:r>
        <w:t xml:space="preserve">Surgical scrub, sterile gown/gloves; skin prep with 2% chlorhexidine–alcohol over neck and upper anterior chest; allow to dry; full drape.</w:t>
      </w:r>
    </w:p>
    <w:p>
      <w:pPr>
        <w:pStyle w:val="ListParagraph"/>
        <w:numPr>
          <w:ilvl w:val="0"/>
          <w:numId w:val="5"/>
        </w:numPr>
        <w:spacing w:after="60"/>
      </w:pPr>
      <w:r>
        <w:t xml:space="preserve">Measure catheter length: under fluoroscopy, place a marker at the planned venotomy site and at the target tip position. </w:t>
      </w:r>
      <w:r>
        <w:rPr>
          <w:b/>
          <w:bCs/>
        </w:rPr>
        <w:t xml:space="preserve">Target tip position: mid-to-deep right atrium</w:t>
      </w:r>
      <w:r>
        <w:t xml:space="preserve"> (approximately 2 vertebral bodies below the carina in the upright patient). The cuff should lie </w:t>
      </w:r>
      <w:r>
        <w:rPr>
          <w:b/>
          <w:bCs/>
        </w:rPr>
        <w:t xml:space="preserve">1–2 cm (≥ 2 cm) inside the tunnel from the exit site</w:t>
      </w:r>
      <w:r>
        <w:t xml:space="preserve">.</w:t>
      </w:r>
    </w:p>
    <w:p>
      <w:pPr>
        <w:pStyle w:val="ListParagraph"/>
        <w:numPr>
          <w:ilvl w:val="0"/>
          <w:numId w:val="5"/>
        </w:numPr>
        <w:spacing w:after="60"/>
      </w:pPr>
      <w:r>
        <w:t xml:space="preserve">Infiltrate local anaesthetic at the venotomy site (low neck, just above clavicle, lateral to the sternal head) and along the planned tunnel track to the exit site on the anterior chest wall (approximately 2–3 cm below the clavicle, lateral to midclavicular line; exit site should lie below the clavicle in a position the patient can see and is not under a bra strap).</w:t>
      </w:r>
    </w:p>
    <w:p>
      <w:pPr>
        <w:pStyle w:val="ListParagraph"/>
        <w:numPr>
          <w:ilvl w:val="0"/>
          <w:numId w:val="5"/>
        </w:numPr>
        <w:spacing w:after="60"/>
      </w:pPr>
      <w:r>
        <w:t xml:space="preserve">Under real-time ultrasound, puncture the IJV low in the neck with a micropuncture needle; advance 0.018" wire under fluoroscopy into the IVC (confirms venous position); upsize with transition dilator to 0.035" wire.</w:t>
      </w:r>
    </w:p>
    <w:p>
      <w:pPr>
        <w:pStyle w:val="ListParagraph"/>
        <w:numPr>
          <w:ilvl w:val="0"/>
          <w:numId w:val="5"/>
        </w:numPr>
        <w:spacing w:after="60"/>
      </w:pPr>
      <w:r>
        <w:t xml:space="preserve">Make a 1 cm skin incision at the venotomy site and a 1 cm incision at the exit site.</w:t>
      </w:r>
    </w:p>
    <w:p>
      <w:pPr>
        <w:pStyle w:val="ListParagraph"/>
        <w:numPr>
          <w:ilvl w:val="0"/>
          <w:numId w:val="5"/>
        </w:numPr>
        <w:spacing w:after="60"/>
      </w:pPr>
      <w:r>
        <w:t xml:space="preserve">Tunnel: attach catheter to the tunneller, pass it subcutaneously from the exit site to the venotomy incision with a gentle curve (avoid kinking), and pull the catheter through until the cuff is positioned 1–2 cm from the exit site.</w:t>
      </w:r>
    </w:p>
    <w:p>
      <w:pPr>
        <w:pStyle w:val="ListParagraph"/>
        <w:numPr>
          <w:ilvl w:val="0"/>
          <w:numId w:val="5"/>
        </w:numPr>
        <w:spacing w:after="60"/>
      </w:pPr>
      <w:r>
        <w:t xml:space="preserve">Dilate the venous tract serially over the wire under fluoroscopy, then insert the peel-away sheath with dilator. Keep the wire within the IVC to avoid perforation.</w:t>
      </w:r>
    </w:p>
    <w:p>
      <w:pPr>
        <w:pStyle w:val="ListParagraph"/>
        <w:numPr>
          <w:ilvl w:val="0"/>
          <w:numId w:val="5"/>
        </w:numPr>
        <w:spacing w:after="60"/>
      </w:pPr>
      <w:r>
        <w:rPr>
          <w:b/>
          <w:bCs/>
        </w:rPr>
        <w:t xml:space="preserve">Air embolism precautions:</w:t>
      </w:r>
      <w:r>
        <w:t xml:space="preserve"> remove dilator and wire while the patient holds breath / performs Valsalva (or anaesthetist provides positive pressure in ventilated patients), and pinch the sheath or use a valved sheath. Advance the catheter through the sheath and peel the sheath away while advancing the catheter.</w:t>
      </w:r>
    </w:p>
    <w:p>
      <w:pPr>
        <w:pStyle w:val="ListParagraph"/>
        <w:numPr>
          <w:ilvl w:val="0"/>
          <w:numId w:val="5"/>
        </w:numPr>
        <w:spacing w:after="60"/>
      </w:pPr>
      <w:r>
        <w:t xml:space="preserve">Confirm tip position fluoroscopically (mid right atrium; no kinks in the loop over the clavicle). Aspirate and flush both lumens; confirm free flow (≥ 300 mL/min equivalent: 30 mL aspirated in 6 s) and smooth flushing.</w:t>
      </w:r>
    </w:p>
    <w:p>
      <w:pPr>
        <w:pStyle w:val="ListParagraph"/>
        <w:numPr>
          <w:ilvl w:val="0"/>
          <w:numId w:val="5"/>
        </w:numPr>
        <w:spacing w:after="60"/>
      </w:pPr>
      <w:r>
        <w:t xml:space="preserve">Close venotomy incision with absorbable subcuticular suture. Secure the catheter at the exit site with non-absorbable suture (to be removed after 2–3 weeks when the cuff has fibrosed).</w:t>
      </w:r>
    </w:p>
    <w:p>
      <w:pPr>
        <w:pStyle w:val="ListParagraph"/>
        <w:numPr>
          <w:ilvl w:val="0"/>
          <w:numId w:val="5"/>
        </w:numPr>
        <w:spacing w:after="60"/>
      </w:pPr>
      <w:r>
        <w:t xml:space="preserve">Instil lock solution exactly equal to labelled lumen volume, clamp and cap.</w:t>
      </w:r>
    </w:p>
    <w:p>
      <w:pPr>
        <w:pStyle w:val="ListParagraph"/>
        <w:numPr>
          <w:ilvl w:val="0"/>
          <w:numId w:val="5"/>
        </w:numPr>
        <w:spacing w:after="60"/>
      </w:pPr>
      <w:r>
        <w:t xml:space="preserve">Apply sterile dressing to incision and exit site. Save fluoroscopic image; record fluoroscopy time and dose.</w:t>
      </w:r>
    </w:p>
    <w:p>
      <w:pPr>
        <w:pStyle w:val="Heading2"/>
      </w:pPr>
      <w:r>
        <w:t xml:space="preserve">8.6 Specific situations</w:t>
      </w:r>
    </w:p>
    <w:p>
      <w:pPr>
        <w:pStyle w:val="ListParagraph"/>
        <w:numPr>
          <w:ilvl w:val="0"/>
          <w:numId w:val="2"/>
        </w:numPr>
        <w:spacing w:after="60"/>
      </w:pPr>
      <w:r>
        <w:rPr>
          <w:b/>
          <w:bCs/>
        </w:rPr>
        <w:t xml:space="preserve">Left IJV:</w:t>
      </w:r>
      <w:r>
        <w:t xml:space="preserve"> longer catheter (23–28 cm cuff-to-tip); traverses left brachiocephalic vein – ensure tip in right atrium and avoid tip abutting the SVC wall.</w:t>
      </w:r>
    </w:p>
    <w:p>
      <w:pPr>
        <w:pStyle w:val="ListParagraph"/>
        <w:numPr>
          <w:ilvl w:val="0"/>
          <w:numId w:val="2"/>
        </w:numPr>
        <w:spacing w:after="60"/>
      </w:pPr>
      <w:r>
        <w:rPr>
          <w:b/>
          <w:bCs/>
        </w:rPr>
        <w:t xml:space="preserve">Femoral TCC:</w:t>
      </w:r>
      <w:r>
        <w:t xml:space="preserve"> exit site on mid-thigh, tip in IVC at or above L2–L3 / near renal veins (longer catheters reduce recirculation).</w:t>
      </w:r>
    </w:p>
    <w:p>
      <w:pPr>
        <w:pStyle w:val="ListParagraph"/>
        <w:numPr>
          <w:ilvl w:val="0"/>
          <w:numId w:val="2"/>
        </w:numPr>
        <w:spacing w:after="60"/>
      </w:pPr>
      <w:r>
        <w:rPr>
          <w:b/>
          <w:bCs/>
        </w:rPr>
        <w:t xml:space="preserve">Guidewire exchange (dysfunction / non-tunnel infection):</w:t>
      </w:r>
      <w:r>
        <w:t xml:space="preserve"> free the cuff by blunt dissection, pass wire through one lumen into IVC, withdraw the old catheter, insert new catheter (consider sheathless technique), consider fibrin-sheath disruption with balloon angioplasty if fibrin sheath demonstrated.</w:t>
      </w:r>
    </w:p>
    <w:p>
      <w:pPr>
        <w:pStyle w:val="Heading2"/>
      </w:pPr>
      <w:r>
        <w:t xml:space="preserve">8.7 Post-procedure care</w:t>
      </w:r>
    </w:p>
    <w:p>
      <w:pPr>
        <w:pStyle w:val="ListParagraph"/>
        <w:numPr>
          <w:ilvl w:val="0"/>
          <w:numId w:val="6"/>
        </w:numPr>
        <w:spacing w:after="60"/>
      </w:pPr>
      <w:r>
        <w:t xml:space="preserve">Monitor vitals every 15 min for 1 h then every 30 min for 2 h; observe for bleeding, haematoma, dyspnoea, chest pain or arrhythmia.</w:t>
      </w:r>
    </w:p>
    <w:p>
      <w:pPr>
        <w:pStyle w:val="ListParagraph"/>
        <w:numPr>
          <w:ilvl w:val="0"/>
          <w:numId w:val="6"/>
        </w:numPr>
        <w:spacing w:after="60"/>
      </w:pPr>
      <w:r>
        <w:t xml:space="preserve">Chest X-ray is not mandatory when fluoroscopy is used, unless difficult puncture or symptoms suggest pneumothorax.</w:t>
      </w:r>
    </w:p>
    <w:p>
      <w:pPr>
        <w:pStyle w:val="ListParagraph"/>
        <w:numPr>
          <w:ilvl w:val="0"/>
          <w:numId w:val="6"/>
        </w:numPr>
        <w:spacing w:after="60"/>
      </w:pPr>
      <w:r>
        <w:t xml:space="preserve">Catheter may be used immediately for dialysis. Use reduced or no systemic heparin for the first session if oozing.</w:t>
      </w:r>
    </w:p>
    <w:p>
      <w:pPr>
        <w:pStyle w:val="ListParagraph"/>
        <w:numPr>
          <w:ilvl w:val="0"/>
          <w:numId w:val="6"/>
        </w:numPr>
        <w:spacing w:after="60"/>
      </w:pPr>
      <w:r>
        <w:t xml:space="preserve">Exit site care: dressing changed at each dialysis session (or weekly for transparent dressing) by dialysis staff under aseptic technique; apply topical antibiotic ointment/povidone-iodine at exit site per unit protocol (avoid ointments that damage polyurethane – check manufacturer instructions).</w:t>
      </w:r>
    </w:p>
    <w:p>
      <w:pPr>
        <w:pStyle w:val="ListParagraph"/>
        <w:numPr>
          <w:ilvl w:val="0"/>
          <w:numId w:val="6"/>
        </w:numPr>
        <w:spacing w:after="60"/>
      </w:pPr>
      <w:r>
        <w:t xml:space="preserve">Patient education: keep dressing dry and intact, no showering/swimming that wets the site, never open clamps or caps, report fever, chills, redness, discharge or swelling immediately.</w:t>
      </w:r>
    </w:p>
    <w:p>
      <w:pPr>
        <w:pStyle w:val="ListParagraph"/>
        <w:numPr>
          <w:ilvl w:val="0"/>
          <w:numId w:val="6"/>
        </w:numPr>
        <w:spacing w:after="60"/>
      </w:pPr>
      <w:r>
        <w:t xml:space="preserve">Remove securement suture at 2–3 weeks.</w:t>
      </w:r>
    </w:p>
    <w:p>
      <w:pPr>
        <w:pStyle w:val="ListParagraph"/>
        <w:numPr>
          <w:ilvl w:val="0"/>
          <w:numId w:val="6"/>
        </w:numPr>
        <w:spacing w:after="60"/>
      </w:pPr>
      <w:r>
        <w:t xml:space="preserve">Record catheter details on the Vascular Access Register; schedule follow-up of definitive access plan.</w:t>
      </w:r>
    </w:p>
    <w:p>
      <w:pPr>
        <w:pStyle w:val="Heading2"/>
      </w:pPr>
      <w:r>
        <w:t xml:space="preserve">8.8 Complications and their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7"/>
        <w:gridCol w:w="6659"/>
      </w:tblGrid>
      <w:tr>
        <w:trPr>
          <w:tblHeader/>
        </w:trPr>
        <w:tc>
          <w:tcPr>
            <w:tcW w:type="dxa" w:w="236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Complication</w:t>
            </w:r>
          </w:p>
        </w:tc>
        <w:tc>
          <w:tcPr>
            <w:tcW w:type="dxa" w:w="665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Management</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Bleeding from tunnel / venotomy</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Direct pressure; correct coagulopathy; additional suture; desmopressin in uraemic bleeding.</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Air embolism</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Clamp/occlude, 100% O₂, left lateral head-down position, aspirate via catheter if in RA, ACLS.</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Pneumothorax / haemothorax</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Chest X-ray; ICD if needed; inform consultant / CTVS.</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Malposition / kink</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Reposition under fluoroscopy or exchange catheter.</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Early dysfunction (&lt; 2 weeks)</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Usually mechanical – check tip position, kink; reposition / exchange.</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Late dysfunction (thrombus / fibrin sheath)</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Alteplase lock (1–2 mg per lumen, dwell 30–60 min or as per protocol); exchange with fibrin-sheath disruption if refractory.</w:t>
            </w:r>
          </w:p>
        </w:tc>
      </w:tr>
      <w:tr>
        <w:trPr>
          <w:cantSplit/>
        </w:trPr>
        <w:tc>
          <w:tcPr>
            <w:tcW w:type="dxa" w:w="236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Exit-site / tunnel infection / CRBSI</w:t>
            </w:r>
          </w:p>
        </w:tc>
        <w:tc>
          <w:tcPr>
            <w:tcW w:type="dxa" w:w="665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As per SOP/AKD/11 (catheter care &amp; CRBSI). Tunnel infection requires catheter removal.</w:t>
            </w:r>
          </w:p>
        </w:tc>
      </w:tr>
    </w:tbl>
    <w:p>
      <w:pPr>
        <w:spacing w:after="80"/>
      </w:pPr>
    </w:p>
    <w:p>
      <w:pPr>
        <w:pStyle w:val="Heading2"/>
      </w:pPr>
      <w:r>
        <w:t xml:space="preserve">8.9 Removal of tunnelled catheter</w:t>
      </w:r>
    </w:p>
    <w:p>
      <w:pPr>
        <w:spacing w:after="100"/>
      </w:pPr>
      <w:r>
        <w:t xml:space="preserve">Under local anaesthesia and aseptic technique: dissect around the cuff through a small incision at the cuff site, free the cuff, then withdraw the catheter with the patient supine/head-down and performing Valsalva. Apply pressure for 10 min, close the incision and apply occlusive dressing.</w:t>
      </w:r>
    </w:p>
    <w:p>
      <w:pPr>
        <w:pStyle w:val="Heading1"/>
      </w:pPr>
      <w:r>
        <w:t xml:space="preserve">9. Forms &amp; Documents</w:t>
      </w:r>
    </w:p>
    <w:p>
      <w:pPr>
        <w:pStyle w:val="ListParagraph"/>
        <w:numPr>
          <w:ilvl w:val="0"/>
          <w:numId w:val="2"/>
        </w:numPr>
        <w:spacing w:after="60"/>
      </w:pPr>
      <w:r>
        <w:t xml:space="preserve">Informed consent form – Tunnelled dialysis catheter insertion (FORM/AKD/04).</w:t>
      </w:r>
    </w:p>
    <w:p>
      <w:pPr>
        <w:pStyle w:val="ListParagraph"/>
        <w:numPr>
          <w:ilvl w:val="0"/>
          <w:numId w:val="2"/>
        </w:numPr>
        <w:spacing w:after="60"/>
      </w:pPr>
      <w:r>
        <w:t xml:space="preserve">WHO Surgical Safety Checklist / Time-out record; Sedation monitoring record.</w:t>
      </w:r>
    </w:p>
    <w:p>
      <w:pPr>
        <w:pStyle w:val="ListParagraph"/>
        <w:numPr>
          <w:ilvl w:val="0"/>
          <w:numId w:val="2"/>
        </w:numPr>
        <w:spacing w:after="60"/>
      </w:pPr>
      <w:r>
        <w:t xml:space="preserve">Procedure note: indication, site, catheter brand &amp; length, tip position (image saved), fluoroscopy time/dose, complications.</w:t>
      </w:r>
    </w:p>
    <w:p>
      <w:pPr>
        <w:pStyle w:val="ListParagraph"/>
        <w:numPr>
          <w:ilvl w:val="0"/>
          <w:numId w:val="2"/>
        </w:numPr>
        <w:spacing w:after="60"/>
      </w:pPr>
      <w:r>
        <w:t xml:space="preserve">Vascular Access Register / ESKD Life-Plan record.</w:t>
      </w:r>
    </w:p>
    <w:p>
      <w:pPr>
        <w:pStyle w:val="ListParagraph"/>
        <w:numPr>
          <w:ilvl w:val="0"/>
          <w:numId w:val="2"/>
        </w:numPr>
        <w:spacing w:after="60"/>
      </w:pPr>
      <w:r>
        <w:t xml:space="preserve">Haemodialysis Catheter Care &amp; Daily Assessment Chart (FORM/AKD/03).</w:t>
      </w:r>
    </w:p>
    <w:p>
      <w:pPr>
        <w:pStyle w:val="ListParagraph"/>
        <w:numPr>
          <w:ilvl w:val="0"/>
          <w:numId w:val="2"/>
        </w:numPr>
        <w:spacing w:after="60"/>
      </w:pPr>
      <w:r>
        <w:t xml:space="preserve">Patient education leaflet – Care of your dialysis catheter.</w:t>
      </w:r>
    </w:p>
    <w:p>
      <w:pPr>
        <w:pStyle w:val="Heading1"/>
      </w:pPr>
      <w:r>
        <w:t xml:space="preserve">10. References</w:t>
      </w:r>
    </w:p>
    <w:p>
      <w:pPr>
        <w:pStyle w:val="ListParagraph"/>
        <w:numPr>
          <w:ilvl w:val="0"/>
          <w:numId w:val="7"/>
        </w:numPr>
        <w:spacing w:after="60"/>
      </w:pPr>
      <w:r>
        <w:t xml:space="preserve">Lok CE, Huber TS, Lee T, et al. KDOQI Clinical Practice Guideline for Vascular Access: 2019 Update. Am J Kidney Dis. 2020;75(4 Suppl 2):S1–S164.</w:t>
      </w:r>
    </w:p>
    <w:p>
      <w:pPr>
        <w:pStyle w:val="ListParagraph"/>
        <w:numPr>
          <w:ilvl w:val="0"/>
          <w:numId w:val="7"/>
        </w:numPr>
        <w:spacing w:after="60"/>
      </w:pPr>
      <w:r>
        <w:t xml:space="preserve">Schmidli J, Widmer MK, Basile C, et al. Editor’s Choice – Vascular Access: 2018 Clinical Practice Guidelines of the European Society for Vascular Surgery (ESVS). Eur J Vasc Endovasc Surg. 2018;55:757–818.</w:t>
      </w:r>
    </w:p>
    <w:p>
      <w:pPr>
        <w:pStyle w:val="ListParagraph"/>
        <w:numPr>
          <w:ilvl w:val="0"/>
          <w:numId w:val="7"/>
        </w:numPr>
        <w:spacing w:after="60"/>
      </w:pPr>
      <w:r>
        <w:t xml:space="preserve">Patel IJ, Rahim S, Davidson JC, et al. SIR Consensus Guidelines for the Periprocedural Management of Thrombotic and Bleeding Risk in Patients Undergoing Percutaneous Image-Guided Interventions – Part II. J Vasc Interv Radiol. 2019;30:1168–1184.</w:t>
      </w:r>
    </w:p>
    <w:p>
      <w:pPr>
        <w:pStyle w:val="ListParagraph"/>
        <w:numPr>
          <w:ilvl w:val="0"/>
          <w:numId w:val="7"/>
        </w:numPr>
        <w:spacing w:after="60"/>
      </w:pPr>
      <w:r>
        <w:t xml:space="preserve">Chehab MA, Thakor AS, Tulin-Silver S, et al. Adult and Pediatric Antibiotic Prophylaxis during Vascular and IR Procedures: A Society of Interventional Radiology Practice Parameter Update. J Vasc Interv Radiol. 2018;29:1483–1501.</w:t>
      </w:r>
    </w:p>
    <w:p>
      <w:pPr>
        <w:pStyle w:val="ListParagraph"/>
        <w:numPr>
          <w:ilvl w:val="0"/>
          <w:numId w:val="7"/>
        </w:numPr>
        <w:spacing w:after="60"/>
      </w:pPr>
      <w:r>
        <w:t xml:space="preserve">O’Grady NP, et al. CDC/HICPAC Guidelines for the Prevention of Intravascular Catheter-Related Infections, 2011 (updated 2017).</w:t>
      </w:r>
    </w:p>
    <w:p>
      <w:pPr>
        <w:pStyle w:val="ListParagraph"/>
        <w:numPr>
          <w:ilvl w:val="0"/>
          <w:numId w:val="7"/>
        </w:numPr>
        <w:spacing w:after="60"/>
      </w:pPr>
      <w:r>
        <w:t xml:space="preserve">Ministry of Health &amp; Family Welfare, Government of India. Guidelines for Haemodialysis under Pradhan Mantri National Dialysis Programme, 2016.</w:t>
      </w:r>
    </w:p>
    <w:p>
      <w:pPr>
        <w:pStyle w:val="ListParagraph"/>
        <w:numPr>
          <w:ilvl w:val="0"/>
          <w:numId w:val="7"/>
        </w:numPr>
        <w:spacing w:after="60"/>
      </w:pPr>
      <w:r>
        <w:t xml:space="preserve">Atomic Energy Regulatory Board (AERB), India. Safety Code for Medical Diagnostic X-ray Equipment and Installations (AERB/RF-MED/SC-3).</w:t>
      </w:r>
    </w:p>
    <w:p>
      <w:pPr>
        <w:pStyle w:val="Heading1"/>
      </w:pPr>
      <w:r>
        <w:t xml:space="preserve">11.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Abbreviation</w:t>
            </w:r>
          </w:p>
        </w:tc>
        <w:tc>
          <w:tcPr>
            <w:tcW w:type="dxa" w:w="676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Meaning</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AVF / AVG</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Arteriovenous fistula / graft</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ESKD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End-Stage Kidney Disease</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IVC</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Inferior Vena Cava</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RA</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Right Atrium</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TCC</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Tunnelled Cuffed Catheter</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SIR</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Society of Interventional Radiology</w:t>
            </w:r>
          </w:p>
        </w:tc>
      </w:tr>
    </w:tbl>
    <w:p>
      <w:pPr>
        <w:spacing w:after="80"/>
      </w:pPr>
    </w:p>
    <w:p>
      <w:pPr>
        <w:pStyle w:val="Heading1"/>
      </w:pPr>
      <w:r>
        <w:t xml:space="preserve">Document Approval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Prepared by</w:t>
            </w:r>
          </w:p>
        </w:tc>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Reviewed by</w:t>
            </w:r>
          </w:p>
        </w:tc>
        <w:tc>
          <w:tcPr>
            <w:tcW w:type="dxa" w:w="300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1541"/>
        <w:gridCol w:w="4403"/>
        <w:gridCol w:w="1981"/>
      </w:tblGrid>
      <w:tr>
        <w:trPr>
          <w:tblHeader/>
        </w:trPr>
        <w:tc>
          <w:tcPr>
            <w:tcW w:type="dxa" w:w="110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Version</w:t>
            </w:r>
          </w:p>
        </w:tc>
        <w:tc>
          <w:tcPr>
            <w:tcW w:type="dxa" w:w="154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Date</w:t>
            </w:r>
          </w:p>
        </w:tc>
        <w:tc>
          <w:tcPr>
            <w:tcW w:type="dxa" w:w="440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Description of change</w:t>
            </w:r>
          </w:p>
        </w:tc>
        <w:tc>
          <w:tcPr>
            <w:tcW w:type="dxa" w:w="198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issue</w:t>
            </w: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bl>
    <w:p>
      <w:pPr>
        <w:spacing w:after="80"/>
      </w:pPr>
    </w:p>
    <w:p>
      <w:pPr>
        <w:spacing w:before="120"/>
      </w:pPr>
      <w:r>
        <w:rPr>
          <w:i/>
          <w:iCs/>
          <w:color w:val="595959"/>
          <w:sz w:val="18"/>
          <w:szCs w:val="18"/>
        </w:rPr>
        <w:t xml:space="preserve">This SOP is based on current published guidelines. It does not replace clinical judgement; deviations must be justified and documented in the patient record. Drug doses must be verified against the current hospital formulary and adjusted for renal function.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Controlled document – do not photocopy without authorisation. Version 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2"/>
      </w:pBdr>
      <w:tabs>
        <w:tab w:val="right" w:pos="9026"/>
      </w:tabs>
    </w:pPr>
    <w:r>
      <w:rPr>
        <w:color w:val="595959"/>
        <w:sz w:val="17"/>
        <w:szCs w:val="17"/>
      </w:rPr>
      <w:t xml:space="preserve">[Hospital Name] | Department of Nephrology – AKD / Dialysis Unit</w:t>
    </w:r>
    <w:r>
      <w:rPr>
        <w:b/>
        <w:bCs/>
        <w:color w:val="595959"/>
        <w:sz w:val="17"/>
        <w:szCs w:val="17"/>
      </w:rPr>
      <w:t xml:space="preserve">	SOP/AKD/02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2"/>
      </w:pBdr>
      <w:spacing w:after="120" w:before="28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(Tunnelled Cuffed) Haemodialysis Catheter Insertion</dc:title>
  <dc:creator>Department of Nephrology</dc:creator>
  <cp:lastModifiedBy>Un-named</cp:lastModifiedBy>
  <cp:revision>1</cp:revision>
  <dcterms:created xsi:type="dcterms:W3CDTF">2026-10-13T04:51:53.223Z</dcterms:created>
  <dcterms:modified xsi:type="dcterms:W3CDTF">2026-10-13T04:51:53.223Z</dcterms:modified>
</cp:coreProperties>
</file>

<file path=docProps/custom.xml><?xml version="1.0" encoding="utf-8"?>
<Properties xmlns="http://schemas.openxmlformats.org/officeDocument/2006/custom-properties" xmlns:vt="http://schemas.openxmlformats.org/officeDocument/2006/docPropsVTypes"/>
</file>