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2"/>
          <w:szCs w:val="22"/>
        </w:rPr>
        <w:t xml:space="preserve">STANDARD OPERATING PROCEDURE</w:t>
      </w:r>
    </w:p>
    <w:p>
      <w:pPr>
        <w:spacing w:after="200"/>
        <w:jc w:val="center"/>
      </w:pPr>
      <w:r>
        <w:rPr>
          <w:b/>
          <w:bCs/>
          <w:color w:val="1F4E79"/>
          <w:sz w:val="34"/>
          <w:szCs w:val="34"/>
        </w:rPr>
        <w:t xml:space="preserve">Haemodialysis Initiation &amp; Intradialytic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SOP No.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SOP/AKD/03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Nephrology – AKD / Dialysis Unit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__</w:t>
            </w:r>
            <w:r>
              <w:rPr>
                <w:i/>
                <w:iCs/>
                <w:sz w:val="20"/>
                <w:szCs w:val="20"/>
              </w:rPr>
              <w:t xml:space="preserve"> / </w:t>
            </w:r>
            <w:r>
              <w:rPr>
                <w:i/>
                <w:iCs/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 years from effective date or earlier if guidelines change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3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 / Sign / Date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Name</w:t>
      </w:r>
    </w:p>
    <w:p>
      <w:pPr>
        <w:spacing w:after="100"/>
      </w:pPr>
      <w:r>
        <w:rPr>
          <w:b/>
          <w:bCs/>
        </w:rPr>
        <w:t xml:space="preserve">Haemodialysis Initiation &amp; Intradialytic Monitoring</w:t>
      </w:r>
    </w:p>
    <w:p>
      <w:pPr>
        <w:pStyle w:val="Heading1"/>
      </w:pPr>
      <w:r>
        <w:t xml:space="preserve">2. Purpose</w:t>
      </w:r>
    </w:p>
    <w:p>
      <w:pPr>
        <w:spacing w:after="100"/>
      </w:pPr>
      <w:r>
        <w:t xml:space="preserve">To ensure that haemodialysis (HD) is started at the right time, for the right indication, with a safe individualised prescription, and that every session is monitored, documented and evaluated for adequacy in a uniform way – preventing complications such as dialysis disequilibrium, intradialytic hypotension, arrhythmia, bleeding and infection.</w:t>
      </w:r>
    </w:p>
    <w:p>
      <w:pPr>
        <w:pStyle w:val="Heading1"/>
      </w:pPr>
      <w:r>
        <w:t xml:space="preserve">3. Scope</w:t>
      </w:r>
    </w:p>
    <w:p>
      <w:pPr>
        <w:spacing w:after="100"/>
      </w:pPr>
      <w:r>
        <w:t xml:space="preserve">All adult patients undergoing intermittent haemodialysis (IHD) in the AKD / Dialysis Unit, including patients with AKI, AKD, acute-on-chronic kidney disease and incident / prevalent CKD G5D, and bedside HD in ICU.</w:t>
      </w:r>
    </w:p>
    <w:p>
      <w:pPr>
        <w:spacing w:after="100"/>
      </w:pPr>
      <w:r>
        <w:t xml:space="preserve">Covers decision to initiate, pre-dialysis assessment, prescription, machine preparation, connection, intradialytic monitoring, management of complications, disconnection, adequacy measurement and documentation.</w:t>
      </w:r>
    </w:p>
    <w:p>
      <w:pPr>
        <w:spacing w:after="100"/>
      </w:pPr>
      <w:r>
        <w:t xml:space="preserve">SLED is covered separately in SOP/AKD/08 and CRRT in SOP/AKD/10.</w:t>
      </w:r>
    </w:p>
    <w:p>
      <w:pPr>
        <w:pStyle w:val="Heading1"/>
      </w:pPr>
      <w:r>
        <w:t xml:space="preserve">4.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Nephrologist (consultant / resident):</w:t>
      </w:r>
      <w:r>
        <w:t xml:space="preserve"> decision to initiate, written dialysis prescription for each session, review of complications and adequacy.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Dialysis nurse / technician (trained &amp; certified):</w:t>
      </w:r>
      <w:r>
        <w:t xml:space="preserve"> machine preparation, disinfection log, priming, connection/disconnection, intradialytic monitoring and documentation; escalation of abnormal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Dialysis technician (water/biomedical):</w:t>
      </w:r>
      <w:r>
        <w:t xml:space="preserve"> water treatment plant operation, water quality testing and machine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 dietitian &amp; counsellor:</w:t>
      </w:r>
      <w:r>
        <w:t xml:space="preserve"> dietary prescription and patient education for patients continuing chronic HD.</w:t>
      </w:r>
    </w:p>
    <w:p>
      <w:pPr>
        <w:pStyle w:val="Heading1"/>
      </w:pPr>
      <w:r>
        <w:t xml:space="preserve">5. Authority</w:t>
      </w:r>
    </w:p>
    <w:p>
      <w:pPr>
        <w:spacing w:after="100"/>
      </w:pPr>
      <w:r>
        <w:t xml:space="preserve">Consultant Nephrologist in-charge of the Dialysis Unit; Nursing Supervisor (Dialysis) for nursing procedures; Unit Quality / Infection Control nurse audits compliance (monthly quality indicators).</w:t>
      </w:r>
    </w:p>
    <w:p>
      <w:pPr>
        <w:pStyle w:val="Heading1"/>
      </w:pPr>
      <w:r>
        <w:t xml:space="preserve">6. Specific Environmental Requirement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Dialysis station with ≥ 1 m clearance around each bed / chair (MoHFW PMNDP: minimum floor area per station as per guideline), hand-wash basin with elbow-/sensor-operated tap and alcohol hand-rub at every station.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Segregation:</w:t>
      </w:r>
      <w:r>
        <w:t xml:space="preserve"> separate isolation room / area with dedicated machines for HBsAg-positive patients (mandatory); dedicated machines for HCV-positive patients as per national guidelines; new / status-unknown patients dialysed on a separate designated machine until serology is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Treated water conforming to ISO 23500 / AAMI: </w:t>
      </w:r>
      <w:r>
        <w:rPr>
          <w:b/>
          <w:bCs/>
        </w:rPr>
        <w:t xml:space="preserve">total viable microbial count &lt; 100 CFU/mL (action level 50 CFU/mL); endotoxin &lt; 0.25 EU/mL (action level 0.125 EU/mL)</w:t>
      </w:r>
      <w:r>
        <w:t xml:space="preserve">; chemical contaminants within ISO limits; monthly microbiology &amp; endotoxin testing; chlorine/chloramine check before each shift (total chlorine &lt; 0.1 mg/L).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Emergency trolley with defibrillator, oxygen, suction, crash drugs and anaphylaxis kit within 30 seconds’ reach; uninterruptible power supply / generator back-up.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Temperature controlled area (22–26 °C), adequate lighting, and patient call bell.</w:t>
      </w:r>
    </w:p>
    <w:p>
      <w:pPr>
        <w:pStyle w:val="Heading1"/>
      </w:pPr>
      <w:r>
        <w:t xml:space="preserve">7. Equipment / Instruments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Volumetric UF-controlled HD machine with bicarbonate dialysis capability, conductivity / temperature / pressure monitors, air-bubble detector and blood-leak detector; preferably with online clearance (OCM / Kt/V) and blood-volume monitoring.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Dialyser: high-flux synthetic membrane (polysulfone / polyethersulfone) preferred; low surface area (1.0–1.4 m²) for first session; single-use or reprocessed only as per unit reuse policy (no reuse for HBsAg / HCV / HIV positive patients).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 tubing set, AV fistula needles (15–17 G) or catheter connection kit, transducer protectors.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Acid concentrate and bicarbonate concentrate (cartridge/powder or liquid), 0.9% saline 1–2 L for priming.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Unfractionated heparin (5,000 IU/mL), syringe pump; protamine &amp; emergency drugs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Weighing scale (calibrated), BP apparatus / automated monitor, pulse oximeter, glucometer, thermometer, ECG monitor for unstable patients.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PPE: gloves, gowns/aprons, masks, face shields/goggles.</w:t>
      </w:r>
    </w:p>
    <w:p>
      <w:pPr>
        <w:pStyle w:val="Heading1"/>
      </w:pPr>
      <w:r>
        <w:t xml:space="preserve">8. Procedure</w:t>
      </w:r>
    </w:p>
    <w:p>
      <w:pPr>
        <w:pStyle w:val="Heading2"/>
      </w:pPr>
      <w:r>
        <w:t xml:space="preserve">8.1 Decision to initiate</w:t>
      </w:r>
    </w:p>
    <w:p>
      <w:pPr>
        <w:pStyle w:val="Heading3"/>
      </w:pPr>
      <w:r>
        <w:t xml:space="preserve">A. AKI / AKD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Absolute / urgent indications</w:t>
      </w:r>
      <w:r>
        <w:t xml:space="preserve"> (initiate emergently): refractory hyperkalaemia (K⁺ &gt; 6.5 mmol/L or ECG changes despite medical therapy); severe metabolic acidosis (pH &lt; 7.15) not responding to medical therapy; diuretic-resistant fluid overload with pulmonary oedema / hypoxaemia; uraemic complications (pericarditis, encephalopathy, bleeding); severe uraemia (BUN &gt; 100–112 mg/dL in recent trials); dialysable intoxications (e.g., methanol, ethylene glycol, lithium, salicylate, metformin-associated lactic acidosis).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Timing:</w:t>
      </w:r>
      <w:r>
        <w:t xml:space="preserve"> in the absence of urgent indications, an “accelerated” start does not improve survival (AKIKI 2016, IDEAL-ICU 2018, STARRT-AKI 2020) and increases dialysis dependence/adverse events; a watchful strategy with close monitoring is recommended. Further delay beyond trigger thresholds may be harmful (AKIKI-2, 2021).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the broader clinical context, trends in labs, and whether the patient is likely to recover (KDIGO 2012, ADQI).</w:t>
      </w:r>
    </w:p>
    <w:p>
      <w:pPr>
        <w:pStyle w:val="Heading3"/>
      </w:pPr>
      <w:r>
        <w:t xml:space="preserve">B. CKD G5 (planned initiation)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Initiate on symptoms/signs of kidney failure (uraemic symptoms, refractory volume overload or hypertension, hyperkalaemia, acidosis, progressive malnutrition, cognitive decline), usually but not always at eGFR 5–10 mL/min/1.73 m² – not on eGFR alone (IDEAL trial 2010; KDIGO 2024 CKD guideline).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decision-making including options of HD, PD, transplant and conservative kidney management.</w:t>
      </w:r>
    </w:p>
    <w:p>
      <w:pPr>
        <w:pStyle w:val="Heading2"/>
      </w:pPr>
      <w:r>
        <w:t xml:space="preserve">8.2 Pre-initiation checklist (first dialysis)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Informed written consent for haemodialysis and for blood transfusion (if needed).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Viral serology: HBsAg, anti-HCV, HIV (I &amp; II) before first dialysis; repeat HBsAg &amp; anti-HCV periodically as per PMNDP (anti-HCV at least every 6 months – KDIGO HCV 2022); check anti-HBs titre 1–2 months after vaccination and annually. Start Hepatitis B vaccination schedule (e.g., 40 µg at 0, 1, 2, 6 months) in non-immune patients.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Baseline investigations: CBC, urea, creatinine, Na⁺, K⁺, Cl⁻, HCO₃⁻ / ABG, Ca, PO₄, Mg, albumin, glucose, coagulation profile, blood group; ECG; chest X-ray as indicated.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Vascular access assessment (catheter function / AVF maturity – see SOP/AKD/01, 02, 07).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Medication review: hold antihypertensives on morning of dialysis if prone to hypotension; adjust dialysable drugs (give after dialysis).</w:t>
      </w:r>
    </w:p>
    <w:p>
      <w:pPr>
        <w:pStyle w:val="Heading2"/>
      </w:pPr>
      <w:r>
        <w:t xml:space="preserve">8.3 Machine preparation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machine has undergone heat/chemical disinfection after the previous patient and passed the self-test (record in machine log).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water treatment log (chlorine/chloramine test, RO parameters) for the shift.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Hand hygiene, PPE. Mount dialyser and bloodlines aseptically. Connect concentrates; verify conductivity (13.5–14.5 mS/cm), temperature and pH as per machine.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Prime the extracorporeal circuit with 0.9% saline (1,000–2,000 mL) at 150 mL/min, removing all air; for reprocessed dialysers perform residual germicide test (must be negative) and patient-name/ID verification by two staff.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 alarm limits (arterial, venous, TMP); confirm air detector and blood-leak detector are armed.</w:t>
      </w:r>
    </w:p>
    <w:p>
      <w:pPr>
        <w:pStyle w:val="Heading2"/>
      </w:pPr>
      <w:r>
        <w:t xml:space="preserve">8.4 Pre-dialysis patient assessment (every session)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patient with two identifiers; check prescription.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 (same scale, similar clothing), BP (sitting/standing if prone to orthostasis), pulse, temperature, SpO₂, respiratory rate, interdialytic weight gain (IDWG), oedema, breathlessness, symptoms since last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Vascular access examination: AVF – look, listen (bruit), feel (thrill); catheter – exit-site inspection, dressing, previous 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recent K⁺, Hb, bleeding status, scheduled procedures (for heparin decision).</w:t>
      </w:r>
    </w:p>
    <w:p>
      <w:pPr>
        <w:pStyle w:val="Heading2"/>
      </w:pPr>
      <w:r>
        <w:t xml:space="preserve">8.5 Dialysis prescription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8"/>
        <w:gridCol w:w="3282"/>
        <w:gridCol w:w="3556"/>
      </w:tblGrid>
      <w:tr>
        <w:trPr>
          <w:tblHeader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First (induction) session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Subsequent / maintenance sessions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 h (1.5–2 h if urea very high &gt; 200 mg/dL or neurological risk); 2nd session 2.5–3 h; 3rd session 3–4 h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≥ 4 h, 3 sessions/week (≥ 12 h/week) for chronic HD; longer/more frequent if needed for volume control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Blood flow (Qb)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150–200 mL/min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250–400 mL/min as access allows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Dialysate flow (Qd)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300–500 mL/min (lower in first session to limit urea clearance)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500–800 mL/min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Dialyser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Small surface area (≤ 1.4 m²)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High-flux, surface area as per body size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Target urea reduction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≤ 30–40 % in the first session</w:t>
            </w:r>
            <w:r>
              <w:rPr>
                <w:sz w:val="20"/>
                <w:szCs w:val="20"/>
              </w:rPr>
              <w:t xml:space="preserve"> (prevents disequilibrium)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URR ≥ 65 %; spKt/V ≥ 1.2 (target 1.4) per session, thrice weekly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Dialysate Na⁺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138–140 mmol/L (individualise; if serum Na⁺ &lt; 130, limit correction to ≤ 8 mmol/L / 24 h)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135–140 mmol/L; avoid high-sodium and sodium profiling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Dialysate K⁺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K⁺ &gt; 6.5: 2 mmol/L (monitor hourly); K⁺ 4.5–6.5: 2–3 mmol/L; K⁺ &lt; 4.5 or on digoxin: 3–4 mmol/L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Usually 2–3 mmol/L; avoid 0–1 mmol/L baths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Dialysate HCO₃⁻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30–35 mmol/L (lower, ~28–30, if severe alkalosis risk / respiratory alkalosis)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32–35 mmol/L, adjust to pre-dialysis HCO₃⁻ 22–26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Dialysate Ca²⁺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1.25–1.5 mmol/L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1.25–1.5 mmol/L (individualise)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Dialysate temperature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35.5–36.5 °C (cool dialysate improves haemodynamic stability)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0.5 °C below core body temperature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Ultrafiltration (UF)</w:t>
            </w:r>
          </w:p>
        </w:tc>
        <w:tc>
          <w:tcPr>
            <w:tcW w:type="dxa" w:w="3282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Limited to clinical need, usually ≤ 1–2 L in first session</w:t>
            </w:r>
          </w:p>
        </w:tc>
        <w:tc>
          <w:tcPr>
            <w:tcW w:type="dxa" w:w="355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UF rate preferably </w:t>
            </w:r>
            <w:r>
              <w:rPr>
                <w:b/>
                <w:bCs/>
                <w:sz w:val="20"/>
                <w:szCs w:val="20"/>
              </w:rPr>
              <w:t xml:space="preserve">≤ 10–13 mL/kg/h</w:t>
            </w:r>
            <w:r>
              <w:rPr>
                <w:sz w:val="20"/>
                <w:szCs w:val="20"/>
              </w:rPr>
              <w:t xml:space="preserve">; avoid &gt; 13 mL/kg/h (higher mortality)</w:t>
            </w:r>
          </w:p>
        </w:tc>
      </w:tr>
    </w:tbl>
    <w:p>
      <w:pPr>
        <w:spacing w:after="80"/>
      </w:pPr>
    </w:p>
    <w:p>
      <w:pPr>
        <w:pBdr>
          <w:left w:val="single" w:color="E69500" w:sz="18" w:space="6"/>
        </w:pBdr>
        <w:shd w:fill="FFF4E5" w:color="auto" w:val="clear"/>
        <w:spacing w:after="120" w:before="80"/>
        <w:ind w:left="120"/>
      </w:pPr>
      <w:r>
        <w:rPr>
          <w:b/>
          <w:bCs/>
        </w:rPr>
        <w:t xml:space="preserve">Dialysis disequilibrium syndrome (DDS)</w:t>
      </w:r>
      <w:r>
        <w:t xml:space="preserve"> prevention: in patients with very high urea, severe acidosis, low body weight, elderly, or pre-existing neurological disease – short first session, low Qb, small dialyser, counter-current low Qd or co-current flow, and consider prophylactic Mannitol (12.5–25 g IV) per consultant decision.</w:t>
      </w:r>
    </w:p>
    <w:p>
      <w:pPr>
        <w:pStyle w:val="Heading2"/>
      </w:pPr>
      <w:r>
        <w:t xml:space="preserve">8.6 Anticoagulation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6249"/>
      </w:tblGrid>
      <w:tr>
        <w:trPr>
          <w:tblHeader/>
        </w:trPr>
        <w:tc>
          <w:tcPr>
            <w:tcW w:type="dxa" w:w="277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24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Regimen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Standard (no bleeding risk)</w:t>
            </w:r>
          </w:p>
        </w:tc>
        <w:tc>
          <w:tcPr>
            <w:tcW w:type="dxa" w:w="624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Unfractionated heparin loading 1,000–2,000 IU (≈ 25–50 IU/kg) at start, then 500–1,000 IU/h infusion; stop infusion 30–60 min before end (AVF) or at end (catheter).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High bleeding risk / active bleeding / within 24–48 h of surgery or biopsy / platelets &lt; 50 × 10⁹/L</w:t>
            </w:r>
          </w:p>
        </w:tc>
        <w:tc>
          <w:tcPr>
            <w:tcW w:type="dxa" w:w="624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Heparin-free dialysis</w:t>
            </w:r>
            <w:r>
              <w:rPr>
                <w:sz w:val="20"/>
                <w:szCs w:val="20"/>
              </w:rPr>
              <w:t xml:space="preserve">: pre-coat circuit with heparinised saline (2,000–5,000 IU/L) then rinse; Qb as high as tolerated; saline flush 100–200 mL every 30 min (account in UF); observe venous chamber/dialyser for clotting. Regional citrate anticoagulation where available.</w:t>
            </w:r>
          </w:p>
        </w:tc>
      </w:tr>
      <w:tr>
        <w:trPr>
          <w:cantSplit/>
        </w:trPr>
        <w:tc>
          <w:tcPr>
            <w:tcW w:type="dxa" w:w="277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Heparin-induced thrombocytopenia (HIT)</w:t>
            </w:r>
          </w:p>
        </w:tc>
        <w:tc>
          <w:tcPr>
            <w:tcW w:type="dxa" w:w="624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Stop all heparin including locks; use argatroban or regional citrate as per haematology advice; citrate 4% lock.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8.7 Connection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Hand hygiene, clean gloves, mask; staff and patient (for catheter) wear masks.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AVF/AVG:</w:t>
      </w:r>
      <w:r>
        <w:t xml:space="preserve"> cannulate as per SOP/AKD/06.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Catheter:</w:t>
      </w:r>
      <w:r>
        <w:t xml:space="preserve"> place sterile drape under catheter limbs; remove caps, scrub hubs with 2% chlorhexidine–alcohol for 15 s and allow to dry; aspirate lock solution (3–5 mL from each lumen) and discard; flush with 10 mL saline to check patency; connect bloodlines using aseptic non-touch technique.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Administer heparin loading dose as prescribed; start blood pump at 100 mL/min and increase gradually to prescribed Qb over 5 min. Return priming saline to patient or discard as prescribed (discard in fluid-overloaded patients).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Set UF goal and time; secure bloodlines to avoid tension and keep access visible (never covered by blanket).</w:t>
      </w:r>
    </w:p>
    <w:p>
      <w:pPr>
        <w:pStyle w:val="Heading2"/>
      </w:pPr>
      <w:r>
        <w:t xml:space="preserve">8.8 Intradialytic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Vitals (BP, pulse):</w:t>
      </w:r>
      <w:r>
        <w:t xml:space="preserve"> at start, after 15 min, then </w:t>
      </w:r>
      <w:r>
        <w:rPr>
          <w:b/>
          <w:bCs/>
        </w:rPr>
        <w:t xml:space="preserve">every 30 min</w:t>
      </w:r>
      <w:r>
        <w:t xml:space="preserve"> (every 15 min in the first session, unstable or ICU patients; continuous ECG for K⁺ &gt; 6.5 mmol/L, cardiac disease or arrhythmia).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Machine parameters every 30 min: Qb, arterial pressure (usually not more negative than –250 mmHg), venous pressure, TMP, UF removed, conductivity, temperature, heparin infusion.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Symptoms: cramps, nausea, vomiting, headache, chest pain, itching, restlessness, altered sensorium.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Access: needle/catheter position, bleeding, swelling, access visible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Blood glucose hourly in diabetic or ICU patients who are not eating.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readings and interventions charted in the HD treatment record.</w:t>
      </w:r>
    </w:p>
    <w:p>
      <w:pPr>
        <w:pStyle w:val="Heading2"/>
      </w:pPr>
      <w:r>
        <w:t xml:space="preserve">8.9 Management of intradialytic complications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1"/>
        <w:gridCol w:w="6665"/>
      </w:tblGrid>
      <w:tr>
        <w:trPr>
          <w:tblHeader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Complication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Immediate management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Intradialytic hypotension (SBP &lt; 90 or fall ≥ 20 mmHg with symptoms)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Trendelenburg position; stop/reduce UF; reduce Qb; give 0.9% saline 100–250 mL bolus; oxygen; lower dialysate temperature; review dry weight, antihypertensives, cardiac function. Midodrine pre-dialysis for recurrent cases (consultant).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Muscle cramps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Stop UF temporarily, saline 100–200 mL or hypertonic saline/dextrose; stretch; reassess dry weight.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Dialysis disequilibrium (headache, nausea, restlessness, seizures)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Reduce Qb / stop dialysis; mannitol per consultant; manage seizures (benzodiazepine); airway protection.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Chest pain / arrhythmia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Stop UF, reduce Qb, oxygen, ECG, check K⁺, troponin; ACLS; consider stopping dialysis and returning blood.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Dialyser reaction (type A anaphylactoid: within minutes; type B: milder chest/back pain)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Type A: </w:t>
            </w:r>
            <w:r>
              <w:rPr>
                <w:b/>
                <w:bCs/>
                <w:sz w:val="20"/>
                <w:szCs w:val="20"/>
              </w:rPr>
              <w:t xml:space="preserve">stop dialysis, clamp lines, do not return blood</w:t>
            </w:r>
            <w:r>
              <w:rPr>
                <w:sz w:val="20"/>
                <w:szCs w:val="20"/>
              </w:rPr>
              <w:t xml:space="preserve">, adrenaline 0.5 mg IM, antihistamine, steroids, oxygen. Type B: continue with symptomatic care.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Haemolysis (port-wine blood, chest pain, dyspnoea)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Stop pump, clamp, </w:t>
            </w:r>
            <w:r>
              <w:rPr>
                <w:b/>
                <w:bCs/>
                <w:sz w:val="20"/>
                <w:szCs w:val="20"/>
              </w:rPr>
              <w:t xml:space="preserve">do not return blood</w:t>
            </w:r>
            <w:r>
              <w:rPr>
                <w:sz w:val="20"/>
                <w:szCs w:val="20"/>
              </w:rPr>
              <w:t xml:space="preserve">; check K⁺, Hb; investigate dialysate (temperature, conductivity, chloramine, kinked lines).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Air embolism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Clamp venous line, stop pump, left lateral Trendelenburg, 100% O₂, call for help.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Clotting of circuit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If venous pressure rising / dark streaks: flush with saline; replace circuit if clotted (do not return clotted blood).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Fever / rigors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Blood cultures from access/line and peripheral; treat as possible CRBSI (SOP/AKD/11); check water/dialyser reprocessing.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Bleeding at needle sites / access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Pressure; check heparin dose; reduce/stop heparin.</w:t>
            </w:r>
          </w:p>
        </w:tc>
      </w:tr>
      <w:tr>
        <w:trPr>
          <w:cantSplit/>
        </w:trPr>
        <w:tc>
          <w:tcPr>
            <w:tcW w:type="dxa" w:w="236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Needle dislodgement / access disconnection</w:t>
            </w:r>
          </w:p>
        </w:tc>
        <w:tc>
          <w:tcPr>
            <w:tcW w:type="dxa" w:w="6665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Stop pump immediately, clamp, apply pressure; assess blood loss.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8.10 Disconnection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At end of treatment, stop heparin (if not already), reduce Qb to 100–150 mL/min, return blood with 150–250 mL saline (air return is not permitted).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AVF:</w:t>
      </w:r>
      <w:r>
        <w:t xml:space="preserve"> remove needles one at a time at a shallow angle after blood return; apply gentle pressure with sterile gauze for 10–15 min without occluding thrill; do not use tourniquets/clamps on fistula.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Catheter:</w:t>
      </w:r>
      <w:r>
        <w:t xml:space="preserve"> scrub hubs, flush each lumen with 10 mL saline (push-pause), instil prescribed lock solution exactly equal to labelled lumen volume, clamp, apply new sterile caps. Dress exit site as per protocol.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Post-dialysis: weight, BP (sitting and standing), pulse, temperature; symptoms; check haemostasis before patient leaves.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Discard single-use items into appropriate BMW category bins; machine disinfection as per manufacturer (heat/citric/peracetic) and surface cleaning with 1% sodium hypochlorite / approved disinfectant (blood spills: 1% hypochlorite).</w:t>
      </w:r>
    </w:p>
    <w:p>
      <w:pPr>
        <w:pStyle w:val="Heading2"/>
      </w:pPr>
      <w:r>
        <w:t xml:space="preserve">8.11 Adequacy and periodic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AKI:</w:t>
      </w:r>
      <w:r>
        <w:t xml:space="preserve"> deliver Kt/V ≥ 3.9 per week with intermittent therapy (KDIGO 2012); daily review of volume, electrolytes, need for continuation and signs of renal recovery (urine output, falling creatinine). Assess for recovery before each session (consider withholding if urine output &gt; 400–500 mL/day and improving).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Chronic HD:</w:t>
      </w:r>
      <w:r>
        <w:t xml:space="preserve"> monthly pre/post-urea – URR ≥ 65 %, spKt/V ≥ 1.2 (target 1.4) per thrice-weekly session (KDOQI 2015); monthly Hb, K⁺, HCO₃⁻, Ca, PO₄; 3-monthly albumin, PTH, ferritin/TSAT; HBsAg/anti-HCV every 3–6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Post-dialysis urea sampling:</w:t>
      </w:r>
      <w:r>
        <w:t xml:space="preserve"> slow-flow method – reduce Qb to 100 mL/min for 15 s (or stop dialysate flow for 3–5 min) before drawing sample from arterial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Dry weight review at least monthly and after each hospitalisation.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quality indicators: intradialytic hypotension rate, catheter-dependence rate, CRBSI rate per 1,000 catheter-days, seroconversion rate, adequacy achievement.</w:t>
      </w:r>
    </w:p>
    <w:p>
      <w:pPr>
        <w:pStyle w:val="Heading1"/>
      </w:pPr>
      <w:r>
        <w:t xml:space="preserve">9. Forms &amp;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 for haemodialysis (FORM/AKD/05).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Haemodialysis prescription &amp; treatment record (intradialytic monitoring chart) (FORM/AKD/06).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Machine disinfection log; dialyser reprocessing log (if reuse).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 treatment daily log &amp; monthly water culture / endotoxin / chemical analysis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Viral serology &amp; Hepatitis B vaccination register.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adequacy &amp; laboratory review sheet; adverse event / incident report.</w:t>
      </w:r>
    </w:p>
    <w:p>
      <w:pPr>
        <w:pStyle w:val="Heading1"/>
      </w:pPr>
      <w:r>
        <w:t xml:space="preserve">10. References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KDIGO Clinical Practice Guideline for Acute Kidney Injury. Kidney Int Suppl. 2012;2:1–138.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National Kidney Foundation. KDOQI Clinical Practice Guideline for Hemodialysis Adequacy: 2015 Update. Am J Kidney Dis. 2015;66:884–930.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STARRT-AKI Investigators. Timing of Initiation of Renal-Replacement Therapy in Acute Kidney Injury. N Engl J Med. 2020;383:240–251.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Gaudry S, et al. Initiation Strategies for Renal-Replacement Therapy in the ICU (AKIKI). N Engl J Med. 2016;375:122–133; and AKIKI 2. Lancet. 2021;397:1293–1300.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Cooper BA, et al. A randomized, controlled trial of early versus late initiation of dialysis (IDEAL). N Engl J Med. 2010;363:609–619.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KDIGO 2024 Clinical Practice Guideline for the Evaluation and Management of Chronic Kidney Disease. Kidney Int. 2024;105(4S):S117–S314.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KDIGO 2022 Clinical Practice Guideline for the Prevention, Diagnosis, Evaluation, and Treatment of Hepatitis C in CKD. Kidney Int. 2022;102(6S):S129–S205.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ISO 23500-1 to 23500-5:2019. Preparation and quality management of fluids for haemodialysis and related therapies.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Ministry of Health &amp; Family Welfare, Government of India. Guidelines for Haemodialysis under Pradhan Mantri National Dialysis Programme, 2016 (and subsequent updates).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Flythe JE, Chang TI, Gallagher MP, et al. Blood pressure and volume management in dialysis: conclusions from a KDIGO Controversies Conference. Kidney Int. 2020;97:861–876.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Flythe JE, Kimmel SE, Brunelli SM. Rapid fluid removal during dialysis is associated with cardiovascular morbidity and mortality. Kidney Int. 2011;79:250–257.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NABH Accreditation Standards for Dialysis Centres (current edition).</w:t>
      </w:r>
    </w:p>
    <w:p>
      <w:pPr>
        <w:pStyle w:val="Heading1"/>
      </w:pPr>
      <w:r>
        <w:t xml:space="preserve">11.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DDS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Dialysis Disequilibrium Syndrome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IDWG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Interdialytic Weight Gain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Qb / Qd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Blood flow / Dialysate flow rate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spKt/V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Single-pool Kt/V (urea clearance × time / volume)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TMP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Transmembrane Pressure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UF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Ultrafiltration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URR</w:t>
            </w:r>
          </w:p>
        </w:tc>
        <w:tc>
          <w:tcPr>
            <w:tcW w:type="dxa" w:w="676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Urea Reduction Ratio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Document Approval &amp;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Name: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Designation:</w:t>
            </w:r>
          </w:p>
        </w:tc>
      </w:tr>
      <w:tr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  <w:tc>
          <w:tcPr>
            <w:tcW w:type="dxa" w:w="300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  <w:tc>
          <w:tcPr>
            <w:tcW w:type="dxa" w:w="300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Signature &amp; Date: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541"/>
        <w:gridCol w:w="4403"/>
        <w:gridCol w:w="1981"/>
      </w:tblGrid>
      <w:tr>
        <w:trPr>
          <w:tblHeader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First issue</w:t>
            </w: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10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54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440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dxa" w:w="198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</w:tbl>
    <w:p>
      <w:pPr>
        <w:spacing w:after="80"/>
      </w:pPr>
    </w:p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This SOP is based on current published guidelines. It does not replace clinical judgement; deviations must be justified and documented in the patient record. Drug doses must be verified against the current hospital formulary and adjusted for renal function.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Controlled document – do not photocopy without authorisation. Version 1.0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9C1" w:sz="4" w:space="2"/>
      </w:pBdr>
      <w:tabs>
        <w:tab w:val="right" w:pos="9026"/>
      </w:tabs>
    </w:pPr>
    <w:r>
      <w:rPr>
        <w:color w:val="595959"/>
        <w:sz w:val="17"/>
        <w:szCs w:val="17"/>
      </w:rPr>
      <w:t xml:space="preserve">[Hospital Name] | Department of Nephrology – AKD / Dialysis Unit</w:t>
    </w:r>
    <w:r>
      <w:rPr>
        <w:b/>
        <w:bCs/>
        <w:color w:val="595959"/>
        <w:sz w:val="17"/>
        <w:szCs w:val="17"/>
      </w:rPr>
      <w:t xml:space="preserve">	SOP/AKD/03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  <w:lvl w:ilvl="2" w15:tentative="1">
      <w:start w:val="1"/>
      <w:numFmt w:val="bullet"/>
      <w:lvlText w:val="◦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20" w:before="28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Calibri" w:cs="Calibri" w:eastAsia="Calibri" w:hAnsi="Calibri"/>
      <w:b/>
      <w:bCs/>
      <w:i/>
      <w:i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Haemodialysis Initiation &amp; Intradialytic Monitoring</dc:title>
  <dc:creator>Department of Nephrology</dc:creator>
  <cp:lastModifiedBy>Un-named</cp:lastModifiedBy>
  <cp:revision>1</cp:revision>
  <dcterms:created xsi:type="dcterms:W3CDTF">2026-10-13T04:51:53.263Z</dcterms:created>
  <dcterms:modified xsi:type="dcterms:W3CDTF">2026-10-13T04:51:53.263Z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