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2"/>
          <w:szCs w:val="22"/>
        </w:rPr>
        <w:t xml:space="preserve">STANDARD OPERATING PROCEDURE</w:t>
      </w:r>
    </w:p>
    <w:p>
      <w:pPr>
        <w:spacing w:after="200"/>
        <w:jc w:val="center"/>
      </w:pPr>
      <w:r>
        <w:rPr>
          <w:b/>
          <w:bCs/>
          <w:color w:val="1F4E79"/>
          <w:sz w:val="34"/>
          <w:szCs w:val="34"/>
        </w:rPr>
        <w:t xml:space="preserve">Peritoneal Dialysis (PD) Catheter Insertion &amp; PD Initiation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SOP No.</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SOP/AKD/04</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Version</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Department</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Nephrology – AKD / Dialysis Unit</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Effective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__</w:t>
            </w:r>
            <w:r>
              <w:rPr>
                <w:i/>
                <w:iCs/>
                <w:sz w:val="20"/>
                <w:szCs w:val="20"/>
              </w:rPr>
              <w:t xml:space="preserve"> / </w:t>
            </w:r>
            <w:r>
              <w:rPr>
                <w:i/>
                <w:iCs/>
                <w:sz w:val="20"/>
                <w:szCs w:val="20"/>
              </w:rPr>
              <w:t xml:space="preserve"> / </w:t>
            </w:r>
            <w:r>
              <w:rPr>
                <w:sz w:val="20"/>
                <w:szCs w:val="20"/>
              </w:rPr>
              <w:t xml:space="preserve">____</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Prepared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Next Review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2 years from effective date or earlier if guidelines change</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Reviewed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Approved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r>
    </w:tbl>
    <w:p>
      <w:pPr>
        <w:spacing w:after="120"/>
      </w:pPr>
    </w:p>
    <w:p>
      <w:pPr>
        <w:pStyle w:val="Heading1"/>
      </w:pPr>
      <w:r>
        <w:t xml:space="preserve">1. Name</w:t>
      </w:r>
    </w:p>
    <w:p>
      <w:pPr>
        <w:spacing w:after="100"/>
      </w:pPr>
      <w:r>
        <w:rPr>
          <w:b/>
          <w:bCs/>
        </w:rPr>
        <w:t xml:space="preserve">Peritoneal Dialysis (PD) Catheter Insertion &amp; PD Initiation</w:t>
      </w:r>
    </w:p>
    <w:p>
      <w:pPr>
        <w:pStyle w:val="Heading1"/>
      </w:pPr>
      <w:r>
        <w:t xml:space="preserve">2. Purpose</w:t>
      </w:r>
    </w:p>
    <w:p>
      <w:pPr>
        <w:spacing w:after="100"/>
      </w:pPr>
      <w:r>
        <w:t xml:space="preserve">To provide a uniform, evidence-based method for selecting patients, inserting a PD catheter, and initiating peritoneal dialysis (planned, urgent-start and acute PD for AKI), performing exchanges aseptically, preventing peritonitis and exit-site infection, and monitoring adequacy.</w:t>
      </w:r>
    </w:p>
    <w:p>
      <w:pPr>
        <w:pStyle w:val="Heading1"/>
      </w:pPr>
      <w:r>
        <w:t xml:space="preserve">3. Scope</w:t>
      </w:r>
    </w:p>
    <w:p>
      <w:pPr>
        <w:spacing w:after="100"/>
      </w:pPr>
      <w:r>
        <w:t xml:space="preserve">Adult patients with AKI / AKD requiring acute PD, and patients with CKD G5 opting for chronic PD (CAPD / APD), managed in the AKD / Dialysis Unit and PD clinic.</w:t>
      </w:r>
    </w:p>
    <w:p>
      <w:pPr>
        <w:spacing w:after="100"/>
      </w:pPr>
      <w:r>
        <w:t xml:space="preserve">Covers patient selection, pre-insertion assessment, catheter insertion (percutaneous Seldinger by nephrologist / open or laparoscopic by surgeon), break-in, initiation of exchanges, monitoring, training and management of early complications.</w:t>
      </w:r>
    </w:p>
    <w:p>
      <w:pPr>
        <w:pStyle w:val="Heading1"/>
      </w:pPr>
      <w:r>
        <w:t xml:space="preserve">4. Responsibility</w:t>
      </w:r>
    </w:p>
    <w:p>
      <w:pPr>
        <w:pStyle w:val="ListParagraph"/>
        <w:numPr>
          <w:ilvl w:val="0"/>
          <w:numId w:val="2"/>
        </w:numPr>
        <w:spacing w:after="60"/>
      </w:pPr>
      <w:r>
        <w:rPr>
          <w:b/>
          <w:bCs/>
        </w:rPr>
        <w:t xml:space="preserve">Nephrologist:</w:t>
      </w:r>
      <w:r>
        <w:t xml:space="preserve"> patient selection, consent, percutaneous catheter insertion (if credentialed), PD prescription, management of complications.</w:t>
      </w:r>
    </w:p>
    <w:p>
      <w:pPr>
        <w:pStyle w:val="ListParagraph"/>
        <w:numPr>
          <w:ilvl w:val="0"/>
          <w:numId w:val="2"/>
        </w:numPr>
        <w:spacing w:after="60"/>
      </w:pPr>
      <w:r>
        <w:rPr>
          <w:b/>
          <w:bCs/>
        </w:rPr>
        <w:t xml:space="preserve">Surgeon (general / laparoscopic):</w:t>
      </w:r>
      <w:r>
        <w:t xml:space="preserve"> open or laparoscopic catheter insertion when indicated (previous abdominal surgery, obesity, need for adhesiolysis / omentopexy).</w:t>
      </w:r>
    </w:p>
    <w:p>
      <w:pPr>
        <w:pStyle w:val="ListParagraph"/>
        <w:numPr>
          <w:ilvl w:val="0"/>
          <w:numId w:val="2"/>
        </w:numPr>
        <w:spacing w:after="60"/>
      </w:pPr>
      <w:r>
        <w:rPr>
          <w:b/>
          <w:bCs/>
        </w:rPr>
        <w:t xml:space="preserve">PD nurse:</w:t>
      </w:r>
      <w:r>
        <w:t xml:space="preserve"> pre-insertion preparation, exit-site marking, post-op catheter care, performing exchanges, patient and caregiver training, home visit.</w:t>
      </w:r>
    </w:p>
    <w:p>
      <w:pPr>
        <w:pStyle w:val="ListParagraph"/>
        <w:numPr>
          <w:ilvl w:val="0"/>
          <w:numId w:val="2"/>
        </w:numPr>
        <w:spacing w:after="60"/>
      </w:pPr>
      <w:r>
        <w:rPr>
          <w:b/>
          <w:bCs/>
        </w:rPr>
        <w:t xml:space="preserve">Dietitian / social worker:</w:t>
      </w:r>
      <w:r>
        <w:t xml:space="preserve"> nutritional assessment and home suitability assessment.</w:t>
      </w:r>
    </w:p>
    <w:p>
      <w:pPr>
        <w:pStyle w:val="Heading1"/>
      </w:pPr>
      <w:r>
        <w:t xml:space="preserve">5. Authority</w:t>
      </w:r>
    </w:p>
    <w:p>
      <w:pPr>
        <w:spacing w:after="100"/>
      </w:pPr>
      <w:r>
        <w:t xml:space="preserve">Consultant Nephrologist in-charge of PD programme; PD Nurse Coordinator. Peritonitis and exit-site infection rates are audited by the PD team and HICC (target overall peritonitis rate &lt; 0.4 episodes per patient-year; &gt; 80 % of patients peritonitis-free per year – ISPD 2022).</w:t>
      </w:r>
    </w:p>
    <w:p>
      <w:pPr>
        <w:pStyle w:val="Heading1"/>
      </w:pPr>
      <w:r>
        <w:t xml:space="preserve">6. Specific Environmental Requirement</w:t>
      </w:r>
    </w:p>
    <w:p>
      <w:pPr>
        <w:pStyle w:val="ListParagraph"/>
        <w:numPr>
          <w:ilvl w:val="0"/>
          <w:numId w:val="2"/>
        </w:numPr>
        <w:spacing w:after="60"/>
      </w:pPr>
      <w:r>
        <w:rPr>
          <w:b/>
          <w:bCs/>
        </w:rPr>
        <w:t xml:space="preserve">Insertion:</w:t>
      </w:r>
      <w:r>
        <w:t xml:space="preserve"> procedure room / OT with full surgical asepsis; ultrasound and/or fluoroscopy available for percutaneous technique; monitoring and resuscitation equipment.</w:t>
      </w:r>
    </w:p>
    <w:p>
      <w:pPr>
        <w:pStyle w:val="ListParagraph"/>
        <w:numPr>
          <w:ilvl w:val="0"/>
          <w:numId w:val="2"/>
        </w:numPr>
        <w:spacing w:after="60"/>
      </w:pPr>
      <w:r>
        <w:rPr>
          <w:b/>
          <w:bCs/>
        </w:rPr>
        <w:t xml:space="preserve">Exchanges (hospital):</w:t>
      </w:r>
      <w:r>
        <w:t xml:space="preserve"> clean, well-lit area; fans and air-conditioners switched off or directed away during connection; doors/windows closed; no pets/visitors moving around; dedicated clean table surface.</w:t>
      </w:r>
    </w:p>
    <w:p>
      <w:pPr>
        <w:pStyle w:val="ListParagraph"/>
        <w:numPr>
          <w:ilvl w:val="0"/>
          <w:numId w:val="2"/>
        </w:numPr>
        <w:spacing w:after="60"/>
      </w:pPr>
      <w:r>
        <w:t xml:space="preserve">Hand-washing facility with soap and running water and alcohol hand-rub; masks for patient and operator during connection/disconnection.</w:t>
      </w:r>
    </w:p>
    <w:p>
      <w:pPr>
        <w:pStyle w:val="ListParagraph"/>
        <w:numPr>
          <w:ilvl w:val="0"/>
          <w:numId w:val="2"/>
        </w:numPr>
        <w:spacing w:after="60"/>
      </w:pPr>
      <w:r>
        <w:t xml:space="preserve">Dialysate warmer (dry heat) – </w:t>
      </w:r>
      <w:r>
        <w:rPr>
          <w:b/>
          <w:bCs/>
        </w:rPr>
        <w:t xml:space="preserve">never microwave or immerse bags in water</w:t>
      </w:r>
      <w:r>
        <w:t xml:space="preserve">.</w:t>
      </w:r>
    </w:p>
    <w:p>
      <w:pPr>
        <w:pStyle w:val="ListParagraph"/>
        <w:numPr>
          <w:ilvl w:val="0"/>
          <w:numId w:val="2"/>
        </w:numPr>
        <w:spacing w:after="60"/>
      </w:pPr>
      <w:r>
        <w:t xml:space="preserve">Training room for patients/caregivers; home assessment for space, water supply, hygiene and storage of supplies.</w:t>
      </w:r>
    </w:p>
    <w:p>
      <w:pPr>
        <w:pStyle w:val="Heading1"/>
      </w:pPr>
      <w:r>
        <w:t xml:space="preserve">7. Equipment / Instruments</w:t>
      </w:r>
    </w:p>
    <w:p>
      <w:pPr>
        <w:pStyle w:val="ListParagraph"/>
        <w:numPr>
          <w:ilvl w:val="0"/>
          <w:numId w:val="2"/>
        </w:numPr>
        <w:spacing w:after="60"/>
      </w:pPr>
      <w:r>
        <w:rPr>
          <w:b/>
          <w:bCs/>
        </w:rPr>
        <w:t xml:space="preserve">PD catheter:</w:t>
      </w:r>
      <w:r>
        <w:t xml:space="preserve"> double-cuff silicone Tenckhoff catheter (straight or coiled; swan-neck for downward exit site); adult length per body habitus (pre-insertion marking with stencil).</w:t>
      </w:r>
    </w:p>
    <w:p>
      <w:pPr>
        <w:pStyle w:val="ListParagraph"/>
        <w:numPr>
          <w:ilvl w:val="0"/>
          <w:numId w:val="2"/>
        </w:numPr>
        <w:spacing w:after="60"/>
      </w:pPr>
      <w:r>
        <w:t xml:space="preserve">Percutaneous insertion kit: introducer needle, guidewire, dilator, peel-away sheath; or surgical/laparoscopic set; tunneller (stylet).</w:t>
      </w:r>
    </w:p>
    <w:p>
      <w:pPr>
        <w:pStyle w:val="ListParagraph"/>
        <w:numPr>
          <w:ilvl w:val="0"/>
          <w:numId w:val="2"/>
        </w:numPr>
        <w:spacing w:after="60"/>
      </w:pPr>
      <w:r>
        <w:t xml:space="preserve">Titanium adaptor, transfer set (extension line), sterile caps (mini-caps with povidone-iodine).</w:t>
      </w:r>
    </w:p>
    <w:p>
      <w:pPr>
        <w:pStyle w:val="ListParagraph"/>
        <w:numPr>
          <w:ilvl w:val="0"/>
          <w:numId w:val="2"/>
        </w:numPr>
        <w:spacing w:after="60"/>
      </w:pPr>
      <w:r>
        <w:t xml:space="preserve">PD solutions: glucose 1.5 %, 2.5 % and 4.25 % (dextrose monohydrate), icodextrin 7.5 % for long dwell, low-GDP / bicarbonate-lactate solutions where available; 2 L twin-bag (Y-set) systems for CAPD; APD cycler for APD.</w:t>
      </w:r>
    </w:p>
    <w:p>
      <w:pPr>
        <w:pStyle w:val="ListParagraph"/>
        <w:numPr>
          <w:ilvl w:val="0"/>
          <w:numId w:val="2"/>
        </w:numPr>
        <w:spacing w:after="60"/>
      </w:pPr>
      <w:r>
        <w:t xml:space="preserve">Heparin (1,000 IU/L of dialysate for fibrin), dialysate warmer, weighing scale, measuring jar, clamps, IV stand.</w:t>
      </w:r>
    </w:p>
    <w:p>
      <w:pPr>
        <w:pStyle w:val="ListParagraph"/>
        <w:numPr>
          <w:ilvl w:val="0"/>
          <w:numId w:val="2"/>
        </w:numPr>
        <w:spacing w:after="60"/>
      </w:pPr>
      <w:r>
        <w:t xml:space="preserve">Antiseptics: chlorhexidine 2 % / povidone-iodine 10 %; sterile gauze; exit-site dressing.</w:t>
      </w:r>
    </w:p>
    <w:p>
      <w:pPr>
        <w:pStyle w:val="ListParagraph"/>
        <w:numPr>
          <w:ilvl w:val="0"/>
          <w:numId w:val="2"/>
        </w:numPr>
        <w:spacing w:after="60"/>
      </w:pPr>
      <w:r>
        <w:t xml:space="preserve">Topical antibiotic for exit site: mupirocin 2 % or gentamicin 0.1 % cream.</w:t>
      </w:r>
    </w:p>
    <w:p>
      <w:pPr>
        <w:pStyle w:val="ListParagraph"/>
        <w:numPr>
          <w:ilvl w:val="0"/>
          <w:numId w:val="2"/>
        </w:numPr>
        <w:spacing w:after="60"/>
      </w:pPr>
      <w:r>
        <w:t xml:space="preserve">PPE: masks, sterile/clean gloves.</w:t>
      </w:r>
    </w:p>
    <w:p>
      <w:pPr>
        <w:pStyle w:val="Heading1"/>
      </w:pPr>
      <w:r>
        <w:t xml:space="preserve">8. Procedure</w:t>
      </w:r>
    </w:p>
    <w:p>
      <w:pPr>
        <w:pStyle w:val="Heading2"/>
      </w:pPr>
      <w:r>
        <w:t xml:space="preserve">8.1 Patient selection</w:t>
      </w:r>
    </w:p>
    <w:p>
      <w:pPr>
        <w:pStyle w:val="ListParagraph"/>
        <w:numPr>
          <w:ilvl w:val="0"/>
          <w:numId w:val="2"/>
        </w:numPr>
        <w:spacing w:after="60"/>
      </w:pPr>
      <w:r>
        <w:rPr>
          <w:b/>
          <w:bCs/>
        </w:rPr>
        <w:t xml:space="preserve">Acute PD (AKI):</w:t>
      </w:r>
      <w:r>
        <w:t xml:space="preserve"> suitable especially in resource-limited settings, haemodynamically unstable patients, children, coagulopathy, poor vascular access. ISPD 2020 AKI guideline: PD is a suitable modality for AKI in all settings.</w:t>
      </w:r>
    </w:p>
    <w:p>
      <w:pPr>
        <w:pStyle w:val="ListParagraph"/>
        <w:numPr>
          <w:ilvl w:val="0"/>
          <w:numId w:val="2"/>
        </w:numPr>
        <w:spacing w:after="60"/>
      </w:pPr>
      <w:r>
        <w:rPr>
          <w:b/>
          <w:bCs/>
        </w:rPr>
        <w:t xml:space="preserve">Chronic PD:</w:t>
      </w:r>
      <w:r>
        <w:t xml:space="preserve"> patient choice after counselling; preserved residual kidney function; desire for home therapy/independence; difficult vascular access; cardiac disease with poor tolerance of HD.</w:t>
      </w:r>
    </w:p>
    <w:p>
      <w:pPr>
        <w:pStyle w:val="ListParagraph"/>
        <w:numPr>
          <w:ilvl w:val="0"/>
          <w:numId w:val="2"/>
        </w:numPr>
        <w:spacing w:after="60"/>
      </w:pPr>
      <w:r>
        <w:rPr>
          <w:b/>
          <w:bCs/>
        </w:rPr>
        <w:t xml:space="preserve">Contraindications (absolute):</w:t>
      </w:r>
      <w:r>
        <w:t xml:space="preserve"> documented loss of peritoneal function or extensive adhesions; uncorrectable mechanical defects (e.g., surgically irreparable hernia, omphalocele, bladder exstrophy, diaphragmatic defect); recent abdominal surgery with drains or open wound; active intra-abdominal sepsis.</w:t>
      </w:r>
    </w:p>
    <w:p>
      <w:pPr>
        <w:pStyle w:val="ListParagraph"/>
        <w:numPr>
          <w:ilvl w:val="0"/>
          <w:numId w:val="2"/>
        </w:numPr>
        <w:spacing w:after="60"/>
      </w:pPr>
      <w:r>
        <w:rPr>
          <w:b/>
          <w:bCs/>
        </w:rPr>
        <w:t xml:space="preserve">Relative:</w:t>
      </w:r>
      <w:r>
        <w:t xml:space="preserve"> recent aortic graft, large polycystic kidneys, severe obesity, inflammatory bowel disease / diverticulitis, severe COPD, poor hygiene / no caregiver support for chronic PD, severe respiratory failure (acute PD), life-threatening hyperkalaemia or pulmonary oedema needing very rapid correction (HD preferred), hypercatabolic AKI where PD may not achieve adequacy.</w:t>
      </w:r>
    </w:p>
    <w:p>
      <w:pPr>
        <w:pStyle w:val="Heading2"/>
      </w:pPr>
      <w:r>
        <w:t xml:space="preserve">8.2 Pre-insertion preparation</w:t>
      </w:r>
    </w:p>
    <w:p>
      <w:pPr>
        <w:pStyle w:val="ListParagraph"/>
        <w:numPr>
          <w:ilvl w:val="0"/>
          <w:numId w:val="3"/>
        </w:numPr>
        <w:spacing w:after="60"/>
      </w:pPr>
      <w:r>
        <w:t xml:space="preserve">Counselling and informed written consent (insertion and PD therapy).</w:t>
      </w:r>
    </w:p>
    <w:p>
      <w:pPr>
        <w:pStyle w:val="ListParagraph"/>
        <w:numPr>
          <w:ilvl w:val="0"/>
          <w:numId w:val="3"/>
        </w:numPr>
        <w:spacing w:after="60"/>
      </w:pPr>
      <w:r>
        <w:t xml:space="preserve">Investigations: CBC, coagulation, RFT, electrolytes, blood group, viral serology (HBsAg, anti-HCV, HIV), urine output; ultrasound abdomen if indicated.</w:t>
      </w:r>
    </w:p>
    <w:p>
      <w:pPr>
        <w:pStyle w:val="ListParagraph"/>
        <w:numPr>
          <w:ilvl w:val="0"/>
          <w:numId w:val="3"/>
        </w:numPr>
        <w:spacing w:after="60"/>
      </w:pPr>
      <w:r>
        <w:t xml:space="preserve">Examine abdomen for hernias, scars, organomegaly; repair significant hernias at or before catheter insertion.</w:t>
      </w:r>
    </w:p>
    <w:p>
      <w:pPr>
        <w:pStyle w:val="ListParagraph"/>
        <w:numPr>
          <w:ilvl w:val="0"/>
          <w:numId w:val="3"/>
        </w:numPr>
        <w:spacing w:after="60"/>
      </w:pPr>
      <w:r>
        <w:rPr>
          <w:b/>
          <w:bCs/>
        </w:rPr>
        <w:t xml:space="preserve">Exit-site marking</w:t>
      </w:r>
      <w:r>
        <w:t xml:space="preserve"> with patient sitting and standing: away from belt line, skin folds and scars; visible to patient; exit directed laterally or downwards. Deep cuff in rectus sheath; superficial cuff 2–4 cm from exit site.</w:t>
      </w:r>
    </w:p>
    <w:p>
      <w:pPr>
        <w:pStyle w:val="ListParagraph"/>
        <w:numPr>
          <w:ilvl w:val="0"/>
          <w:numId w:val="3"/>
        </w:numPr>
        <w:spacing w:after="60"/>
      </w:pPr>
      <w:r>
        <w:t xml:space="preserve">Bowel preparation: treat constipation (e.g., lactulose / bisacodyl / enema the day before) – a loaded colon causes catheter malposition and outflow failure.</w:t>
      </w:r>
    </w:p>
    <w:p>
      <w:pPr>
        <w:pStyle w:val="ListParagraph"/>
        <w:numPr>
          <w:ilvl w:val="0"/>
          <w:numId w:val="3"/>
        </w:numPr>
        <w:spacing w:after="60"/>
      </w:pPr>
      <w:r>
        <w:t xml:space="preserve">Empty bladder immediately before procedure (catheterise if needed) to avoid bladder injury.</w:t>
      </w:r>
    </w:p>
    <w:p>
      <w:pPr>
        <w:pStyle w:val="ListParagraph"/>
        <w:numPr>
          <w:ilvl w:val="0"/>
          <w:numId w:val="3"/>
        </w:numPr>
        <w:spacing w:after="60"/>
      </w:pPr>
      <w:r>
        <w:t xml:space="preserve">Screen for nasal Staphylococcus aureus carriage where policy exists.</w:t>
      </w:r>
    </w:p>
    <w:p>
      <w:pPr>
        <w:pStyle w:val="ListParagraph"/>
        <w:numPr>
          <w:ilvl w:val="0"/>
          <w:numId w:val="3"/>
        </w:numPr>
        <w:spacing w:after="60"/>
      </w:pPr>
      <w:r>
        <w:rPr>
          <w:b/>
          <w:bCs/>
        </w:rPr>
        <w:t xml:space="preserve">Prophylactic antibiotic immediately before insertion</w:t>
      </w:r>
      <w:r>
        <w:t xml:space="preserve"> (ISPD 2022 – recommended): e.g., Cefazolin 1–2 g IV within 60 min before incision, or Vancomycin 1 g IV in MRSA-prevalent settings / β-lactam allergy.</w:t>
      </w:r>
    </w:p>
    <w:p>
      <w:pPr>
        <w:pStyle w:val="ListParagraph"/>
        <w:numPr>
          <w:ilvl w:val="0"/>
          <w:numId w:val="3"/>
        </w:numPr>
        <w:spacing w:after="60"/>
      </w:pPr>
      <w:r>
        <w:t xml:space="preserve">Bleeding risk: SIR 2019 – PD catheter insertion is low-to-moderate risk; INR ≤ 1.5–2.0, platelets ≥ 50 × 10⁹/L; hold anticoagulants as per protocol.</w:t>
      </w:r>
    </w:p>
    <w:p>
      <w:pPr>
        <w:pStyle w:val="ListParagraph"/>
        <w:numPr>
          <w:ilvl w:val="0"/>
          <w:numId w:val="3"/>
        </w:numPr>
        <w:spacing w:after="60"/>
      </w:pPr>
      <w:r>
        <w:t xml:space="preserve">Time-out / WHO Surgical Safety Checklist.</w:t>
      </w:r>
    </w:p>
    <w:p>
      <w:pPr>
        <w:pStyle w:val="Heading2"/>
      </w:pPr>
      <w:r>
        <w:t xml:space="preserve">8.3 Catheter insertion – percutaneous Seldinger technique (nephrologist)</w:t>
      </w:r>
    </w:p>
    <w:p>
      <w:pPr>
        <w:pStyle w:val="ListParagraph"/>
        <w:numPr>
          <w:ilvl w:val="0"/>
          <w:numId w:val="4"/>
        </w:numPr>
        <w:spacing w:after="60"/>
      </w:pPr>
      <w:r>
        <w:t xml:space="preserve">Supine position; skin prepared with chlorhexidine–alcohol; full sterile draping; operator in sterile gown, gloves, cap and mask.</w:t>
      </w:r>
    </w:p>
    <w:p>
      <w:pPr>
        <w:pStyle w:val="ListParagraph"/>
        <w:numPr>
          <w:ilvl w:val="0"/>
          <w:numId w:val="4"/>
        </w:numPr>
        <w:spacing w:after="60"/>
      </w:pPr>
      <w:r>
        <w:t xml:space="preserve">Local anaesthesia (lignocaine 1–2 %) at the paramedian insertion site (typically 2–3 cm below and lateral to umbilicus, through rectus muscle); ultrasound to avoid inferior epigastric vessels and bowel.</w:t>
      </w:r>
    </w:p>
    <w:p>
      <w:pPr>
        <w:pStyle w:val="ListParagraph"/>
        <w:numPr>
          <w:ilvl w:val="0"/>
          <w:numId w:val="4"/>
        </w:numPr>
        <w:spacing w:after="60"/>
      </w:pPr>
      <w:r>
        <w:t xml:space="preserve">Small skin incision (2–3 cm); blunt dissection to the anterior rectus sheath.</w:t>
      </w:r>
    </w:p>
    <w:p>
      <w:pPr>
        <w:pStyle w:val="ListParagraph"/>
        <w:numPr>
          <w:ilvl w:val="0"/>
          <w:numId w:val="4"/>
        </w:numPr>
        <w:spacing w:after="60"/>
      </w:pPr>
      <w:r>
        <w:t xml:space="preserve">Insert introducer needle into the peritoneal cavity; instil 1–1.5 L of warmed PD fluid (optional) to create a fluid cushion; pass guidewire (fluoroscopy confirms pelvic position), then dilator and peel-away sheath.</w:t>
      </w:r>
    </w:p>
    <w:p>
      <w:pPr>
        <w:pStyle w:val="ListParagraph"/>
        <w:numPr>
          <w:ilvl w:val="0"/>
          <w:numId w:val="4"/>
        </w:numPr>
        <w:spacing w:after="60"/>
      </w:pPr>
      <w:r>
        <w:t xml:space="preserve">Advance catheter (on stylet) through the sheath directed towards the pelvis (pouch of Douglas / rectovesical pouch); peel away sheath; position deep cuff within / just above the rectus sheath.</w:t>
      </w:r>
    </w:p>
    <w:p>
      <w:pPr>
        <w:pStyle w:val="ListParagraph"/>
        <w:numPr>
          <w:ilvl w:val="0"/>
          <w:numId w:val="4"/>
        </w:numPr>
        <w:spacing w:after="60"/>
      </w:pPr>
      <w:r>
        <w:t xml:space="preserve">Create subcutaneous tunnel with tunneller to the pre-marked exit site; superficial cuff 2–4 cm from exit; exit site skin opening just big enough for the catheter (no sutures at exit site).</w:t>
      </w:r>
    </w:p>
    <w:p>
      <w:pPr>
        <w:pStyle w:val="ListParagraph"/>
        <w:numPr>
          <w:ilvl w:val="0"/>
          <w:numId w:val="4"/>
        </w:numPr>
        <w:spacing w:after="60"/>
      </w:pPr>
      <w:r>
        <w:t xml:space="preserve">Test inflow/outflow with 500–1,000 mL of PD fluid: good inflow and brisk outflow confirm position. Close incision in layers.</w:t>
      </w:r>
    </w:p>
    <w:p>
      <w:pPr>
        <w:pStyle w:val="ListParagraph"/>
        <w:numPr>
          <w:ilvl w:val="0"/>
          <w:numId w:val="4"/>
        </w:numPr>
        <w:spacing w:after="60"/>
      </w:pPr>
      <w:r>
        <w:t xml:space="preserve">Attach titanium adaptor and transfer set; apply sterile non-occlusive dressing; immobilise catheter.</w:t>
      </w:r>
    </w:p>
    <w:p>
      <w:pPr>
        <w:spacing w:after="100"/>
      </w:pPr>
      <w:r>
        <w:t xml:space="preserve">Open surgical or laparoscopic insertion (with rectus sheath tunnelling, omentopexy or adhesiolysis as needed) is preferred in patients with previous abdominal surgery, obesity or previous catheter failure (ISPD 2019 catheter guideline).</w:t>
      </w:r>
    </w:p>
    <w:p>
      <w:pPr>
        <w:pStyle w:val="Heading2"/>
      </w:pPr>
      <w:r>
        <w:t xml:space="preserve">8.4 Post-insertion care &amp; break-in period</w:t>
      </w:r>
    </w:p>
    <w:p>
      <w:pPr>
        <w:pStyle w:val="ListParagraph"/>
        <w:numPr>
          <w:ilvl w:val="0"/>
          <w:numId w:val="2"/>
        </w:numPr>
        <w:spacing w:after="60"/>
      </w:pPr>
      <w:r>
        <w:rPr>
          <w:b/>
          <w:bCs/>
        </w:rPr>
        <w:t xml:space="preserve">Planned PD:</w:t>
      </w:r>
      <w:r>
        <w:t xml:space="preserve"> ideally rest the catheter for </w:t>
      </w:r>
      <w:r>
        <w:rPr>
          <w:b/>
          <w:bCs/>
        </w:rPr>
        <w:t xml:space="preserve">≥ 2 weeks</w:t>
      </w:r>
      <w:r>
        <w:t xml:space="preserve"> before starting full-volume exchanges to allow healing (lower leak risk). Flush weekly with 500–1,000 mL dialysate (± heparin 500–1,000 IU/L) to maintain patency.</w:t>
      </w:r>
    </w:p>
    <w:p>
      <w:pPr>
        <w:pStyle w:val="ListParagraph"/>
        <w:numPr>
          <w:ilvl w:val="0"/>
          <w:numId w:val="2"/>
        </w:numPr>
        <w:spacing w:after="60"/>
      </w:pPr>
      <w:r>
        <w:rPr>
          <w:b/>
          <w:bCs/>
        </w:rPr>
        <w:t xml:space="preserve">Urgent-start PD (within 72 h – 2 weeks):</w:t>
      </w:r>
      <w:r>
        <w:t xml:space="preserve"> start with </w:t>
      </w:r>
      <w:r>
        <w:rPr>
          <w:b/>
          <w:bCs/>
        </w:rPr>
        <w:t xml:space="preserve">low-volume supine exchanges</w:t>
      </w:r>
      <w:r>
        <w:t xml:space="preserve"> (500–1,000 mL, increased gradually to 1.5–2 L over 1–2 weeks), preferably APD/nightly in hospital; avoid sitting/standing with a full abdomen to minimise leak; monitor for leak at exit site.</w:t>
      </w:r>
    </w:p>
    <w:p>
      <w:pPr>
        <w:pStyle w:val="ListParagraph"/>
        <w:numPr>
          <w:ilvl w:val="0"/>
          <w:numId w:val="2"/>
        </w:numPr>
        <w:spacing w:after="60"/>
      </w:pPr>
      <w:r>
        <w:t xml:space="preserve">Do not change the initial dressing for 5–7 days unless soiled or wet; thereafter exit-site care daily or alternate days; no showering until exit site has healed (usually 2–3 weeks).</w:t>
      </w:r>
    </w:p>
    <w:p>
      <w:pPr>
        <w:pStyle w:val="ListParagraph"/>
        <w:numPr>
          <w:ilvl w:val="0"/>
          <w:numId w:val="2"/>
        </w:numPr>
        <w:spacing w:after="60"/>
      </w:pPr>
      <w:r>
        <w:t xml:space="preserve">Keep catheter immobilised; avoid constipation; avoid straining/lifting heavy weights.</w:t>
      </w:r>
    </w:p>
    <w:p>
      <w:pPr>
        <w:pStyle w:val="Heading2"/>
      </w:pPr>
      <w:r>
        <w:t xml:space="preserve">8.5 Performing a PD exchange (twin-bag, “flush-before-fill”)</w:t>
      </w:r>
    </w:p>
    <w:p>
      <w:pPr>
        <w:pStyle w:val="ListParagraph"/>
        <w:numPr>
          <w:ilvl w:val="0"/>
          <w:numId w:val="5"/>
        </w:numPr>
        <w:spacing w:after="60"/>
      </w:pPr>
      <w:r>
        <w:t xml:space="preserve">Prepare clean area, close windows/fans; gather supplies; check bag: concentration, volume, expiry, clarity, leaks; warm bag to body temperature (37 °C) in dry warmer.</w:t>
      </w:r>
    </w:p>
    <w:p>
      <w:pPr>
        <w:pStyle w:val="ListParagraph"/>
        <w:numPr>
          <w:ilvl w:val="0"/>
          <w:numId w:val="5"/>
        </w:numPr>
        <w:spacing w:after="60"/>
      </w:pPr>
      <w:r>
        <w:t xml:space="preserve">Wear mask (patient and operator). Perform thorough hand-washing (≥ 40–60 s) and dry with clean towel; apply alcohol hand-rub.</w:t>
      </w:r>
    </w:p>
    <w:p>
      <w:pPr>
        <w:pStyle w:val="ListParagraph"/>
        <w:numPr>
          <w:ilvl w:val="0"/>
          <w:numId w:val="5"/>
        </w:numPr>
        <w:spacing w:after="60"/>
      </w:pPr>
      <w:r>
        <w:t xml:space="preserve">Connect the new twin-bag set to the transfer set using strict no-touch technique (do not touch the sterile tips).</w:t>
      </w:r>
    </w:p>
    <w:p>
      <w:pPr>
        <w:pStyle w:val="ListParagraph"/>
        <w:numPr>
          <w:ilvl w:val="0"/>
          <w:numId w:val="5"/>
        </w:numPr>
        <w:spacing w:after="60"/>
      </w:pPr>
      <w:r>
        <w:rPr>
          <w:b/>
          <w:bCs/>
        </w:rPr>
        <w:t xml:space="preserve">Drain:</w:t>
      </w:r>
      <w:r>
        <w:t xml:space="preserve"> open transfer set and drain effluent into the drain bag (15–20 min). Inspect effluent – note clarity, colour, fibrin.</w:t>
      </w:r>
    </w:p>
    <w:p>
      <w:pPr>
        <w:pStyle w:val="ListParagraph"/>
        <w:numPr>
          <w:ilvl w:val="0"/>
          <w:numId w:val="5"/>
        </w:numPr>
        <w:spacing w:after="60"/>
      </w:pPr>
      <w:r>
        <w:rPr>
          <w:b/>
          <w:bCs/>
        </w:rPr>
        <w:t xml:space="preserve">Flush-before-fill:</w:t>
      </w:r>
      <w:r>
        <w:t xml:space="preserve"> with transfer set clamped, break the frangible and allow ~100 mL fresh solution to flow directly into the drain bag for 5 s (flushes air and contaminants).</w:t>
      </w:r>
    </w:p>
    <w:p>
      <w:pPr>
        <w:pStyle w:val="ListParagraph"/>
        <w:numPr>
          <w:ilvl w:val="0"/>
          <w:numId w:val="5"/>
        </w:numPr>
        <w:spacing w:after="60"/>
      </w:pPr>
      <w:r>
        <w:rPr>
          <w:b/>
          <w:bCs/>
        </w:rPr>
        <w:t xml:space="preserve">Fill:</w:t>
      </w:r>
      <w:r>
        <w:t xml:space="preserve"> clamp drain line, open transfer set and fill fresh dialysate (~10 min).</w:t>
      </w:r>
    </w:p>
    <w:p>
      <w:pPr>
        <w:pStyle w:val="ListParagraph"/>
        <w:numPr>
          <w:ilvl w:val="0"/>
          <w:numId w:val="5"/>
        </w:numPr>
        <w:spacing w:after="60"/>
      </w:pPr>
      <w:r>
        <w:t xml:space="preserve">Close transfer set, disconnect, apply new sterile mini-cap (povidone-iodine) without touching.</w:t>
      </w:r>
    </w:p>
    <w:p>
      <w:pPr>
        <w:pStyle w:val="ListParagraph"/>
        <w:numPr>
          <w:ilvl w:val="0"/>
          <w:numId w:val="5"/>
        </w:numPr>
        <w:spacing w:after="60"/>
      </w:pPr>
      <w:r>
        <w:t xml:space="preserve">Weigh / measure drained effluent; record volume in, volume out, net UF, and appearance on PD chart.</w:t>
      </w:r>
    </w:p>
    <w:p>
      <w:pPr>
        <w:pStyle w:val="ListParagraph"/>
        <w:numPr>
          <w:ilvl w:val="0"/>
          <w:numId w:val="5"/>
        </w:numPr>
        <w:spacing w:after="60"/>
      </w:pPr>
      <w:r>
        <w:t xml:space="preserve">Dispose of effluent in toilet / sluice and bags in BMW (yellow/red) category as per rules.</w:t>
      </w:r>
    </w:p>
    <w:p>
      <w:pPr>
        <w:pStyle w:val="Heading2"/>
      </w:pPr>
      <w:r>
        <w:t xml:space="preserve">8.6 PD prescription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68"/>
        <w:gridCol w:w="3353"/>
      </w:tblGrid>
      <w:tr>
        <w:trPr>
          <w:tblHeader/>
        </w:trPr>
        <w:tc>
          <w:tcPr>
            <w:tcW w:type="dxa" w:w="1805"/>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Setting</w:t>
            </w:r>
          </w:p>
        </w:tc>
        <w:tc>
          <w:tcPr>
            <w:tcW w:type="dxa" w:w="3868"/>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Initial prescription</w:t>
            </w:r>
          </w:p>
        </w:tc>
        <w:tc>
          <w:tcPr>
            <w:tcW w:type="dxa" w:w="3353"/>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Targets / adjustments</w:t>
            </w:r>
          </w:p>
        </w:tc>
      </w:tr>
      <w:tr>
        <w:trPr>
          <w:cantSplit/>
        </w:trPr>
        <w:tc>
          <w:tcPr>
            <w:tcW w:type="dxa" w:w="180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Acute PD for AKI (ISPD 2020)</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Exchange volume 1–2 L (start lower if fresh catheter); dwell 1–2 h (cycle 2–3 h including inflow/outflow) using manual exchanges or cycler; 1.5 % glucose, increase to 2.5 %/4.25 % for UF as needed; continuous over 24 h.</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Target </w:t>
            </w:r>
            <w:r>
              <w:rPr>
                <w:b/>
                <w:bCs/>
                <w:sz w:val="20"/>
                <w:szCs w:val="20"/>
              </w:rPr>
              <w:t xml:space="preserve">weekly Kt/V urea 3.5</w:t>
            </w:r>
            <w:r>
              <w:rPr>
                <w:sz w:val="20"/>
                <w:szCs w:val="20"/>
              </w:rPr>
              <w:t xml:space="preserve"> (comparable to daily HD); monitor K⁺ (add KCl 3–4 mmol/L to bags if K⁺ &lt; 4), glucose, Na⁺, fluid balance; consider HD/CRRT if inadequate.</w:t>
            </w:r>
          </w:p>
        </w:tc>
      </w:tr>
      <w:tr>
        <w:trPr>
          <w:cantSplit/>
        </w:trPr>
        <w:tc>
          <w:tcPr>
            <w:tcW w:type="dxa" w:w="180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Chronic CAPD</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4 exchanges/day × 2 L (1.5 % × 3 + 2.5 % or icodextrin for long overnight dwell); individualise to residual kidney function – incremental PD (2–3 exchanges/day) acceptable if RKF good.</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ISPD 2020: goal-directed, person-centred prescribing; weekly Kt/V urea ≥ 1.7 (total) as a minimum guide; monitor UF, BP, volume, symptoms, nutrition.</w:t>
            </w:r>
          </w:p>
        </w:tc>
      </w:tr>
      <w:tr>
        <w:trPr>
          <w:cantSplit/>
        </w:trPr>
        <w:tc>
          <w:tcPr>
            <w:tcW w:type="dxa" w:w="180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APD</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Night: 3–5 cycles × 2 L over 8–10 h; ± day dwell (icodextrin).</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Adjust per peritoneal transport (PET) and clinical goals.</w:t>
            </w:r>
          </w:p>
        </w:tc>
      </w:tr>
    </w:tbl>
    <w:p>
      <w:pPr>
        <w:spacing w:after="80"/>
      </w:pPr>
    </w:p>
    <w:p>
      <w:pPr>
        <w:pBdr>
          <w:left w:val="single" w:color="E69500" w:sz="18" w:space="6"/>
        </w:pBdr>
        <w:shd w:fill="FFF4E5" w:color="auto" w:val="clear"/>
        <w:spacing w:after="120" w:before="80"/>
        <w:ind w:left="120"/>
      </w:pPr>
      <w:r>
        <w:t xml:space="preserve">Use the lowest glucose concentration that achieves the volume target; minimise 4.25 % glucose exposure (peritoneal membrane damage, hyperglycaemia). Icodextrin interferes with some glucometers (falsely high readings with GDH-PQQ strips) – use glucose-specific method.</w:t>
      </w:r>
    </w:p>
    <w:p>
      <w:pPr>
        <w:pStyle w:val="Heading2"/>
      </w:pPr>
      <w:r>
        <w:t xml:space="preserve">8.7 Monitoring during initiation</w:t>
      </w:r>
    </w:p>
    <w:p>
      <w:pPr>
        <w:pStyle w:val="ListParagraph"/>
        <w:numPr>
          <w:ilvl w:val="0"/>
          <w:numId w:val="2"/>
        </w:numPr>
        <w:spacing w:after="60"/>
      </w:pPr>
      <w:r>
        <w:t xml:space="preserve">Vitals 4–6 hourly (hourly in acute PD in ICU); strict intake-output and cumulative UF; daily weight.</w:t>
      </w:r>
    </w:p>
    <w:p>
      <w:pPr>
        <w:pStyle w:val="ListParagraph"/>
        <w:numPr>
          <w:ilvl w:val="0"/>
          <w:numId w:val="2"/>
        </w:numPr>
        <w:spacing w:after="60"/>
      </w:pPr>
      <w:r>
        <w:t xml:space="preserve">Daily urea, creatinine, electrolytes (Na⁺, K⁺), glucose 6-hourly (diabetics), every alternate day albumin/phosphate in acute PD.</w:t>
      </w:r>
    </w:p>
    <w:p>
      <w:pPr>
        <w:pStyle w:val="ListParagraph"/>
        <w:numPr>
          <w:ilvl w:val="0"/>
          <w:numId w:val="2"/>
        </w:numPr>
        <w:spacing w:after="60"/>
      </w:pPr>
      <w:r>
        <w:t xml:space="preserve">Effluent: inspect every bag; send cell count, Gram stain and culture if cloudy or abdominal pain.</w:t>
      </w:r>
    </w:p>
    <w:p>
      <w:pPr>
        <w:pStyle w:val="ListParagraph"/>
        <w:numPr>
          <w:ilvl w:val="0"/>
          <w:numId w:val="2"/>
        </w:numPr>
        <w:spacing w:after="60"/>
      </w:pPr>
      <w:r>
        <w:t xml:space="preserve">Exit site: daily inspection for redness, discharge, tenderness, crust, granulation; leak (test fluid with glucose strip).</w:t>
      </w:r>
    </w:p>
    <w:p>
      <w:pPr>
        <w:pStyle w:val="ListParagraph"/>
        <w:numPr>
          <w:ilvl w:val="0"/>
          <w:numId w:val="2"/>
        </w:numPr>
        <w:spacing w:after="60"/>
      </w:pPr>
      <w:r>
        <w:t xml:space="preserve">Baseline Peritoneal Equilibration Test (PET) 4–6 weeks after starting chronic PD; Kt/V and creatinine clearance within first month and every 4–6 months; residual urine volume every 3 months.</w:t>
      </w:r>
    </w:p>
    <w:p>
      <w:pPr>
        <w:pStyle w:val="Heading2"/>
      </w:pPr>
      <w:r>
        <w:t xml:space="preserve">8.8 Exit-site care &amp; infection prevention (ISPD 2022/2023)</w:t>
      </w:r>
    </w:p>
    <w:p>
      <w:pPr>
        <w:pStyle w:val="ListParagraph"/>
        <w:numPr>
          <w:ilvl w:val="0"/>
          <w:numId w:val="2"/>
        </w:numPr>
        <w:spacing w:after="60"/>
      </w:pPr>
      <w:r>
        <w:t xml:space="preserve">Clean exit site daily (once healed) with soap and water or antiseptic (chlorhexidine / povidone-iodine); pat dry; apply </w:t>
      </w:r>
      <w:r>
        <w:rPr>
          <w:b/>
          <w:bCs/>
        </w:rPr>
        <w:t xml:space="preserve">topical antibiotic cream (mupirocin 2 % or gentamicin 0.1 %) daily</w:t>
      </w:r>
      <w:r>
        <w:t xml:space="preserve"> to exit site; cover with gauze.</w:t>
      </w:r>
    </w:p>
    <w:p>
      <w:pPr>
        <w:pStyle w:val="ListParagraph"/>
        <w:numPr>
          <w:ilvl w:val="0"/>
          <w:numId w:val="2"/>
        </w:numPr>
        <w:spacing w:after="60"/>
      </w:pPr>
      <w:r>
        <w:t xml:space="preserve">Secure catheter to avoid pulling/trauma; never use scissors near catheter.</w:t>
      </w:r>
    </w:p>
    <w:p>
      <w:pPr>
        <w:pStyle w:val="ListParagraph"/>
        <w:numPr>
          <w:ilvl w:val="0"/>
          <w:numId w:val="2"/>
        </w:numPr>
        <w:spacing w:after="60"/>
      </w:pPr>
      <w:r>
        <w:t xml:space="preserve">Change transfer set every 6 months or if contaminated.</w:t>
      </w:r>
    </w:p>
    <w:p>
      <w:pPr>
        <w:pStyle w:val="ListParagraph"/>
        <w:numPr>
          <w:ilvl w:val="0"/>
          <w:numId w:val="2"/>
        </w:numPr>
        <w:spacing w:after="60"/>
      </w:pPr>
      <w:r>
        <w:t xml:space="preserve">Prophylactic antibiotics before invasive procedures: colonoscopy with polypectomy, gynaecological procedures (drain abdomen before); dental procedures as per ISPD.</w:t>
      </w:r>
    </w:p>
    <w:p>
      <w:pPr>
        <w:pStyle w:val="ListParagraph"/>
        <w:numPr>
          <w:ilvl w:val="0"/>
          <w:numId w:val="2"/>
        </w:numPr>
        <w:spacing w:after="60"/>
      </w:pPr>
      <w:r>
        <w:rPr>
          <w:b/>
          <w:bCs/>
        </w:rPr>
        <w:t xml:space="preserve">Touch contamination:</w:t>
      </w:r>
      <w:r>
        <w:t xml:space="preserve"> if the system is opened/contaminated – clamp, cover, change transfer set; consider prophylactic antibiotic if contamination occurred during infusion.</w:t>
      </w:r>
    </w:p>
    <w:p>
      <w:pPr>
        <w:pStyle w:val="ListParagraph"/>
        <w:numPr>
          <w:ilvl w:val="0"/>
          <w:numId w:val="2"/>
        </w:numPr>
        <w:spacing w:after="60"/>
      </w:pPr>
      <w:r>
        <w:t xml:space="preserve">Training: PD nurse trains patient/caregiver (typically 5–10 days) and assesses competency with a checklist before discharge; retraining after peritonitis, catheter infection, hospitalisation or change in dexterity/vision.</w:t>
      </w:r>
    </w:p>
    <w:p>
      <w:pPr>
        <w:pStyle w:val="Heading2"/>
      </w:pPr>
      <w:r>
        <w:t xml:space="preserve">8.9 Early complications and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37"/>
        <w:gridCol w:w="4384"/>
      </w:tblGrid>
      <w:tr>
        <w:trPr>
          <w:tblHeader/>
        </w:trPr>
        <w:tc>
          <w:tcPr>
            <w:tcW w:type="dxa" w:w="1805"/>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Complication</w:t>
            </w:r>
          </w:p>
        </w:tc>
        <w:tc>
          <w:tcPr>
            <w:tcW w:type="dxa" w:w="283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Recognition</w:t>
            </w:r>
          </w:p>
        </w:tc>
        <w:tc>
          <w:tcPr>
            <w:tcW w:type="dxa" w:w="4384"/>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Management</w:t>
            </w:r>
          </w:p>
        </w:tc>
      </w:tr>
      <w:tr>
        <w:trPr>
          <w:cantSplit/>
        </w:trPr>
        <w:tc>
          <w:tcPr>
            <w:tcW w:type="dxa" w:w="180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Peritonitis</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Any 2 of: abdominal pain / cloudy effluent; effluent WBC &gt; 100/µL (after dwell ≥ 2 h) with &gt; 50 % neutrophils; positive culture</w:t>
            </w:r>
          </w:p>
        </w:tc>
        <w:tc>
          <w:tcPr>
            <w:tcW w:type="dxa" w:w="438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Send effluent (cell count, Gram stain, culture in blood-culture bottles – 5–10 mL); start </w:t>
            </w:r>
            <w:r>
              <w:rPr>
                <w:b/>
                <w:bCs/>
                <w:sz w:val="20"/>
                <w:szCs w:val="20"/>
              </w:rPr>
              <w:t xml:space="preserve">empirical intraperitoneal antibiotics immediately</w:t>
            </w:r>
            <w:r>
              <w:rPr>
                <w:sz w:val="20"/>
                <w:szCs w:val="20"/>
              </w:rPr>
              <w:t xml:space="preserve"> covering Gram-positive (vancomycin or 1st-gen cephalosporin) and Gram-negative (ceftazidime / cefepime or aminoglycoside) per ISPD 2022; adjust by culture; duration 2–3 weeks; remove catheter for refractory (no clearing by day 5), relapsing, fungal peritonitis.</w:t>
            </w:r>
          </w:p>
        </w:tc>
      </w:tr>
      <w:tr>
        <w:trPr>
          <w:cantSplit/>
        </w:trPr>
        <w:tc>
          <w:tcPr>
            <w:tcW w:type="dxa" w:w="180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Outflow failure</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Poor drainage, inflow OK</w:t>
            </w:r>
          </w:p>
        </w:tc>
        <w:tc>
          <w:tcPr>
            <w:tcW w:type="dxa" w:w="438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Treat constipation, change position, heparin in bag for fibrin, abdominal X-ray for migration; fluoroscopic / laparoscopic repositioning if persistent.</w:t>
            </w:r>
          </w:p>
        </w:tc>
      </w:tr>
      <w:tr>
        <w:trPr>
          <w:cantSplit/>
        </w:trPr>
        <w:tc>
          <w:tcPr>
            <w:tcW w:type="dxa" w:w="180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Pericatheter leak</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Fluid at exit site (positive glucose test)</w:t>
            </w:r>
          </w:p>
        </w:tc>
        <w:tc>
          <w:tcPr>
            <w:tcW w:type="dxa" w:w="438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Stop PD or reduce to low-volume supine exchanges for 1–3 weeks; temporary HD if needed.</w:t>
            </w:r>
          </w:p>
        </w:tc>
      </w:tr>
      <w:tr>
        <w:trPr>
          <w:cantSplit/>
        </w:trPr>
        <w:tc>
          <w:tcPr>
            <w:tcW w:type="dxa" w:w="180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Bleeding / haemoperitoneum</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Blood-stained effluent</w:t>
            </w:r>
          </w:p>
        </w:tc>
        <w:tc>
          <w:tcPr>
            <w:tcW w:type="dxa" w:w="438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Usually settles with rapid exchanges at room temperature + heparin 500 IU/L to prevent clots; correct coagulopathy; surgical opinion if persistent.</w:t>
            </w:r>
          </w:p>
        </w:tc>
      </w:tr>
      <w:tr>
        <w:trPr>
          <w:cantSplit/>
        </w:trPr>
        <w:tc>
          <w:tcPr>
            <w:tcW w:type="dxa" w:w="180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Bowel / bladder perforation</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Faecal effluent, polymicrobial culture, diarrhoea with effluent; glycosuria with urgency</w:t>
            </w:r>
          </w:p>
        </w:tc>
        <w:tc>
          <w:tcPr>
            <w:tcW w:type="dxa" w:w="438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Stop PD, surgical consultation, catheter removal, broad-spectrum antibiotics.</w:t>
            </w:r>
          </w:p>
        </w:tc>
      </w:tr>
      <w:tr>
        <w:trPr>
          <w:cantSplit/>
        </w:trPr>
        <w:tc>
          <w:tcPr>
            <w:tcW w:type="dxa" w:w="180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Hydrothorax</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Dyspnoea, pleural effusion, high pleural glucose</w:t>
            </w:r>
          </w:p>
        </w:tc>
        <w:tc>
          <w:tcPr>
            <w:tcW w:type="dxa" w:w="438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Stop PD, temporary HD; pleurodesis / surgical repair.</w:t>
            </w:r>
          </w:p>
        </w:tc>
      </w:tr>
      <w:tr>
        <w:trPr>
          <w:cantSplit/>
        </w:trPr>
        <w:tc>
          <w:tcPr>
            <w:tcW w:type="dxa" w:w="180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Exit-site infection</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Purulent discharge ± erythema</w:t>
            </w:r>
          </w:p>
        </w:tc>
        <w:tc>
          <w:tcPr>
            <w:tcW w:type="dxa" w:w="438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Swab culture; oral antibiotics (e.g., cephalexin; ciprofloxacin for Pseudomonas) ≥ 2–3 weeks; intensify exit-site care.</w:t>
            </w:r>
          </w:p>
        </w:tc>
      </w:tr>
    </w:tbl>
    <w:p>
      <w:pPr>
        <w:spacing w:after="80"/>
      </w:pPr>
    </w:p>
    <w:p>
      <w:pPr>
        <w:pStyle w:val="Heading1"/>
      </w:pPr>
      <w:r>
        <w:t xml:space="preserve">9. Forms &amp; Documents</w:t>
      </w:r>
    </w:p>
    <w:p>
      <w:pPr>
        <w:pStyle w:val="ListParagraph"/>
        <w:numPr>
          <w:ilvl w:val="0"/>
          <w:numId w:val="2"/>
        </w:numPr>
        <w:spacing w:after="60"/>
      </w:pPr>
      <w:r>
        <w:t xml:space="preserve">Informed consent – PD catheter insertion and PD therapy (FORM/AKD/07).</w:t>
      </w:r>
    </w:p>
    <w:p>
      <w:pPr>
        <w:pStyle w:val="ListParagraph"/>
        <w:numPr>
          <w:ilvl w:val="0"/>
          <w:numId w:val="2"/>
        </w:numPr>
        <w:spacing w:after="60"/>
      </w:pPr>
      <w:r>
        <w:t xml:space="preserve">Pre-insertion checklist (exit-site marking, bowel prep, prophylaxis) &amp; WHO Surgical Safety Checklist.</w:t>
      </w:r>
    </w:p>
    <w:p>
      <w:pPr>
        <w:pStyle w:val="ListParagraph"/>
        <w:numPr>
          <w:ilvl w:val="0"/>
          <w:numId w:val="2"/>
        </w:numPr>
        <w:spacing w:after="60"/>
      </w:pPr>
      <w:r>
        <w:t xml:space="preserve">PD exchange chart (in/out volumes, concentration, UF, effluent appearance) (FORM/AKD/08).</w:t>
      </w:r>
    </w:p>
    <w:p>
      <w:pPr>
        <w:pStyle w:val="ListParagraph"/>
        <w:numPr>
          <w:ilvl w:val="0"/>
          <w:numId w:val="2"/>
        </w:numPr>
        <w:spacing w:after="60"/>
      </w:pPr>
      <w:r>
        <w:t xml:space="preserve">Exit-site assessment &amp; score chart; PD training competency checklist; home visit form.</w:t>
      </w:r>
    </w:p>
    <w:p>
      <w:pPr>
        <w:pStyle w:val="ListParagraph"/>
        <w:numPr>
          <w:ilvl w:val="0"/>
          <w:numId w:val="2"/>
        </w:numPr>
        <w:spacing w:after="60"/>
      </w:pPr>
      <w:r>
        <w:t xml:space="preserve">Peritonitis &amp; exit-site infection register; PET and adequacy record.</w:t>
      </w:r>
    </w:p>
    <w:p>
      <w:pPr>
        <w:pStyle w:val="Heading1"/>
      </w:pPr>
      <w:r>
        <w:t xml:space="preserve">10. References</w:t>
      </w:r>
    </w:p>
    <w:p>
      <w:pPr>
        <w:pStyle w:val="ListParagraph"/>
        <w:numPr>
          <w:ilvl w:val="0"/>
          <w:numId w:val="6"/>
        </w:numPr>
        <w:spacing w:after="60"/>
      </w:pPr>
      <w:r>
        <w:t xml:space="preserve">Cullis B, Al-Hwiesh A, Divino-Filho JC, et al. ISPD guidelines for peritoneal dialysis in acute kidney injury: 2020 update (adults). Perit Dial Int. 2021;41:15–31.</w:t>
      </w:r>
    </w:p>
    <w:p>
      <w:pPr>
        <w:pStyle w:val="ListParagraph"/>
        <w:numPr>
          <w:ilvl w:val="0"/>
          <w:numId w:val="6"/>
        </w:numPr>
        <w:spacing w:after="60"/>
      </w:pPr>
      <w:r>
        <w:t xml:space="preserve">Li PK, Chow KM, Cho Y, et al. ISPD peritonitis guideline recommendations: 2022 update on prevention and treatment. Perit Dial Int. 2022;42:110–153.</w:t>
      </w:r>
    </w:p>
    <w:p>
      <w:pPr>
        <w:pStyle w:val="ListParagraph"/>
        <w:numPr>
          <w:ilvl w:val="0"/>
          <w:numId w:val="6"/>
        </w:numPr>
        <w:spacing w:after="60"/>
      </w:pPr>
      <w:r>
        <w:t xml:space="preserve">Chow KM, Li PK, Cho Y, et al. ISPD Catheter-related Infection Recommendations: 2023 Update. Perit Dial Int. 2023;43:201–219.</w:t>
      </w:r>
    </w:p>
    <w:p>
      <w:pPr>
        <w:pStyle w:val="ListParagraph"/>
        <w:numPr>
          <w:ilvl w:val="0"/>
          <w:numId w:val="6"/>
        </w:numPr>
        <w:spacing w:after="60"/>
      </w:pPr>
      <w:r>
        <w:t xml:space="preserve">Crabtree JH, Shrestha BM, Chow KM, et al. Creating and Maintaining Optimal Peritoneal Dialysis Access in the Adult Patient: 2019 Update. Perit Dial Int. 2019;39:414–436.</w:t>
      </w:r>
    </w:p>
    <w:p>
      <w:pPr>
        <w:pStyle w:val="ListParagraph"/>
        <w:numPr>
          <w:ilvl w:val="0"/>
          <w:numId w:val="6"/>
        </w:numPr>
        <w:spacing w:after="60"/>
      </w:pPr>
      <w:r>
        <w:t xml:space="preserve">Brown EA, Blake PG, Boudville N, et al. International Society for Peritoneal Dialysis practice recommendations: Prescribing high-quality goal-directed peritoneal dialysis. Perit Dial Int. 2020;40:244–253.</w:t>
      </w:r>
    </w:p>
    <w:p>
      <w:pPr>
        <w:pStyle w:val="ListParagraph"/>
        <w:numPr>
          <w:ilvl w:val="0"/>
          <w:numId w:val="6"/>
        </w:numPr>
        <w:spacing w:after="60"/>
      </w:pPr>
      <w:r>
        <w:t xml:space="preserve">Figueiredo AE, Bernardini J, Bowes E, et al. A Syllabus for Teaching Peritoneal Dialysis to Patients and Caregivers. Perit Dial Int. 2016;36:592–605.</w:t>
      </w:r>
    </w:p>
    <w:p>
      <w:pPr>
        <w:pStyle w:val="ListParagraph"/>
        <w:numPr>
          <w:ilvl w:val="0"/>
          <w:numId w:val="6"/>
        </w:numPr>
        <w:spacing w:after="60"/>
      </w:pPr>
      <w:r>
        <w:t xml:space="preserve">KDIGO Clinical Practice Guideline for Acute Kidney Injury. Kidney Int Suppl. 2012;2:1–138.</w:t>
      </w:r>
    </w:p>
    <w:p>
      <w:pPr>
        <w:pStyle w:val="ListParagraph"/>
        <w:numPr>
          <w:ilvl w:val="0"/>
          <w:numId w:val="6"/>
        </w:numPr>
        <w:spacing w:after="60"/>
      </w:pPr>
      <w:r>
        <w:t xml:space="preserve">Ministry of Health &amp; Family Welfare, Government of India. Guidelines for Peritoneal Dialysis under Pradhan Mantri National Dialysis Programme, 2019.</w:t>
      </w:r>
    </w:p>
    <w:p>
      <w:pPr>
        <w:pStyle w:val="Heading1"/>
      </w:pPr>
      <w:r>
        <w:t xml:space="preserve">11.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Abbreviation</w:t>
            </w:r>
          </w:p>
        </w:tc>
        <w:tc>
          <w:tcPr>
            <w:tcW w:type="dxa" w:w="676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Meaning</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APD</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Automated Peritoneal Dialysis</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CAPD</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Continuous Ambulatory Peritoneal Dialysis</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GDP</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Glucose Degradation Products</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ISPD</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International Society for Peritoneal Dialysis</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PET</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Peritoneal Equilibration Test</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RKF</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Residual Kidney Function</w:t>
            </w:r>
          </w:p>
        </w:tc>
      </w:tr>
    </w:tbl>
    <w:p>
      <w:pPr>
        <w:spacing w:after="80"/>
      </w:pPr>
    </w:p>
    <w:p>
      <w:pPr>
        <w:pStyle w:val="Heading1"/>
      </w:pPr>
      <w:r>
        <w:t xml:space="preserve">Document Approval &amp;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Prepared by</w:t>
            </w:r>
          </w:p>
        </w:tc>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Reviewed by</w:t>
            </w:r>
          </w:p>
        </w:tc>
        <w:tc>
          <w:tcPr>
            <w:tcW w:type="dxa" w:w="3008"/>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1541"/>
        <w:gridCol w:w="4403"/>
        <w:gridCol w:w="1981"/>
      </w:tblGrid>
      <w:tr>
        <w:trPr>
          <w:tblHeader/>
        </w:trPr>
        <w:tc>
          <w:tcPr>
            <w:tcW w:type="dxa" w:w="110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Version</w:t>
            </w:r>
          </w:p>
        </w:tc>
        <w:tc>
          <w:tcPr>
            <w:tcW w:type="dxa" w:w="154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Date</w:t>
            </w:r>
          </w:p>
        </w:tc>
        <w:tc>
          <w:tcPr>
            <w:tcW w:type="dxa" w:w="4403"/>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Description of change</w:t>
            </w:r>
          </w:p>
        </w:tc>
        <w:tc>
          <w:tcPr>
            <w:tcW w:type="dxa" w:w="198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First issue</w:t>
            </w: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bl>
    <w:p>
      <w:pPr>
        <w:spacing w:after="80"/>
      </w:pPr>
    </w:p>
    <w:p>
      <w:pPr>
        <w:spacing w:before="120"/>
      </w:pPr>
      <w:r>
        <w:rPr>
          <w:i/>
          <w:iCs/>
          <w:color w:val="595959"/>
          <w:sz w:val="18"/>
          <w:szCs w:val="18"/>
        </w:rPr>
        <w:t xml:space="preserve">This SOP is based on current published guidelines. It does not replace clinical judgement; deviations must be justified and documented in the patient record. Drug doses must be verified against the current hospital formulary and adjusted for renal function.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Controlled document – do not photocopy without authorisation. Version 1.0</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1" w:sz="4" w:space="2"/>
      </w:pBdr>
      <w:tabs>
        <w:tab w:val="right" w:pos="9026"/>
      </w:tabs>
    </w:pPr>
    <w:r>
      <w:rPr>
        <w:color w:val="595959"/>
        <w:sz w:val="17"/>
        <w:szCs w:val="17"/>
      </w:rPr>
      <w:t xml:space="preserve">[Hospital Name] | Department of Nephrology – AKD / Dialysis Unit</w:t>
    </w:r>
    <w:r>
      <w:rPr>
        <w:b/>
        <w:bCs/>
        <w:color w:val="595959"/>
        <w:sz w:val="17"/>
        <w:szCs w:val="17"/>
      </w:rPr>
      <w:t xml:space="preserve">	SOP/AKD/04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6" w:space="2"/>
      </w:pBdr>
      <w:spacing w:after="120" w:before="280"/>
      <w:outlineLvl w:val="0"/>
    </w:pPr>
    <w:rPr>
      <w:rFonts w:ascii="Calibri" w:cs="Calibri" w:eastAsia="Calibri" w:hAnsi="Calibri"/>
      <w:b/>
      <w:bCs/>
      <w:color w:val="1F4E79"/>
      <w:sz w:val="26"/>
      <w:szCs w:val="26"/>
    </w:rPr>
  </w:style>
  <w:style w:type="paragraph" w:styleId="Heading2">
    <w:name w:val="Heading 2"/>
    <w:basedOn w:val="Normal"/>
    <w:next w:val="Normal"/>
    <w:qFormat/>
    <w:pPr>
      <w:keepNext/>
      <w:spacing w:after="80" w:before="200"/>
      <w:outlineLvl w:val="1"/>
    </w:pPr>
    <w:rPr>
      <w:rFonts w:ascii="Calibri" w:cs="Calibri" w:eastAsia="Calibri" w:hAnsi="Calibri"/>
      <w:b/>
      <w:bCs/>
      <w:color w:val="2E75B6"/>
      <w:sz w:val="23"/>
      <w:szCs w:val="23"/>
    </w:rPr>
  </w:style>
  <w:style w:type="paragraph" w:styleId="Heading3">
    <w:name w:val="Heading 3"/>
    <w:basedOn w:val="Normal"/>
    <w:next w:val="Normal"/>
    <w:qFormat/>
    <w:pPr>
      <w:keepNext/>
      <w:spacing w:after="60" w:before="140"/>
      <w:outlineLvl w:val="2"/>
    </w:pPr>
    <w:rPr>
      <w:rFonts w:ascii="Calibri" w:cs="Calibri" w:eastAsia="Calibri" w:hAnsi="Calibri"/>
      <w:b/>
      <w:bCs/>
      <w:i/>
      <w:i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Peritoneal Dialysis (PD) Catheter Insertion &amp; PD Initiation</dc:title>
  <dc:creator>Department of Nephrology</dc:creator>
  <cp:lastModifiedBy>Un-named</cp:lastModifiedBy>
  <cp:revision>1</cp:revision>
  <dcterms:created xsi:type="dcterms:W3CDTF">2026-10-13T04:51:53.309Z</dcterms:created>
  <dcterms:modified xsi:type="dcterms:W3CDTF">2026-10-13T04:51:53.309Z</dcterms:modified>
</cp:coreProperties>
</file>

<file path=docProps/custom.xml><?xml version="1.0" encoding="utf-8"?>
<Properties xmlns="http://schemas.openxmlformats.org/officeDocument/2006/custom-properties" xmlns:vt="http://schemas.openxmlformats.org/officeDocument/2006/docPropsVTypes"/>
</file>