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595959"/>
          <w:sz w:val="22"/>
          <w:szCs w:val="22"/>
        </w:rPr>
        <w:t xml:space="preserve">STANDARD OPERATING PROCEDURE</w:t>
      </w:r>
    </w:p>
    <w:p>
      <w:pPr>
        <w:spacing w:after="200"/>
        <w:jc w:val="center"/>
      </w:pPr>
      <w:r>
        <w:rPr>
          <w:b/>
          <w:bCs/>
          <w:color w:val="1F4E79"/>
          <w:sz w:val="34"/>
          <w:szCs w:val="34"/>
        </w:rPr>
        <w:t xml:space="preserve">Arteriovenous Fistula (AVF) Creation – Surgical Procedure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13"/>
        <w:gridCol w:w="2200"/>
        <w:gridCol w:w="2313"/>
      </w:tblGrid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SOP No.</w:t>
            </w:r>
          </w:p>
        </w:tc>
        <w:tc>
          <w:tcPr>
            <w:tcW w:type="dxa" w:w="23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SOP/AKD/05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23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23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Nephrology – AKD / Dialysis Unit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__</w:t>
            </w:r>
            <w:r>
              <w:rPr>
                <w:i/>
                <w:iCs/>
                <w:sz w:val="20"/>
                <w:szCs w:val="20"/>
              </w:rPr>
              <w:t xml:space="preserve"> / </w:t>
            </w:r>
            <w:r>
              <w:rPr>
                <w:i/>
                <w:iCs/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23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Name / Sign / Date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23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 years from effective date or earlier if guidelines change</w:t>
            </w:r>
          </w:p>
        </w:tc>
      </w:tr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Reviewed by</w:t>
            </w:r>
          </w:p>
        </w:tc>
        <w:tc>
          <w:tcPr>
            <w:tcW w:type="dxa" w:w="23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Name / Sign / Date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23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Name / Sign / Date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Name</w:t>
      </w:r>
    </w:p>
    <w:p>
      <w:pPr>
        <w:spacing w:after="100"/>
      </w:pPr>
      <w:r>
        <w:rPr>
          <w:b/>
          <w:bCs/>
        </w:rPr>
        <w:t xml:space="preserve">Arteriovenous Fistula (AVF) Creation – Surgical Procedure</w:t>
      </w:r>
    </w:p>
    <w:p>
      <w:pPr>
        <w:pStyle w:val="Heading1"/>
      </w:pPr>
      <w:r>
        <w:t xml:space="preserve">2. Purpose</w:t>
      </w:r>
    </w:p>
    <w:p>
      <w:pPr>
        <w:spacing w:after="100"/>
      </w:pPr>
      <w:r>
        <w:t xml:space="preserve">To standardise referral, pre-operative vessel assessment, surgical creation and post-operative care of autogenous arteriovenous fistulae, so that patients with advanced CKD obtain a functional, durable vascular access in a timely manner with minimal complications (thrombosis, non-maturation, steal syndrome, infection).</w:t>
      </w:r>
    </w:p>
    <w:p>
      <w:pPr>
        <w:pStyle w:val="Heading1"/>
      </w:pPr>
      <w:r>
        <w:t xml:space="preserve">3. Scope</w:t>
      </w:r>
    </w:p>
    <w:p>
      <w:pPr>
        <w:spacing w:after="100"/>
      </w:pPr>
      <w:r>
        <w:t xml:space="preserve">Adult patients with CKD G4–G5 (planned) or on haemodialysis via catheter, referred by the Nephrology / AKD unit for creation of an autogenous AVF.</w:t>
      </w:r>
    </w:p>
    <w:p>
      <w:pPr>
        <w:spacing w:after="100"/>
      </w:pPr>
      <w:r>
        <w:t xml:space="preserve">Procedure performed in the main OT / vascular access OT by the vascular / cardiothoracic / general surgeon trained in vascular access surgery.</w:t>
      </w:r>
    </w:p>
    <w:p>
      <w:pPr>
        <w:spacing w:after="100"/>
      </w:pPr>
      <w:r>
        <w:t xml:space="preserve">Covers radiocephalic (RC), brachiocephalic (BC) and brachiobasilic (BB, transposed) fistulae. Prosthetic AV grafts and endovascular AVF (endoAVF) follow the surgeon’s specific protocol but the same pre- and post-operative principles apply.</w:t>
      </w:r>
    </w:p>
    <w:p>
      <w:pPr>
        <w:pStyle w:val="Heading1"/>
      </w:pPr>
      <w:r>
        <w:t xml:space="preserve">4. Responsibility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Nephrologist:</w:t>
      </w:r>
      <w:r>
        <w:t xml:space="preserve"> identify patients early, implement vein-preservation, refer for access surgery with the ESKD Life-Plan, optimise medical condition, post-operative maturation surveillance.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Vascular access surgeon:</w:t>
      </w:r>
      <w:r>
        <w:t xml:space="preserve"> clinical and ultrasound evaluation, choice of site, consent, surgery and post-operative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Anaesthetist:</w:t>
      </w:r>
      <w:r>
        <w:t xml:space="preserve"> regional block (preferred) or local/general anaesthesia and peri-operative care.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Radiologist / vascular sonographer (or trained nephrologist):</w:t>
      </w:r>
      <w:r>
        <w:t xml:space="preserve"> pre-operative Doppler vessel mapping and maturation assessment.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Dialysis / ward nurse:</w:t>
      </w:r>
      <w:r>
        <w:t xml:space="preserve"> pre-operative preparation, post-operative monitoring, patient education on fistula care and exercises.</w:t>
      </w:r>
    </w:p>
    <w:p>
      <w:pPr>
        <w:pStyle w:val="Heading1"/>
      </w:pPr>
      <w:r>
        <w:t xml:space="preserve">5. Authority</w:t>
      </w:r>
    </w:p>
    <w:p>
      <w:pPr>
        <w:spacing w:after="100"/>
      </w:pPr>
      <w:r>
        <w:t xml:space="preserve">Head of Surgery (Vascular / CTVS) in consultation with HOD Nephrology. The Vascular Access Coordinator maintains the access register and audits primary failure, maturation and patency rates (multidisciplinary access meeting).</w:t>
      </w:r>
    </w:p>
    <w:p>
      <w:pPr>
        <w:pStyle w:val="Heading1"/>
      </w:pPr>
      <w:r>
        <w:t xml:space="preserve">6. Specific Environmental Requirement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Operation theatre with laminar airflow / standard OT asepsis, arm table, adequate lighting, magnification loupes (2.5–3.5×) and vascular instruments.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Doppler ultrasound available in OT or pre-operative area.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Monitoring (ECG, SpO₂, NIBP), anaesthesia work-station and resuscitation equipment.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Recovery area with trained staff to check fistula thrill/bruit and hand perfusion.</w:t>
      </w:r>
    </w:p>
    <w:p>
      <w:pPr>
        <w:pStyle w:val="Heading1"/>
      </w:pPr>
      <w:r>
        <w:t xml:space="preserve">7. Equipment / Instruments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Vascular access surgical set: fine vascular forceps (DeBakey), micro-scissors (Potts), Castroviejo needle holder, vessel loops, bulldog / micro-vascular clamps, self-retaining retractor, coronary dilators / probes.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Sutures: </w:t>
      </w:r>
      <w:r>
        <w:rPr>
          <w:b/>
          <w:bCs/>
        </w:rPr>
        <w:t xml:space="preserve">6-0 or 7-0 monofilament polypropylene</w:t>
      </w:r>
      <w:r>
        <w:t xml:space="preserve"> (double-armed) for anastomosis; 3-0/4-0 absorbable for subcutaneous tissue; 4-0 monofilament / staples for skin.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Heparinised saline (5,000 IU in 500 mL 0.9% saline) for irrigation; papaverine solution (optional) for arterial spasm.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Hand-held continuous-wave Doppler; duplex ultrasound.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 anaesthetic (lignocaine/bupivacaine) or ultrasound-guided brachial plexus block supplies.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Electrocautery (bipolar preferred), sterile dressings.</w:t>
      </w:r>
    </w:p>
    <w:p>
      <w:pPr>
        <w:pStyle w:val="Heading1"/>
      </w:pPr>
      <w:r>
        <w:t xml:space="preserve">8. Procedure</w:t>
      </w:r>
    </w:p>
    <w:p>
      <w:pPr>
        <w:pStyle w:val="Heading2"/>
      </w:pPr>
      <w:r>
        <w:t xml:space="preserve">8.1 Timing and referral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 when eGFR &lt; 15–20 mL/min/1.73 m² and/or progressive decline with anticipated HD, ideally to allow the AVF to be created </w:t>
      </w:r>
      <w:r>
        <w:rPr>
          <w:b/>
          <w:bCs/>
        </w:rPr>
        <w:t xml:space="preserve">at least 4–6 months before expected HD start</w:t>
      </w:r>
      <w:r>
        <w:t xml:space="preserve"> (individualised per ESKD Life-Plan, KDOQI 2019).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Patients already dialysing through a catheter should be referred at the earliest opportunity to reduce catheter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Vein preservation:</w:t>
      </w:r>
      <w:r>
        <w:t xml:space="preserve"> from CKD G3 onwards, avoid venepuncture, IV cannulae, BP cuffs and PICC lines in the non-dominant arm; use dorsum of the hand veins for cannulation where necessary.</w:t>
      </w:r>
    </w:p>
    <w:p>
      <w:pPr>
        <w:pStyle w:val="Heading2"/>
      </w:pPr>
      <w:r>
        <w:t xml:space="preserve">8.2 Pre-operative assessment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History: hand dominance, previous access/central lines/pacemaker, diabetes, peripheral arterial disease, heart failure (LVEF), anticoagulants, occupation.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Examination: arm and hand inspection, pulses (radial, ulnar, brachial), BP in both arms (&gt; 20 mmHg difference suggests subclavian stenosis), </w:t>
      </w:r>
      <w:r>
        <w:rPr>
          <w:b/>
          <w:bCs/>
        </w:rPr>
        <w:t xml:space="preserve">Allen test</w:t>
      </w:r>
      <w:r>
        <w:t xml:space="preserve">, vein inspection with tourniquet, signs of central venous stenosis (arm swelling, chest-wall collaterals).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Duplex ultrasound vessel mapping (recommended in all patients – ESVS 2018):</w:t>
      </w:r>
      <w:r>
        <w:t xml:space="preserve"> artery internal diameter </w:t>
      </w:r>
      <w:r>
        <w:rPr>
          <w:b/>
          <w:bCs/>
        </w:rPr>
        <w:t xml:space="preserve">≥ 2.0 mm</w:t>
      </w:r>
      <w:r>
        <w:t xml:space="preserve"> (RC) without significant calcification or stenosis; vein internal diameter </w:t>
      </w:r>
      <w:r>
        <w:rPr>
          <w:b/>
          <w:bCs/>
        </w:rPr>
        <w:t xml:space="preserve">≥ 2.0–2.5 mm</w:t>
      </w:r>
      <w:r>
        <w:t xml:space="preserve"> with tourniquet, continuous with the deep/central system, depth &lt; 6 mm, no stenosis or thrombosis. Assess radial artery flow and wall calcification.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Central venous imaging (venography / CT venography) if history of multiple central catheters, pacemaker or clinical signs of stenosis.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Labs: CBC, coagulation profile, RFT, K⁺ (must be &lt; 5.5–6.0 mmol/L for surgery), blood sugar, viral serology, ECG; echocardiography in cardiac patients.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Optimise: correct hyperkalaemia, volume status; dialyse the day before if on HD (avoid fluid removal immediately pre-op to reduce hypotension/thrombosis risk).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Medications: continue aspirin; clopidogrel can usually be continued (surgeon decision); stop warfarin / DOAC per protocol; avoid excessive antihypertensives on the day of surgery.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Informed consent: benefits, alternatives (AVG, catheter, PD), risks – bleeding, infection, thrombosis / primary failure (15–40 %), non-maturation, steal syndrome / hand ischaemia, ischaemic monomelic neuropathy, aneurysm, high-output cardiac failure, venous hypertension, need for further procedures.</w:t>
      </w:r>
    </w:p>
    <w:p>
      <w:pPr>
        <w:pStyle w:val="Heading2"/>
      </w:pPr>
      <w:r>
        <w:t xml:space="preserve">8.3 Choice of access site (order of preference)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2"/>
        <w:gridCol w:w="2655"/>
        <w:gridCol w:w="5309"/>
      </w:tblGrid>
      <w:tr>
        <w:trPr>
          <w:tblHeader/>
        </w:trPr>
        <w:tc>
          <w:tcPr>
            <w:tcW w:type="dxa" w:w="106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265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53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Comment</w:t>
            </w:r>
          </w:p>
        </w:tc>
      </w:tr>
      <w:tr>
        <w:trPr>
          <w:cantSplit/>
        </w:trPr>
        <w:tc>
          <w:tcPr>
            <w:tcW w:type="dxa" w:w="106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65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Wrist radiocephalic AVF (non-dominant arm) – snuffbox or distal forearm</w:t>
            </w:r>
          </w:p>
        </w:tc>
        <w:tc>
          <w:tcPr>
            <w:tcW w:type="dxa" w:w="53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Preserves proximal sites; lowest steal risk; higher primary failure in elderly/diabetics/small vessels.</w:t>
            </w:r>
          </w:p>
        </w:tc>
      </w:tr>
      <w:tr>
        <w:trPr>
          <w:cantSplit/>
        </w:trPr>
        <w:tc>
          <w:tcPr>
            <w:tcW w:type="dxa" w:w="106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65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Proximal forearm / mid-forearm RC AVF or perforator AVF</w:t>
            </w:r>
          </w:p>
        </w:tc>
        <w:tc>
          <w:tcPr>
            <w:tcW w:type="dxa" w:w="53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When distal vessels inadequate.</w:t>
            </w:r>
          </w:p>
        </w:tc>
      </w:tr>
      <w:tr>
        <w:trPr>
          <w:cantSplit/>
        </w:trPr>
        <w:tc>
          <w:tcPr>
            <w:tcW w:type="dxa" w:w="106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65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Brachiocephalic AVF (elbow)</w:t>
            </w:r>
          </w:p>
        </w:tc>
        <w:tc>
          <w:tcPr>
            <w:tcW w:type="dxa" w:w="53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Higher maturation rate; higher steal &amp; high-flow risk.</w:t>
            </w:r>
          </w:p>
        </w:tc>
      </w:tr>
      <w:tr>
        <w:trPr>
          <w:cantSplit/>
        </w:trPr>
        <w:tc>
          <w:tcPr>
            <w:tcW w:type="dxa" w:w="106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65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Brachiobasilic AVF with transposition (one- or two-stage)</w:t>
            </w:r>
          </w:p>
        </w:tc>
        <w:tc>
          <w:tcPr>
            <w:tcW w:type="dxa" w:w="53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When cephalic vein inadequate; basilic vein must be superficialised.</w:t>
            </w:r>
          </w:p>
        </w:tc>
      </w:tr>
      <w:tr>
        <w:trPr>
          <w:cantSplit/>
        </w:trPr>
        <w:tc>
          <w:tcPr>
            <w:tcW w:type="dxa" w:w="106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65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AV graft (forearm loop / upper arm) or lower-limb access</w:t>
            </w:r>
          </w:p>
        </w:tc>
        <w:tc>
          <w:tcPr>
            <w:tcW w:type="dxa" w:w="53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When autogenous options exhausted or life-expectancy limited (Life-Plan).</w:t>
            </w:r>
          </w:p>
        </w:tc>
      </w:tr>
    </w:tbl>
    <w:p>
      <w:pPr>
        <w:spacing w:after="80"/>
      </w:pPr>
    </w:p>
    <w:p>
      <w:pPr>
        <w:pBdr>
          <w:left w:val="single" w:color="E69500" w:sz="18" w:space="6"/>
        </w:pBdr>
        <w:shd w:fill="FFF4E5" w:color="auto" w:val="clear"/>
        <w:spacing w:after="120" w:before="80"/>
        <w:ind w:left="120"/>
      </w:pPr>
      <w:r>
        <w:t xml:space="preserve">KDOQI 2019 supports an individualised approach (“right access for the right patient”), not a fistula-first-at-all-costs policy. Elderly patients with limited life expectancy may be better served by AVG/PD/catheter as per Life-Plan.</w:t>
      </w:r>
    </w:p>
    <w:p>
      <w:pPr>
        <w:pStyle w:val="Heading2"/>
      </w:pPr>
      <w:r>
        <w:t xml:space="preserve">8.4 Anaesthesia</w:t>
      </w:r>
    </w:p>
    <w:p>
      <w:pPr>
        <w:spacing w:after="100"/>
      </w:pPr>
      <w:r>
        <w:t xml:space="preserve">Ultrasound-guided </w:t>
      </w:r>
      <w:r>
        <w:rPr>
          <w:b/>
          <w:bCs/>
        </w:rPr>
        <w:t xml:space="preserve">regional brachial plexus block is preferred</w:t>
      </w:r>
      <w:r>
        <w:t xml:space="preserve"> over local anaesthesia – it causes vasodilatation and improves primary patency (ACCESS trial, Lancet 2021). Local infiltration is acceptable for wrist fistulae in high-risk patients; general anaesthesia when required.</w:t>
      </w:r>
    </w:p>
    <w:p>
      <w:pPr>
        <w:pStyle w:val="Heading2"/>
      </w:pPr>
      <w:r>
        <w:t xml:space="preserve">8.5 Surgical technique (radiocephalic AVF – standard)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Time-out / WHO Surgical Safety Checklist. Arm on arm table, prepared with chlorhexidine–alcohol from fingertips to axilla; sterile draping with hand visible.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Single-dose antibiotic prophylaxis (e.g., Cefazolin 1–2 g IV within 60 min) per institutional policy (mandatory for prosthetic grafts).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Longitudinal or curvilinear incision (3–4 cm) between radial artery and cephalic vein ~2–3 cm proximal to radial styloid.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Mobilise the cephalic vein (preserve; ligate side branches with fine ties), avoiding excessive handling; mobilise 2–3 cm of radial artery, ligating small branches; avoid injury to superficial radial nerve.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Systemic heparin (e.g., 2,000–5,000 IU IV / 50 IU/kg) as per surgeon preference before clamping, or local heparinised saline irrigation.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Divide the vein distally, ligate distal end, dilate gently with hydrostatic distension (heparinised saline) or coronary dilators; spatulate the vein end.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Apply micro-vascular clamps; arteriotomy </w:t>
      </w:r>
      <w:r>
        <w:rPr>
          <w:b/>
          <w:bCs/>
        </w:rPr>
        <w:t xml:space="preserve">5–7 mm</w:t>
      </w:r>
      <w:r>
        <w:t xml:space="preserve"> (limit to ≤ 5–6 mm for brachial-artery fistulae to reduce steal and high flow).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Perform </w:t>
      </w:r>
      <w:r>
        <w:rPr>
          <w:b/>
          <w:bCs/>
        </w:rPr>
        <w:t xml:space="preserve">end-of-vein to side-of-artery anastomosis</w:t>
      </w:r>
      <w:r>
        <w:t xml:space="preserve"> with continuous 7-0 (or 6-0) polypropylene; avoid twisting or kinking of vein; flush before completing the last sutures (release clamps sequentially: distal artery, proximal artery).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Confirm a palpable </w:t>
      </w:r>
      <w:r>
        <w:rPr>
          <w:b/>
          <w:bCs/>
        </w:rPr>
        <w:t xml:space="preserve">thrill</w:t>
      </w:r>
      <w:r>
        <w:t xml:space="preserve"> and audible bruit over the vein; check radial pulse distal to anastomosis and hand perfusion (colour, capillary refill, Doppler signals in palmar arch).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Haemostasis; close subcutaneous tissue and skin without constricting the vein; non-circumferential, light dressing (no tight bandage).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For brachiocephalic AVF: anastomosis of median cubital/cephalic vein to brachial artery just above the elbow crease. For brachiobasilic: basilic vein mobilised and transposed to a superficial lateral tunnel (single-stage or two-stage after vein dilatation).</w:t>
      </w:r>
    </w:p>
    <w:p>
      <w:pPr>
        <w:pStyle w:val="Heading2"/>
      </w:pPr>
      <w:r>
        <w:t xml:space="preserve">8.6 Post-operative care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Check thrill/bruit, hand colour, sensation, motor function and radial pulse every 30 min for 2 h, then 4-hourly for 24 h. Document on fistula observation chart.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Keep arm elevated on pillow for 24–48 h; avoid tight clothing, watches or bangles; no BP measurement, venepuncture or IV access in the fistula arm (</w:t>
      </w:r>
      <w:r>
        <w:rPr>
          <w:b/>
          <w:bCs/>
        </w:rPr>
        <w:t xml:space="preserve">label “No BP / No needle – AV Fistula arm”</w:t>
      </w:r>
      <w:r>
        <w:t xml:space="preserve">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Avoid hypotension and dehydration (risk of thrombosis); avoid excessive UF in the next HD session.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Analgesia: paracetamol; avoid NSAIDs in CKD.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Antiplatelet therapy: continue aspirin if already on it; routine new antiplatelet for primary patency is not mandated (surgeon/nephrologist decision).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Report immediately: loss of thrill, bleeding, swelling, severe hand pain, cold/pale/numb fingers (steal / ischaemic neuropathy).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Wound review at 48–72 h; suture/staple removal at 10–14 days.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Hand/arm exercises</w:t>
      </w:r>
      <w:r>
        <w:t xml:space="preserve"> (squeezing a soft ball, intermittent light tourniquet) may be started after wound healing (~1 week) to aid maturation.</w:t>
      </w:r>
    </w:p>
    <w:p>
      <w:pPr>
        <w:pStyle w:val="Heading2"/>
      </w:pPr>
      <w:r>
        <w:t xml:space="preserve">8.7 Maturation assessment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Clinical review at 2 weeks and 4–6 weeks by surgeon/nephrologist (physical examination: thrill continuous, bruit low-pitched continuous, vein visible and easy to palpate, collapses partly on arm elevation).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“Rule of 6s” (KDOQI 2006, used as a practical guide):</w:t>
      </w:r>
      <w:r>
        <w:t xml:space="preserve"> at ~6 weeks, vein diameter ≥ 6 mm, depth ≤ 6 mm from skin, access flow ≥ 600 mL/min, straight cannulation segment ≥ 6 cm.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Duplex ultrasound at 4–6 weeks if clinical maturation is doubtful. Failure to mature by 6 weeks → early imaging and intervention (angioplasty of juxta-anastomotic stenosis, ligation of competing accessory veins, superficialisation) – early intervention improves maturation.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Cannulation only after maturation is confirmed (see SOP/AKD/06).</w:t>
      </w:r>
    </w:p>
    <w:p>
      <w:pPr>
        <w:pStyle w:val="Heading2"/>
      </w:pPr>
      <w:r>
        <w:t xml:space="preserve">8.8 Complications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095"/>
        <w:gridCol w:w="4126"/>
      </w:tblGrid>
      <w:tr>
        <w:trPr>
          <w:tblHeader/>
        </w:trPr>
        <w:tc>
          <w:tcPr>
            <w:tcW w:type="dxa" w:w="180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Complication</w:t>
            </w:r>
          </w:p>
        </w:tc>
        <w:tc>
          <w:tcPr>
            <w:tcW w:type="dxa" w:w="309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41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Management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Early thrombosis (&lt; 24–72 h)</w:t>
            </w:r>
          </w:p>
        </w:tc>
        <w:tc>
          <w:tcPr>
            <w:tcW w:type="dxa" w:w="309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Loss of thrill/bruit</w:t>
            </w:r>
          </w:p>
        </w:tc>
        <w:tc>
          <w:tcPr>
            <w:tcW w:type="dxa" w:w="41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Urgent surgical re-exploration / thrombectomy and revision.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Haematoma / bleeding</w:t>
            </w:r>
          </w:p>
        </w:tc>
        <w:tc>
          <w:tcPr>
            <w:tcW w:type="dxa" w:w="309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Swelling at wound</w:t>
            </w:r>
          </w:p>
        </w:tc>
        <w:tc>
          <w:tcPr>
            <w:tcW w:type="dxa" w:w="41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Pressure; re-exploration if expanding or compressing the fistula.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Wound infection</w:t>
            </w:r>
          </w:p>
        </w:tc>
        <w:tc>
          <w:tcPr>
            <w:tcW w:type="dxa" w:w="309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Erythema, discharge</w:t>
            </w:r>
          </w:p>
        </w:tc>
        <w:tc>
          <w:tcPr>
            <w:tcW w:type="dxa" w:w="41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Culture, antibiotics, drainage; risk of anastomotic disruption.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Steal syndrome (hand ischaemia)</w:t>
            </w:r>
          </w:p>
        </w:tc>
        <w:tc>
          <w:tcPr>
            <w:tcW w:type="dxa" w:w="309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Pain, pallor, coolness, numbness, ulceration</w:t>
            </w:r>
          </w:p>
        </w:tc>
        <w:tc>
          <w:tcPr>
            <w:tcW w:type="dxa" w:w="41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Grade and refer urgently; DRIL, banding, proximalisation of inflow (PAI), RUDI or ligation for severe cases.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Ischaemic monomelic neuropathy</w:t>
            </w:r>
          </w:p>
        </w:tc>
        <w:tc>
          <w:tcPr>
            <w:tcW w:type="dxa" w:w="309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Acute severe pain, weakness, sensory loss immediately after brachial AVF with warm hand</w:t>
            </w:r>
          </w:p>
        </w:tc>
        <w:tc>
          <w:tcPr>
            <w:tcW w:type="dxa" w:w="41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Surgical emergency</w:t>
            </w:r>
            <w:r>
              <w:rPr>
                <w:sz w:val="20"/>
                <w:szCs w:val="20"/>
              </w:rPr>
              <w:t xml:space="preserve"> – immediate ligation of fistula.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Non-maturation</w:t>
            </w:r>
          </w:p>
        </w:tc>
        <w:tc>
          <w:tcPr>
            <w:tcW w:type="dxa" w:w="309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Weak thrill, small vein at 6 weeks</w:t>
            </w:r>
          </w:p>
        </w:tc>
        <w:tc>
          <w:tcPr>
            <w:tcW w:type="dxa" w:w="41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Duplex / fistulogram; angioplasty, branch ligation, surgical revision.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Venous hypertension / arm swelling</w:t>
            </w:r>
          </w:p>
        </w:tc>
        <w:tc>
          <w:tcPr>
            <w:tcW w:type="dxa" w:w="309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Arm oedema, collaterals</w:t>
            </w:r>
          </w:p>
        </w:tc>
        <w:tc>
          <w:tcPr>
            <w:tcW w:type="dxa" w:w="41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Venography; central venous angioplasty / stenting.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High-output cardiac failure</w:t>
            </w:r>
          </w:p>
        </w:tc>
        <w:tc>
          <w:tcPr>
            <w:tcW w:type="dxa" w:w="309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Access flow &gt; 1.5–2 L/min or Qa/CO &gt; 30 %</w:t>
            </w:r>
          </w:p>
        </w:tc>
        <w:tc>
          <w:tcPr>
            <w:tcW w:type="dxa" w:w="41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Flow-reduction (banding / MILLER) or ligation.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9. Forms &amp; 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Vascular access referral form with ESKD Life-Plan (FORM/AKD/09).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Duplex vessel-mapping report.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Informed consent – AV fistula surgery; Anaesthesia consent.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WHO Surgical Safety Checklist; Operation notes (vessels, diameters, anastomosis type/length, suture, thrill at closure).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Post-operative fistula observation chart (thrill, bruit, hand perfusion) (FORM/AKD/10).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Vascular access register (creation date, maturation date, first cannulation, interventions, patency).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Patient education leaflet – Caring for your new fistula.</w:t>
      </w:r>
    </w:p>
    <w:p>
      <w:pPr>
        <w:pStyle w:val="Heading1"/>
      </w:pPr>
      <w:r>
        <w:t xml:space="preserve">10. References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Lok CE, Huber TS, Lee T, et al. KDOQI Clinical Practice Guideline for Vascular Access: 2019 Update. Am J Kidney Dis. 2020;75(4 Suppl 2):S1–S164.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Schmidli J, Widmer MK, Basile C, et al. Vascular Access: 2018 Clinical Practice Guidelines of the European Society for Vascular Surgery (ESVS). Eur J Vasc Endovasc Surg. 2018;55:757–818.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Macfarlane AJR, Kearns RJ, Clancy MJ, et al. Anaesthesia choice for creation of arteriovenous fistula (ACCESS): a randomised controlled trial. Lancet. 2021;397:1561–1570.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NKF-KDOQI Clinical Practice Guidelines for Vascular Access: 2006 Update. Am J Kidney Dis. 2006;48(Suppl 1):S176–S247 (Rule of 6s).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Sidawy AN, Gray R, Besarab A, et al. Recommended standards for reports dealing with arteriovenous hemodialysis accesses. J Vasc Surg. 2002;35:603–610.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Ministry of Health &amp; Family Welfare, Government of India. Guidelines for Haemodialysis under Pradhan Mantri National Dialysis Programme, 2016.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WHO Guidelines for Safe Surgery 2009 / WHO Surgical Safety Checklist.</w:t>
      </w:r>
    </w:p>
    <w:p>
      <w:pPr>
        <w:pStyle w:val="Heading1"/>
      </w:pPr>
      <w:r>
        <w:t xml:space="preserve">11. Abbreviations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tblHeader/>
        </w:trPr>
        <w:tc>
          <w:tcPr>
            <w:tcW w:type="dxa" w:w="225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Abbreviation</w:t>
            </w:r>
          </w:p>
        </w:tc>
        <w:tc>
          <w:tcPr>
            <w:tcW w:type="dxa" w:w="676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AVF / AVG</w:t>
            </w:r>
          </w:p>
        </w:tc>
        <w:tc>
          <w:tcPr>
            <w:tcW w:type="dxa" w:w="676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Arteriovenous Fistula / Graft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DRIL</w:t>
            </w:r>
          </w:p>
        </w:tc>
        <w:tc>
          <w:tcPr>
            <w:tcW w:type="dxa" w:w="676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Distal Revascularisation and Interval Ligation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PAI</w:t>
            </w:r>
          </w:p>
        </w:tc>
        <w:tc>
          <w:tcPr>
            <w:tcW w:type="dxa" w:w="676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Proximalisation of Arterial Inflow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RUDI</w:t>
            </w:r>
          </w:p>
        </w:tc>
        <w:tc>
          <w:tcPr>
            <w:tcW w:type="dxa" w:w="676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Revision Using Distal Inflow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Qa</w:t>
            </w:r>
          </w:p>
        </w:tc>
        <w:tc>
          <w:tcPr>
            <w:tcW w:type="dxa" w:w="676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Access blood flow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Document Approval &amp; Revision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0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300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30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Name:</w:t>
            </w:r>
          </w:p>
        </w:tc>
        <w:tc>
          <w:tcPr>
            <w:tcW w:type="dxa" w:w="30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Name:</w:t>
            </w:r>
          </w:p>
        </w:tc>
        <w:tc>
          <w:tcPr>
            <w:tcW w:type="dxa" w:w="300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Name:</w:t>
            </w:r>
          </w:p>
        </w:tc>
      </w:tr>
      <w:tr>
        <w:tc>
          <w:tcPr>
            <w:tcW w:type="dxa" w:w="30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Designation:</w:t>
            </w:r>
          </w:p>
        </w:tc>
        <w:tc>
          <w:tcPr>
            <w:tcW w:type="dxa" w:w="30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Designation:</w:t>
            </w:r>
          </w:p>
        </w:tc>
        <w:tc>
          <w:tcPr>
            <w:tcW w:type="dxa" w:w="300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Designation:</w:t>
            </w:r>
          </w:p>
        </w:tc>
      </w:tr>
      <w:tr>
        <w:tc>
          <w:tcPr>
            <w:tcW w:type="dxa" w:w="30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Signature &amp; Date:</w:t>
            </w:r>
          </w:p>
        </w:tc>
        <w:tc>
          <w:tcPr>
            <w:tcW w:type="dxa" w:w="30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Signature &amp; Date:</w:t>
            </w:r>
          </w:p>
        </w:tc>
        <w:tc>
          <w:tcPr>
            <w:tcW w:type="dxa" w:w="300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Signature &amp; Date: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1"/>
        <w:gridCol w:w="1541"/>
        <w:gridCol w:w="4403"/>
        <w:gridCol w:w="1981"/>
      </w:tblGrid>
      <w:tr>
        <w:trPr>
          <w:tblHeader/>
        </w:trPr>
        <w:tc>
          <w:tcPr>
            <w:tcW w:type="dxa" w:w="110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4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40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98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rPr>
          <w:cantSplit/>
        </w:trPr>
        <w:tc>
          <w:tcPr>
            <w:tcW w:type="dxa" w:w="110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154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440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First issue</w:t>
            </w:r>
          </w:p>
        </w:tc>
        <w:tc>
          <w:tcPr>
            <w:tcW w:type="dxa" w:w="198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10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154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440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198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10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154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440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198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</w:tbl>
    <w:p>
      <w:pPr>
        <w:spacing w:after="80"/>
      </w:pPr>
    </w:p>
    <w:p>
      <w:pPr>
        <w:spacing w:before="120"/>
      </w:pPr>
      <w:r>
        <w:rPr>
          <w:i/>
          <w:iCs/>
          <w:color w:val="595959"/>
          <w:sz w:val="18"/>
          <w:szCs w:val="18"/>
        </w:rPr>
        <w:t xml:space="preserve">This SOP is based on current published guidelines. It does not replace clinical judgement; deviations must be justified and documented in the patient record. Drug doses must be verified against the current hospital formulary and adjusted for renal function.</w:t>
      </w:r>
    </w:p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6"/>
        <w:szCs w:val="16"/>
      </w:rPr>
      <w:t xml:space="preserve">Controlled document – do not photocopy without authorisation. Version 1.0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A9C1" w:sz="4" w:space="2"/>
      </w:pBdr>
      <w:tabs>
        <w:tab w:val="right" w:pos="9026"/>
      </w:tabs>
    </w:pPr>
    <w:r>
      <w:rPr>
        <w:color w:val="595959"/>
        <w:sz w:val="17"/>
        <w:szCs w:val="17"/>
      </w:rPr>
      <w:t xml:space="preserve">[Hospital Name] | Department of Nephrology – AKD / Dialysis Unit</w:t>
    </w:r>
    <w:r>
      <w:rPr>
        <w:b/>
        <w:bCs/>
        <w:color w:val="595959"/>
        <w:sz w:val="17"/>
        <w:szCs w:val="17"/>
      </w:rPr>
      <w:t xml:space="preserve">	SOP/AKD/05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  <w:lvl w:ilvl="2" w15:tentative="1">
      <w:start w:val="1"/>
      <w:numFmt w:val="bullet"/>
      <w:lvlText w:val="◦"/>
      <w:lvlJc w:val="left"/>
      <w:pPr>
        <w:ind w:left="162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6" w:space="2"/>
      </w:pBdr>
      <w:spacing w:after="120" w:before="280"/>
      <w:outlineLvl w:val="0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Calibri" w:cs="Calibri" w:eastAsia="Calibri" w:hAnsi="Calibri"/>
      <w:b/>
      <w:bCs/>
      <w:color w:val="2E75B6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40"/>
      <w:outlineLvl w:val="2"/>
    </w:pPr>
    <w:rPr>
      <w:rFonts w:ascii="Calibri" w:cs="Calibri" w:eastAsia="Calibri" w:hAnsi="Calibri"/>
      <w:b/>
      <w:bCs/>
      <w:i/>
      <w:i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Arteriovenous Fistula (AVF) Creation – Surgical Procedure</dc:title>
  <dc:creator>Department of Nephrology</dc:creator>
  <cp:lastModifiedBy>Un-named</cp:lastModifiedBy>
  <cp:revision>1</cp:revision>
  <dcterms:created xsi:type="dcterms:W3CDTF">2026-10-13T04:51:53.348Z</dcterms:created>
  <dcterms:modified xsi:type="dcterms:W3CDTF">2026-10-13T04:51:53.348Z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