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2"/>
          <w:szCs w:val="22"/>
        </w:rPr>
        <w:t xml:space="preserve">STANDARD OPERATING PROCEDURE</w:t>
      </w:r>
    </w:p>
    <w:p>
      <w:pPr>
        <w:spacing w:after="200"/>
        <w:jc w:val="center"/>
      </w:pPr>
      <w:r>
        <w:rPr>
          <w:b/>
          <w:bCs/>
          <w:color w:val="1F4E79"/>
          <w:sz w:val="34"/>
          <w:szCs w:val="34"/>
        </w:rPr>
        <w:t xml:space="preserve">Therapeutic Plasma Exchange (Plasmapheresis)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SOP No.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SOP/AKD/07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Nephrology – AKD / Dialysis Unit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__</w:t>
            </w:r>
            <w:r>
              <w:rPr>
                <w:i/>
                <w:iCs/>
                <w:sz w:val="20"/>
                <w:szCs w:val="20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 years from effective date or earlier if guidelines change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Name</w:t>
      </w:r>
    </w:p>
    <w:p>
      <w:pPr>
        <w:spacing w:after="100"/>
      </w:pPr>
      <w:r>
        <w:rPr>
          <w:b/>
          <w:bCs/>
        </w:rPr>
        <w:t xml:space="preserve">Therapeutic Plasma Exchange (Plasmapheresis)</w:t>
      </w:r>
    </w:p>
    <w:p>
      <w:pPr>
        <w:pStyle w:val="Heading1"/>
      </w:pPr>
      <w:r>
        <w:t xml:space="preserve">2. Purpose</w:t>
      </w:r>
    </w:p>
    <w:p>
      <w:pPr>
        <w:spacing w:after="100"/>
      </w:pPr>
      <w:r>
        <w:t xml:space="preserve">To standardise the indications, prescription, performance, monitoring and documentation of therapeutic plasma exchange (TPE) – by membrane plasma separation (mTPE) or centrifugal apheresis (cTPE) – so that pathogenic plasma constituents (autoantibodies, immune complexes, toxins, paraproteins) are removed safely and effectively according to current ASFA guidance.</w:t>
      </w:r>
    </w:p>
    <w:p>
      <w:pPr>
        <w:pStyle w:val="Heading1"/>
      </w:pPr>
      <w:r>
        <w:t xml:space="preserve">3. Scope</w:t>
      </w:r>
    </w:p>
    <w:p>
      <w:pPr>
        <w:spacing w:after="100"/>
      </w:pPr>
      <w:r>
        <w:t xml:space="preserve">Adult patients requiring TPE in the AKD / Dialysis Unit, ICU or wards – e.g., anti-GBM disease, thrombotic microangiopathies, ANCA vasculitis with severe kidney involvement / DAH, antibody-mediated rejection and ABO-/HLA-incompatible transplant desensitisation, recurrent FSGS, hyperviscosity, Guillain–Barré syndrome, myasthenic crisis and other ASFA category I/II indications.</w:t>
      </w:r>
    </w:p>
    <w:p>
      <w:pPr>
        <w:spacing w:after="100"/>
      </w:pPr>
      <w:r>
        <w:t xml:space="preserve">Covers indication review, vascular access, plasma volume calculation, replacement fluid, anticoagulation, procedure on membrane (HD/CRRT platform) and centrifugal devices, monitoring, complications and drug timing.</w:t>
      </w:r>
    </w:p>
    <w:p>
      <w:pPr>
        <w:pStyle w:val="Heading1"/>
      </w:pPr>
      <w:r>
        <w:t xml:space="preserve">4.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Prescribing consultant (Nephrology / Transfusion Medicine / treating specialty):</w:t>
      </w:r>
      <w:r>
        <w:t xml:space="preserve"> indication (ASFA category), number and frequency of sessions, replacement fluid, consent.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Transfusion Medicine (blood centre):</w:t>
      </w:r>
      <w:r>
        <w:t xml:space="preserve"> supply of FFP / cryo-poor plasma / albumin, compatibility, and centrifugal apheresis service where applicable.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Dialysis / apheresis nurse (trained):</w:t>
      </w:r>
      <w:r>
        <w:t xml:space="preserve"> machine set-up, priming, conduct of procedure, monitoring and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Nephrology resident:</w:t>
      </w:r>
      <w:r>
        <w:t xml:space="preserve"> vascular access, pre-procedure labs, management of complications.</w:t>
      </w:r>
    </w:p>
    <w:p>
      <w:pPr>
        <w:pStyle w:val="Heading1"/>
      </w:pPr>
      <w:r>
        <w:t xml:space="preserve">5. Authority</w:t>
      </w:r>
    </w:p>
    <w:p>
      <w:pPr>
        <w:spacing w:after="100"/>
      </w:pPr>
      <w:r>
        <w:t xml:space="preserve">HOD Nephrology (membrane TPE in Dialysis Unit) and HOD Transfusion Medicine (centrifugal apheresis, blood product use) jointly. Hospital Transfusion Committee reviews adverse reactions (haemovigilance – PvPI / HvPI reporting).</w:t>
      </w:r>
    </w:p>
    <w:p>
      <w:pPr>
        <w:pStyle w:val="Heading1"/>
      </w:pPr>
      <w:r>
        <w:t xml:space="preserve">6. Specific Environmental Requirement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Dialysis / apheresis bay or ICU bed with continuous monitoring (ECG, SpO₂, NIBP) and resuscitation trolley including anaphylaxis kit (adrenaline), calcium gluconate and IV fluids.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 warmer for large-volume FFP replacement where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Aseptic technique for access handling; PPE for staff; spill kit and BMW disposal.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 products stored and transported per Drugs &amp; Cosmetics Rules / NBTC guidelines; FFP thawed at 30–37 °C and used within the recommended time.</w:t>
      </w:r>
    </w:p>
    <w:p>
      <w:pPr>
        <w:pStyle w:val="Heading1"/>
      </w:pPr>
      <w:r>
        <w:t xml:space="preserve">7. Equipment / Instruments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Membrane TPE:</w:t>
      </w:r>
      <w:r>
        <w:t xml:space="preserve"> HD / CRRT machine with TPE mode (e.g., Prismaflex TPE set, multiFiltrate, or dialysis machine with plasma filter), </w:t>
      </w:r>
      <w:r>
        <w:rPr>
          <w:b/>
          <w:bCs/>
        </w:rPr>
        <w:t xml:space="preserve">plasma separator</w:t>
      </w:r>
      <w:r>
        <w:t xml:space="preserve"> (polysulfone / polyethylene hollow fibre, pore size ~0.2–0.6 µm, sieving coefficient for IgG ~0.9–1.0), plasma tubing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Centrifugal TPE:</w:t>
      </w:r>
      <w:r>
        <w:t xml:space="preserve"> apheresis machine (e.g., Spectra Optia / COM.TEC) with exchange kit – usually performed by Transfusion Medicine.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Vascular access: dual-lumen non-tunnelled dialysis catheter (11.5–13.5 Fr) for mTPE (needs Qb 100–150 mL/min); peripheral 16–18 G cannulae may suffice for centrifugal TPE.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Replacement fluid: </w:t>
      </w:r>
      <w:r>
        <w:rPr>
          <w:b/>
          <w:bCs/>
        </w:rPr>
        <w:t xml:space="preserve">5% human albumin</w:t>
      </w:r>
      <w:r>
        <w:t xml:space="preserve"> (dilute 20% albumin with 0.9% saline if 5% not available), </w:t>
      </w:r>
      <w:r>
        <w:rPr>
          <w:b/>
          <w:bCs/>
        </w:rPr>
        <w:t xml:space="preserve">FFP</w:t>
      </w:r>
      <w:r>
        <w:t xml:space="preserve"> / cryo-poor plasma, 0.9% saline (limited proportion).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Anticoagulant: unfractionated heparin (mTPE) or ACD-A citrate (centrifugal; mTPE with citrate protocol); calcium gluconate 10% for supplementation.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Infusion pumps, blood warmer, weighing scale, glucometer, ionised calcium analyser (ABG).</w:t>
      </w:r>
    </w:p>
    <w:p>
      <w:pPr>
        <w:pStyle w:val="Heading1"/>
      </w:pPr>
      <w:r>
        <w:t xml:space="preserve">8. Procedure</w:t>
      </w:r>
    </w:p>
    <w:p>
      <w:pPr>
        <w:pStyle w:val="Heading2"/>
      </w:pPr>
      <w:r>
        <w:t xml:space="preserve">8.1 Indications (ASFA 2023, 9th Special Issue)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3"/>
        <w:gridCol w:w="1805"/>
        <w:gridCol w:w="3868"/>
      </w:tblGrid>
      <w:tr>
        <w:trPr>
          <w:tblHeader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ASFA category (TPE)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Usual regimen</w:t>
            </w:r>
          </w:p>
        </w:tc>
      </w:tr>
      <w:tr>
        <w:trPr>
          <w:cantSplit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Anti-GBM disease – DAH, or dialysis-independent kidney disease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Daily 1–1.5 PV for 10–20 sessions / 14 days or until anti-GBM antibody undetectable; FFP at end if DAH or post-biopsy.</w:t>
            </w:r>
          </w:p>
        </w:tc>
      </w:tr>
      <w:tr>
        <w:trPr>
          <w:cantSplit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Anti-GBM – dialysis-dependent without DAH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III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Individualised (low chance of renal recovery if dialysis-dependent with 100 % crescents).</w:t>
            </w:r>
          </w:p>
        </w:tc>
      </w:tr>
      <w:tr>
        <w:trPr>
          <w:cantSplit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Thrombotic thrombocytopenic purpura (TTP, acquired)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Daily 1–1.5 PV with </w:t>
            </w:r>
            <w:r>
              <w:rPr>
                <w:b/>
                <w:bCs/>
                <w:sz w:val="20"/>
                <w:szCs w:val="20"/>
              </w:rPr>
              <w:t xml:space="preserve">FFP / plasma as replacement</w:t>
            </w:r>
            <w:r>
              <w:rPr>
                <w:sz w:val="20"/>
                <w:szCs w:val="20"/>
              </w:rPr>
              <w:t xml:space="preserve"> until platelets &gt; 150 × 10⁹/L for 2 days; with steroids, rituximab, caplacizumab.</w:t>
            </w:r>
          </w:p>
        </w:tc>
      </w:tr>
      <w:tr>
        <w:trPr>
          <w:cantSplit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ANCA-associated vasculitis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II / III (individualised)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Post-PEXIVAS: not routine; </w:t>
            </w:r>
            <w:r>
              <w:rPr>
                <w:b/>
                <w:bCs/>
                <w:sz w:val="20"/>
                <w:szCs w:val="20"/>
              </w:rPr>
              <w:t xml:space="preserve">KDIGO 2024 – consider</w:t>
            </w:r>
            <w:r>
              <w:rPr>
                <w:sz w:val="20"/>
                <w:szCs w:val="20"/>
              </w:rPr>
              <w:t xml:space="preserve"> in patients with serum creatinine &gt; 3.4 mg/dL (300 µmol/L), rapidly rising creatinine, dialysis-requirement, or DAH with hypoxaemia; 7 sessions over 14 days.</w:t>
            </w:r>
          </w:p>
        </w:tc>
      </w:tr>
      <w:tr>
        <w:trPr>
          <w:cantSplit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Antibody-mediated rejection (kidney transplant); ABO/HLA-incompatible desensitisation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 – II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Alternate-day 1–1.5 PV with IVIG 100 mg/kg after each session; protocol-driven titres.</w:t>
            </w:r>
          </w:p>
        </w:tc>
      </w:tr>
      <w:tr>
        <w:trPr>
          <w:cantSplit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Recurrent FSGS after kidney transplant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Daily × 3 then tapering frequency per proteinuria response.</w:t>
            </w:r>
          </w:p>
        </w:tc>
      </w:tr>
      <w:tr>
        <w:trPr>
          <w:cantSplit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Hyperviscosity in monoclonal gammopathy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1–1.5 PV daily until symptoms resolve.</w:t>
            </w:r>
          </w:p>
        </w:tc>
      </w:tr>
      <w:tr>
        <w:trPr>
          <w:cantSplit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Myeloma cast nephropathy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II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Individualised; high cut-off HD is an alternative (limited benefit in trials).</w:t>
            </w:r>
          </w:p>
        </w:tc>
      </w:tr>
      <w:tr>
        <w:trPr>
          <w:cantSplit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Atypical HUS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Complement factor antibody: I; complement gene mutation: III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Use only until complement inhibitor (eculizumab / ravulizumab) is available.</w:t>
            </w:r>
          </w:p>
        </w:tc>
      </w:tr>
      <w:tr>
        <w:trPr>
          <w:cantSplit/>
        </w:trPr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Guillain–Barré syndrome / myasthenic crisis / CIDP</w:t>
            </w:r>
          </w:p>
        </w:tc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386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 exchanges of 1–1.5 PV over 10–14 days (GBS); per neurology.</w:t>
            </w:r>
          </w:p>
        </w:tc>
      </w:tr>
    </w:tbl>
    <w:p>
      <w:pPr>
        <w:spacing w:after="80"/>
      </w:pPr>
    </w:p>
    <w:p>
      <w:pPr>
        <w:pBdr>
          <w:left w:val="single" w:color="E69500" w:sz="18" w:space="6"/>
        </w:pBdr>
        <w:shd w:fill="FFF4E5" w:color="auto" w:val="clear"/>
        <w:spacing w:after="120" w:before="80"/>
        <w:ind w:left="120"/>
      </w:pPr>
      <w:r>
        <w:t xml:space="preserve">Always verify the current ASFA category and grade for the specific indication before prescribing. Category III/IV indications require consultant justification and documentation; Category IV indications should not be treated with TPE outside an approved study.</w:t>
      </w:r>
    </w:p>
    <w:p>
      <w:pPr>
        <w:pStyle w:val="Heading2"/>
      </w:pPr>
      <w:r>
        <w:t xml:space="preserve">8.2 Pre-procedure assessment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Consultant documents indication, ASFA category, goal, number/frequency of sessions and replacement fluid.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Informed written consent (procedure and blood products) – risks: hypotension, citrate toxicity (paraesthesia, tetany, arrhythmia), allergic / anaphylactic reactions (especially FFP), TRALI, transfusion-transmitted infection, bleeding (coagulation factor depletion), infection (hypogammaglobulinaemia), catheter complications, removal of drugs.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Baseline labs: CBC, PT/INR, aPTT, </w:t>
      </w:r>
      <w:r>
        <w:rPr>
          <w:b/>
          <w:bCs/>
        </w:rPr>
        <w:t xml:space="preserve">fibrinogen</w:t>
      </w:r>
      <w:r>
        <w:t xml:space="preserve">, Ca²⁺ (ionised), K⁺, Mg²⁺, albumin, total protein, IgG (if multiple sessions), blood group, disease-specific markers (anti-GBM titre, ADAMTS13, LDH, haptoglobin, ANCA, DSA, paraprotein).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Vitals, weight, height, haematocrit; volume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Medication review:</w:t>
      </w:r>
      <w:r>
        <w:t xml:space="preserve"> withhold </w:t>
      </w:r>
      <w:r>
        <w:rPr>
          <w:b/>
          <w:bCs/>
        </w:rPr>
        <w:t xml:space="preserve">ACE inhibitors for 24–48 h</w:t>
      </w:r>
      <w:r>
        <w:t xml:space="preserve"> before TPE (risk of bradykinin-mediated hypotension/flushing, especially with albumin); schedule drugs that are highly protein-bound or have small Vd (e.g., some antibiotics, antiepileptics) </w:t>
      </w:r>
      <w:r>
        <w:rPr>
          <w:b/>
          <w:bCs/>
        </w:rPr>
        <w:t xml:space="preserve">after</w:t>
      </w:r>
      <w:r>
        <w:t xml:space="preserve"> TPE; give IVIG, rituximab and other monoclonal antibodies </w:t>
      </w:r>
      <w:r>
        <w:rPr>
          <w:b/>
          <w:bCs/>
        </w:rPr>
        <w:t xml:space="preserve">after</w:t>
      </w:r>
      <w:r>
        <w:t xml:space="preserve"> the session (rituximab: allow ≥ 48–72 h before the next TPE where possible); hold LMWH / anticoagulants as advised.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Vascular access in place (SOP/AKD/01); confirm free flow on both lumens.</w:t>
      </w:r>
    </w:p>
    <w:p>
      <w:pPr>
        <w:pStyle w:val="Heading2"/>
      </w:pPr>
      <w:r>
        <w:t xml:space="preserve">8.3 Prescription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Estimated plasma volume (EPV), adults (Kaplan):</w:t>
      </w:r>
      <w:r>
        <w:t xml:space="preserve"> EPV (L) = 0.07 × weight (kg) × (1 – haematocrit). (Alternative Nadler formula for TBV × (1 – Hct).)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Exchange volume:</w:t>
      </w:r>
      <w:r>
        <w:t xml:space="preserve"> 1.0–1.5 × EPV per session (1 PV removes ~63 %, 1.5 PV ~78 % of an intravascular substance; larger volumes add little).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Example: 60 kg, Hct 0.30 → EPV = 0.07 × 60 × 0.70 = 2.94 L; 1.25 PV ≈ 3.7 L per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IgG (largely extravascular, re-equilibrates in 24–48 h): sessions daily or alternate days; ~5 sessions of 1–1.5 PV over 7–10 days remove ~85–90 % of total body IgG.</w:t>
      </w:r>
    </w:p>
    <w:p>
      <w:pPr>
        <w:pStyle w:val="Heading2"/>
      </w:pPr>
      <w:r>
        <w:t xml:space="preserve">8.4 Replacement fluid selection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3"/>
        <w:gridCol w:w="3353"/>
        <w:gridCol w:w="3610"/>
      </w:tblGrid>
      <w:tr>
        <w:trPr>
          <w:tblHeader/>
        </w:trPr>
        <w:tc>
          <w:tcPr>
            <w:tcW w:type="dxa" w:w="206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Replacement fluid</w:t>
            </w:r>
          </w:p>
        </w:tc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36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Precautions</w:t>
            </w:r>
          </w:p>
        </w:tc>
      </w:tr>
      <w:tr>
        <w:trPr>
          <w:cantSplit/>
        </w:trPr>
        <w:tc>
          <w:tcPr>
            <w:tcW w:type="dxa" w:w="206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5 % human albumin (± up to 20–30 % 0.9% saline in stable patients)</w:t>
            </w:r>
          </w:p>
        </w:tc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Default for most indications (anti-GBM without bleeding, ANCA, neurological, AMR)</w:t>
            </w:r>
          </w:p>
        </w:tc>
        <w:tc>
          <w:tcPr>
            <w:tcW w:type="dxa" w:w="36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Depletes clotting factors, fibrinogen and immunoglobulins with repeated daily sessions; no infection/allergic risk compared with FFP.</w:t>
            </w:r>
          </w:p>
        </w:tc>
      </w:tr>
      <w:tr>
        <w:trPr>
          <w:cantSplit/>
        </w:trPr>
        <w:tc>
          <w:tcPr>
            <w:tcW w:type="dxa" w:w="206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FFP / plasma (ABO-compatible)</w:t>
            </w:r>
          </w:p>
        </w:tc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TTP and other TMA (replaces ADAMTS13); DAH, active bleeding, within 24–48 h of biopsy/surgery, fibrinogen &lt; 100–150 mg/dL, INR &gt; 1.5</w:t>
            </w:r>
          </w:p>
        </w:tc>
        <w:tc>
          <w:tcPr>
            <w:tcW w:type="dxa" w:w="36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Allergic reactions, citrate load (hypocalcaemia), TRALI, volume, infection risk; ABO-compatible.</w:t>
            </w:r>
          </w:p>
        </w:tc>
      </w:tr>
      <w:tr>
        <w:trPr>
          <w:cantSplit/>
        </w:trPr>
        <w:tc>
          <w:tcPr>
            <w:tcW w:type="dxa" w:w="206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Combination (albumin + FFP at end, e.g., last 1–2 units)</w:t>
            </w:r>
          </w:p>
        </w:tc>
        <w:tc>
          <w:tcPr>
            <w:tcW w:type="dxa" w:w="335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Daily sessions with coagulopathy risk, post-biopsy</w:t>
            </w:r>
          </w:p>
        </w:tc>
        <w:tc>
          <w:tcPr>
            <w:tcW w:type="dxa" w:w="36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Monitor fibrinogen before each session.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8.5 Anticoagulation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Membrane TPE – heparin:</w:t>
      </w:r>
      <w:r>
        <w:t xml:space="preserve"> loading 1,000–2,000 IU (25–50 IU/kg), maintenance 500–1,000 IU/h; reduce or omit if bleeding risk / DAH / fresh biopsy; target ACT 180–220 s if monitored.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Centrifugal TPE – citrate (ACD-A):</w:t>
      </w:r>
      <w:r>
        <w:t xml:space="preserve"> inlet ratio 1:12–1:15 (whole blood : ACD-A); prophylactic calcium gluconate infusion (e.g., 10 mL of 10% per litre of exchanged volume, or continuous infusion as per protocol) especially with FFP replacement; monitor ionised calcium.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Citrate is the anticoagulant of choice when there is a bleeding risk or HIT.</w:t>
      </w:r>
    </w:p>
    <w:p>
      <w:pPr>
        <w:pStyle w:val="Heading2"/>
      </w:pPr>
      <w:r>
        <w:t xml:space="preserve">8.6 Procedure – membrane TPE on HD/CRRT platform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Verify patient identity, consent, prescription, replacement fluid volume and products (two-person check for blood products).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Load plasma separator and tubing set as per machine; prime with heparinised saline (2,000–5,000 IU/L) as per manufacturer.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Programme: blood flow (Qb) </w:t>
      </w:r>
      <w:r>
        <w:rPr>
          <w:b/>
          <w:bCs/>
        </w:rPr>
        <w:t xml:space="preserve">100–150 mL/min</w:t>
      </w:r>
      <w:r>
        <w:t xml:space="preserve">; plasma removal rate typically </w:t>
      </w:r>
      <w:r>
        <w:rPr>
          <w:b/>
          <w:bCs/>
        </w:rPr>
        <w:t xml:space="preserve">≤ 20–30 % of Qb</w:t>
      </w:r>
      <w:r>
        <w:t xml:space="preserve"> (filtration fraction ≤ 30 %, usually 20–25 mL/min); TMP within manufacturer limit (generally &lt; 60–100 mmHg) to prevent haemolysis; replacement fluid rate equal to plasma removal (net fluid balance zero unless volume removal ordered).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Warm replacement fluid (blood warmer) especially FFP and large volumes.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Connect to catheter using aseptic technique (SOP/AKD/11); give heparin bolus; start blood pump at 50 mL/min and increase to target; then start plasma removal and replacement.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Exchange the prescribed volume (usually completed in 1.5–3 h).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At the end, return blood with saline; lock catheter; send post-procedure samples as required.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Dispose of removed plasma as BMW (yellow category) – treat as potentially infectious.</w:t>
      </w:r>
    </w:p>
    <w:p>
      <w:pPr>
        <w:pStyle w:val="Heading2"/>
      </w:pPr>
      <w:r>
        <w:t xml:space="preserve">8.7 Monitoring during TPE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Vitals (BP, pulse, SpO₂, temperature) at start, every 15 min for first hour, then every 30 min; continuous ECG in cardiac patients or with citrate.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Symptoms of hypocalcaemia (perioral/digital tingling, cramps, chills, nausea, tetany, prolonged QT); allergic symptoms (urticaria, wheeze); haemolysis (pink plasma/urine, blood-leak alarm).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Machine: TMP, access/return pressures, filtration fraction, volumes removed/replaced.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Ionised Ca²⁺ hourly in citrate procedures or FFP replacement; blood glucose in diabetics.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Between sessions: CBC, fibrinogen (keep &gt; 100–150 mg/dL), PT/aPTT, electrolytes, albumin, IgG (consider IVIG 100–400 mg/kg if IgG &lt; 300–400 mg/dL with infection).</w:t>
      </w:r>
    </w:p>
    <w:p>
      <w:pPr>
        <w:pStyle w:val="Heading2"/>
      </w:pPr>
      <w:r>
        <w:t xml:space="preserve">8.8 Adverse events and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406"/>
      </w:tblGrid>
      <w:tr>
        <w:trPr>
          <w:tblHeader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Adverse event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Citrate toxicity / hypocalcaemia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Slow the procedure / reduce citrate ratio; give calcium gluconate 10% 10 mL IV slowly (repeat as needed); check iCa²⁺; increase calcium infusion.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Hypotension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Stop plasma removal, reduce Qb, Trendelenburg, saline/albumin bolus; check ACE-inhibitor use, vasovagal reaction, bleeding, anaphylaxis.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Urticaria / mild allergic reaction (FFP)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Pause, antihistamine (chlorpheniramine 10 mg IV); continue cautiously once resolved.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Anaphylaxis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Stop procedure, do not return blood, </w:t>
            </w:r>
            <w:r>
              <w:rPr>
                <w:b/>
                <w:bCs/>
                <w:sz w:val="20"/>
                <w:szCs w:val="20"/>
              </w:rPr>
              <w:t xml:space="preserve">adrenaline 0.5 mg IM</w:t>
            </w:r>
            <w:r>
              <w:rPr>
                <w:sz w:val="20"/>
                <w:szCs w:val="20"/>
              </w:rPr>
              <w:t xml:space="preserve"> (repeat 5 min), airway, O₂, fluids, hydrocortisone; haemovigilance report.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TRALI / TACO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Stop transfusion; O₂/ventilatory support; diuretics for TACO; report to blood centre.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Haemolysis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Stop, check TMP/filtration fraction, kinked lines, fluid temperature/osmolarity; send plasma Hb, LDH.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Bleeding / coagulopathy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Replace with FFP / cryoprecipitate; reduce heparin; space sessions.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Infection (hypogammaglobulinaemia, catheter)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Cultures; antibiotics; consider IVIG.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Thrombosis of circuit / filter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Increase anticoagulation if no contraindication; replace separator.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8.9 Documentation &amp; post-procedure</w:t>
      </w:r>
    </w:p>
    <w:p>
      <w:pPr>
        <w:spacing w:after="100"/>
      </w:pPr>
      <w:r>
        <w:t xml:space="preserve">Record session number, EPV, volume exchanged, replacement fluids used (product numbers), anticoagulant, duration, adverse events and pre/post labs. Assess clinical and laboratory response before each subsequent session and discontinue when therapeutic goal is achieved or futility is evident.</w:t>
      </w:r>
    </w:p>
    <w:p>
      <w:pPr>
        <w:pStyle w:val="Heading1"/>
      </w:pPr>
      <w:r>
        <w:t xml:space="preserve">9. Forms &amp;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Informed consent – Therapeutic plasma exchange &amp; blood product transfusion (FORM/AKD/13).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TPE prescription &amp; monitoring chart (EPV calculation, fluids, anticoagulation, vitals) (FORM/AKD/14).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 product requisition and issue forms (Blood Centre); transfusion reaction / haemovigilance reporting form (HvPI).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TPE register (indication, ASFA category, number of sessions, outcomes).</w:t>
      </w:r>
    </w:p>
    <w:p>
      <w:pPr>
        <w:pStyle w:val="Heading1"/>
      </w:pPr>
      <w:r>
        <w:t xml:space="preserve">10. References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Connelly-Smith L, Alquist CR, Aqui NA, et al. Guidelines on the Use of Therapeutic Apheresis in Clinical Practice – Evidence-Based Approach from the Writing Committee of the American Society for Apheresis: The Ninth Special Issue. J Clin Apher. 2023;38:77–278.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Walsh M, Merkel PA, Peh CA, et al. Plasma Exchange and Glucocorticoids in Severe ANCA-Associated Vasculitis (PEXIVAS). N Engl J Med. 2020;382:622–631.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KDIGO 2024 Clinical Practice Guideline for the Management of Antineutrophil Cytoplasmic Antibody (ANCA)-Associated Vasculitis. Kidney Int. 2024;105(3S):S71–S116.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KDIGO 2021 Clinical Practice Guideline for the Management of Glomerular Diseases. Kidney Int. 2021;100(4S):S1–S276 (Chapter on anti-GBM disease).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Kaplan AA. Therapeutic plasma exchange: a technical and operational review. J Clin Apher. 2013;28:3–10.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Ward DM. Conventional apheresis therapies: a review. J Clin Apher. 2011;26:230–238.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National Blood Transfusion Council (NBTC), MoHFW, Government of India. Guidelines for the Clinical Use of Blood, and Haemovigilance Programme of India (HvPI), NIB.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Government of India. Drugs and Cosmetics Rules, 1945 – Part XII-B (Blood Centres and blood components), as amended.</w:t>
      </w:r>
    </w:p>
    <w:p>
      <w:pPr>
        <w:pStyle w:val="Heading1"/>
      </w:pPr>
      <w:r>
        <w:t xml:space="preserve">11.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ACD-A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Acid Citrate Dextrose – formula A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AMR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Antibody-Mediated Rejection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ASFA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American Society for Apheresis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DAH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Diffuse Alveolar Haemorrhage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EPV / PV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Estimated Plasma Volume / Plasma Volume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TMA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Thrombotic Microangiopathy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TPE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Therapeutic Plasma Exchange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TRALI / TACO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Transfusion-Related Acute Lung Injury / Transfusion-Associated Circulatory Overload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Document Approval &amp;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541"/>
        <w:gridCol w:w="4403"/>
        <w:gridCol w:w="1981"/>
      </w:tblGrid>
      <w:tr>
        <w:trPr>
          <w:tblHeader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First issue</w:t>
            </w: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</w:tbl>
    <w:p>
      <w:pPr>
        <w:spacing w:after="80"/>
      </w:pPr>
    </w:p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This SOP is based on current published guidelines. It does not replace clinical judgement; deviations must be justified and documented in the patient record. Drug doses must be verified against the current hospital formulary and adjusted for renal function.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Controlled document – do not photocopy without authorisation. Version 1.0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9C1" w:sz="4" w:space="2"/>
      </w:pBdr>
      <w:tabs>
        <w:tab w:val="right" w:pos="9026"/>
      </w:tabs>
    </w:pPr>
    <w:r>
      <w:rPr>
        <w:color w:val="595959"/>
        <w:sz w:val="17"/>
        <w:szCs w:val="17"/>
      </w:rPr>
      <w:t xml:space="preserve">[Hospital Name] | Department of Nephrology – AKD / Dialysis Unit</w:t>
    </w:r>
    <w:r>
      <w:rPr>
        <w:b/>
        <w:bCs/>
        <w:color w:val="595959"/>
        <w:sz w:val="17"/>
        <w:szCs w:val="17"/>
      </w:rPr>
      <w:t xml:space="preserve">	SOP/AKD/07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  <w:lvl w:ilvl="2" w15:tentative="1">
      <w:start w:val="1"/>
      <w:numFmt w:val="bullet"/>
      <w:lvlText w:val="◦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20" w:before="28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alibri" w:cs="Calibri" w:eastAsia="Calibri" w:hAnsi="Calibri"/>
      <w:b/>
      <w:bCs/>
      <w:i/>
      <w:i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Therapeutic Plasma Exchange (Plasmapheresis)</dc:title>
  <dc:creator>Department of Nephrology</dc:creator>
  <cp:lastModifiedBy>Un-named</cp:lastModifiedBy>
  <cp:revision>1</cp:revision>
  <dcterms:created xsi:type="dcterms:W3CDTF">2026-10-13T04:51:53.423Z</dcterms:created>
  <dcterms:modified xsi:type="dcterms:W3CDTF">2026-10-13T04:51:53.423Z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