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595959"/>
          <w:sz w:val="22"/>
          <w:szCs w:val="22"/>
        </w:rPr>
        <w:t xml:space="preserve">STANDARD OPERATING PROCEDURE</w:t>
      </w:r>
    </w:p>
    <w:p>
      <w:pPr>
        <w:spacing w:after="200"/>
        <w:jc w:val="center"/>
      </w:pPr>
      <w:r>
        <w:rPr>
          <w:b/>
          <w:bCs/>
          <w:color w:val="1F4E79"/>
          <w:sz w:val="34"/>
          <w:szCs w:val="34"/>
        </w:rPr>
        <w:t xml:space="preserve">Sustained Low-Efficiency Dialysis (SLED) – Initiation &amp;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13"/>
        <w:gridCol w:w="2200"/>
        <w:gridCol w:w="2313"/>
      </w:tblGrid>
      <w:tr>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SOP No.</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SOP/AKD/08</w:t>
            </w:r>
          </w:p>
        </w:tc>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Version</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1.0</w:t>
            </w:r>
          </w:p>
        </w:tc>
      </w:tr>
      <w:tr>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Department</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Nephrology – AKD / Dialysis Unit</w:t>
            </w:r>
          </w:p>
        </w:tc>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Effective Date</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__</w:t>
            </w:r>
            <w:r>
              <w:rPr>
                <w:i/>
                <w:iCs/>
                <w:sz w:val="20"/>
                <w:szCs w:val="20"/>
              </w:rPr>
              <w:t xml:space="preserve"> / </w:t>
            </w:r>
            <w:r>
              <w:rPr>
                <w:i/>
                <w:iCs/>
                <w:sz w:val="20"/>
                <w:szCs w:val="20"/>
              </w:rPr>
              <w:t xml:space="preserve"> / </w:t>
            </w:r>
            <w:r>
              <w:rPr>
                <w:sz w:val="20"/>
                <w:szCs w:val="20"/>
              </w:rPr>
              <w:t xml:space="preserve">____</w:t>
            </w:r>
          </w:p>
        </w:tc>
      </w:tr>
      <w:tr>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Prepared by</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 / Sign / Date</w:t>
            </w:r>
          </w:p>
        </w:tc>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Next Review Date</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2 years from effective date or earlier if guidelines change</w:t>
            </w:r>
          </w:p>
        </w:tc>
      </w:tr>
      <w:tr>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Reviewed by</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 / Sign / Date</w:t>
            </w:r>
          </w:p>
        </w:tc>
        <w:tc>
          <w:tcPr>
            <w:tcW w:type="dxa" w:w="2200"/>
            <w:tcBorders>
              <w:top w:val="single" w:color="8EA9C1" w:sz="4"/>
              <w:left w:val="single" w:color="8EA9C1" w:sz="4"/>
              <w:bottom w:val="single" w:color="8EA9C1" w:sz="4"/>
              <w:right w:val="single" w:color="8EA9C1" w:sz="4"/>
            </w:tcBorders>
            <w:shd w:fill="DCE6F1" w:color="auto" w:val="clear"/>
            <w:tcMar>
              <w:top w:type="dxa" w:w="60"/>
              <w:left w:type="dxa" w:w="100"/>
              <w:bottom w:type="dxa" w:w="60"/>
              <w:right w:type="dxa" w:w="100"/>
            </w:tcMar>
          </w:tcPr>
          <w:p>
            <w:pPr>
              <w:spacing w:after="40" w:before="40"/>
            </w:pPr>
            <w:r>
              <w:rPr>
                <w:b/>
                <w:bCs/>
                <w:sz w:val="20"/>
                <w:szCs w:val="20"/>
              </w:rPr>
              <w:t xml:space="preserve">Approved by</w:t>
            </w:r>
          </w:p>
        </w:tc>
        <w:tc>
          <w:tcPr>
            <w:tcW w:type="dxa" w:w="231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 / Sign / Date</w:t>
            </w:r>
          </w:p>
        </w:tc>
      </w:tr>
    </w:tbl>
    <w:p>
      <w:pPr>
        <w:spacing w:after="120"/>
      </w:pPr>
    </w:p>
    <w:p>
      <w:pPr>
        <w:pStyle w:val="Heading1"/>
      </w:pPr>
      <w:r>
        <w:t xml:space="preserve">1. Name</w:t>
      </w:r>
    </w:p>
    <w:p>
      <w:pPr>
        <w:spacing w:after="100"/>
      </w:pPr>
      <w:r>
        <w:rPr>
          <w:b/>
          <w:bCs/>
        </w:rPr>
        <w:t xml:space="preserve">Sustained Low-Efficiency Dialysis (SLED) – Initiation &amp; Monitoring</w:t>
      </w:r>
    </w:p>
    <w:p>
      <w:pPr>
        <w:pStyle w:val="Heading1"/>
      </w:pPr>
      <w:r>
        <w:t xml:space="preserve">2. Purpose</w:t>
      </w:r>
    </w:p>
    <w:p>
      <w:pPr>
        <w:spacing w:after="100"/>
      </w:pPr>
      <w:r>
        <w:t xml:space="preserve">To standardise the use of sustained low-efficiency (daily) dialysis (SLED / SLEDD / PIRRT), a hybrid prolonged intermittent kidney replacement therapy, for critically ill patients with AKI who are haemodynamically unstable or at risk of cerebral oedema, so that adequate solute clearance and fluid removal are achieved with haemodynamic stability using conventional HD machines.</w:t>
      </w:r>
    </w:p>
    <w:p>
      <w:pPr>
        <w:pStyle w:val="Heading1"/>
      </w:pPr>
      <w:r>
        <w:t xml:space="preserve">3. Scope</w:t>
      </w:r>
    </w:p>
    <w:p>
      <w:pPr>
        <w:spacing w:after="100"/>
      </w:pPr>
      <w:r>
        <w:t xml:space="preserve">Adult patients with AKI / AKD (including acute-on-chronic kidney disease) in ICUs and the AKD / Dialysis Unit who need KRT and are haemodynamically unstable (on vasopressors), fluid overloaded with intolerance to conventional HD, or have raised intracranial pressure / acute liver failure, where CRRT is unavailable, unaffordable or not preferred.</w:t>
      </w:r>
    </w:p>
    <w:p>
      <w:pPr>
        <w:spacing w:after="100"/>
      </w:pPr>
      <w:r>
        <w:t xml:space="preserve">Covers indication, vascular access, prescription (duration, blood and dialysate flow, UF, dialysate composition), anticoagulation, monitoring, drug dosing, complications and transition criteria.</w:t>
      </w:r>
    </w:p>
    <w:p>
      <w:pPr>
        <w:pStyle w:val="Heading1"/>
      </w:pPr>
      <w:r>
        <w:t xml:space="preserve">4. Responsibility</w:t>
      </w:r>
    </w:p>
    <w:p>
      <w:pPr>
        <w:pStyle w:val="ListParagraph"/>
        <w:numPr>
          <w:ilvl w:val="0"/>
          <w:numId w:val="2"/>
        </w:numPr>
        <w:spacing w:after="60"/>
      </w:pPr>
      <w:r>
        <w:rPr>
          <w:b/>
          <w:bCs/>
        </w:rPr>
        <w:t xml:space="preserve">Nephrologist / intensivist (joint):</w:t>
      </w:r>
      <w:r>
        <w:t xml:space="preserve"> decision for SLED, daily written prescription, anticoagulation, drug dosing review, daily assessment for transition or renal recovery.</w:t>
      </w:r>
    </w:p>
    <w:p>
      <w:pPr>
        <w:pStyle w:val="ListParagraph"/>
        <w:numPr>
          <w:ilvl w:val="0"/>
          <w:numId w:val="2"/>
        </w:numPr>
        <w:spacing w:after="60"/>
      </w:pPr>
      <w:r>
        <w:rPr>
          <w:b/>
          <w:bCs/>
        </w:rPr>
        <w:t xml:space="preserve">Dialysis nurse (trained in ICU dialysis):</w:t>
      </w:r>
      <w:r>
        <w:t xml:space="preserve"> machine preparation, connection, hourly monitoring, documentation, alarms, disconnection.</w:t>
      </w:r>
    </w:p>
    <w:p>
      <w:pPr>
        <w:pStyle w:val="ListParagraph"/>
        <w:numPr>
          <w:ilvl w:val="0"/>
          <w:numId w:val="2"/>
        </w:numPr>
        <w:spacing w:after="60"/>
      </w:pPr>
      <w:r>
        <w:rPr>
          <w:b/>
          <w:bCs/>
        </w:rPr>
        <w:t xml:space="preserve">ICU nurse:</w:t>
      </w:r>
      <w:r>
        <w:t xml:space="preserve"> vasopressor titration, fluid balance charting, monitoring between dialysis staff checks.</w:t>
      </w:r>
    </w:p>
    <w:p>
      <w:pPr>
        <w:pStyle w:val="ListParagraph"/>
        <w:numPr>
          <w:ilvl w:val="0"/>
          <w:numId w:val="2"/>
        </w:numPr>
        <w:spacing w:after="60"/>
      </w:pPr>
      <w:r>
        <w:rPr>
          <w:b/>
          <w:bCs/>
        </w:rPr>
        <w:t xml:space="preserve">Clinical pharmacist:</w:t>
      </w:r>
      <w:r>
        <w:t xml:space="preserve"> antimicrobial and drug dose adjustment for SLED.</w:t>
      </w:r>
    </w:p>
    <w:p>
      <w:pPr>
        <w:pStyle w:val="Heading1"/>
      </w:pPr>
      <w:r>
        <w:t xml:space="preserve">5. Authority</w:t>
      </w:r>
    </w:p>
    <w:p>
      <w:pPr>
        <w:spacing w:after="100"/>
      </w:pPr>
      <w:r>
        <w:t xml:space="preserve">Consultant Nephrologist in-charge of AKD / ICU nephrology services, in coordination with ICU consultant-in-charge.</w:t>
      </w:r>
    </w:p>
    <w:p>
      <w:pPr>
        <w:pStyle w:val="Heading1"/>
      </w:pPr>
      <w:r>
        <w:t xml:space="preserve">6. Specific Environmental Requirement</w:t>
      </w:r>
    </w:p>
    <w:p>
      <w:pPr>
        <w:pStyle w:val="ListParagraph"/>
        <w:numPr>
          <w:ilvl w:val="0"/>
          <w:numId w:val="2"/>
        </w:numPr>
        <w:spacing w:after="60"/>
      </w:pPr>
      <w:r>
        <w:t xml:space="preserve">ICU bed or HDU with continuous monitoring (ECG, invasive/non-invasive BP, SpO₂) and resuscitation facilities.</w:t>
      </w:r>
    </w:p>
    <w:p>
      <w:pPr>
        <w:pStyle w:val="ListParagraph"/>
        <w:numPr>
          <w:ilvl w:val="0"/>
          <w:numId w:val="2"/>
        </w:numPr>
        <w:spacing w:after="60"/>
      </w:pPr>
      <w:r>
        <w:t xml:space="preserve">Portable RO water system or ICU dialysis water outlet meeting ISO 23500 quality (microbial count &lt; 100 CFU/mL, endotoxin &lt; 0.25 EU/mL); or batch / online dialysate system (e.g., Genius) where available.</w:t>
      </w:r>
    </w:p>
    <w:p>
      <w:pPr>
        <w:pStyle w:val="ListParagraph"/>
        <w:numPr>
          <w:ilvl w:val="0"/>
          <w:numId w:val="2"/>
        </w:numPr>
        <w:spacing w:after="60"/>
      </w:pPr>
      <w:r>
        <w:t xml:space="preserve">Infection control precautions as per ICU policy; HBsAg-positive patients on dedicated machines.</w:t>
      </w:r>
    </w:p>
    <w:p>
      <w:pPr>
        <w:pStyle w:val="ListParagraph"/>
        <w:numPr>
          <w:ilvl w:val="0"/>
          <w:numId w:val="2"/>
        </w:numPr>
        <w:spacing w:after="60"/>
      </w:pPr>
      <w:r>
        <w:t xml:space="preserve">Electrical point with UPS/back-up; drain facility.</w:t>
      </w:r>
    </w:p>
    <w:p>
      <w:pPr>
        <w:pStyle w:val="Heading1"/>
      </w:pPr>
      <w:r>
        <w:t xml:space="preserve">7. Equipment / Instruments</w:t>
      </w:r>
    </w:p>
    <w:p>
      <w:pPr>
        <w:pStyle w:val="ListParagraph"/>
        <w:numPr>
          <w:ilvl w:val="0"/>
          <w:numId w:val="2"/>
        </w:numPr>
        <w:spacing w:after="60"/>
      </w:pPr>
      <w:r>
        <w:t xml:space="preserve">Conventional volumetric HD machine capable of low Qd (100–300 mL/min) and prolonged treatment time (or dedicated SLED / batch system).</w:t>
      </w:r>
    </w:p>
    <w:p>
      <w:pPr>
        <w:pStyle w:val="ListParagraph"/>
        <w:numPr>
          <w:ilvl w:val="0"/>
          <w:numId w:val="2"/>
        </w:numPr>
        <w:spacing w:after="60"/>
      </w:pPr>
      <w:r>
        <w:t xml:space="preserve">High-flux synthetic dialyser (1.3–1.8 m²); bloodline set; portable RO unit.</w:t>
      </w:r>
    </w:p>
    <w:p>
      <w:pPr>
        <w:pStyle w:val="ListParagraph"/>
        <w:numPr>
          <w:ilvl w:val="0"/>
          <w:numId w:val="2"/>
        </w:numPr>
        <w:spacing w:after="60"/>
      </w:pPr>
      <w:r>
        <w:t xml:space="preserve">Bicarbonate dialysate concentrates; KCl / phosphate additives as per protocol (pharmacy prepared).</w:t>
      </w:r>
    </w:p>
    <w:p>
      <w:pPr>
        <w:pStyle w:val="ListParagraph"/>
        <w:numPr>
          <w:ilvl w:val="0"/>
          <w:numId w:val="2"/>
        </w:numPr>
        <w:spacing w:after="60"/>
      </w:pPr>
      <w:r>
        <w:t xml:space="preserve">Vascular access: non-tunnelled dual-lumen catheter (SOP/AKD/01) – right IJV or femoral.</w:t>
      </w:r>
    </w:p>
    <w:p>
      <w:pPr>
        <w:pStyle w:val="ListParagraph"/>
        <w:numPr>
          <w:ilvl w:val="0"/>
          <w:numId w:val="2"/>
        </w:numPr>
        <w:spacing w:after="60"/>
      </w:pPr>
      <w:r>
        <w:t xml:space="preserve">Unfractionated heparin &amp; syringe pump, or regional citrate set-up where protocolised; 0.9% saline.</w:t>
      </w:r>
    </w:p>
    <w:p>
      <w:pPr>
        <w:pStyle w:val="ListParagraph"/>
        <w:numPr>
          <w:ilvl w:val="0"/>
          <w:numId w:val="2"/>
        </w:numPr>
        <w:spacing w:after="60"/>
      </w:pPr>
      <w:r>
        <w:t xml:space="preserve">Glucometer, ABG analyser access, infusion pumps.</w:t>
      </w:r>
    </w:p>
    <w:p>
      <w:pPr>
        <w:pStyle w:val="Heading1"/>
      </w:pPr>
      <w:r>
        <w:t xml:space="preserve">8. Procedure</w:t>
      </w:r>
    </w:p>
    <w:p>
      <w:pPr>
        <w:pStyle w:val="Heading2"/>
      </w:pPr>
      <w:r>
        <w:t xml:space="preserve">8.1 Indications for SLED (vs. intermittent HD or CRRT)</w:t>
      </w:r>
    </w:p>
    <w:p>
      <w:pPr>
        <w:pStyle w:val="ListParagraph"/>
        <w:numPr>
          <w:ilvl w:val="0"/>
          <w:numId w:val="2"/>
        </w:numPr>
        <w:spacing w:after="60"/>
      </w:pPr>
      <w:r>
        <w:t xml:space="preserve">AKI requiring KRT (see SOP/AKD/03 for indications) in a patient who is </w:t>
      </w:r>
      <w:r>
        <w:rPr>
          <w:b/>
          <w:bCs/>
        </w:rPr>
        <w:t xml:space="preserve">haemodynamically unstable</w:t>
      </w:r>
      <w:r>
        <w:t xml:space="preserve"> (MAP &lt; 65 mmHg or on vasopressors), or who has large fluid removal needs with poor tolerance to rapid UF.</w:t>
      </w:r>
    </w:p>
    <w:p>
      <w:pPr>
        <w:pStyle w:val="ListParagraph"/>
        <w:numPr>
          <w:ilvl w:val="0"/>
          <w:numId w:val="2"/>
        </w:numPr>
        <w:spacing w:after="60"/>
      </w:pPr>
      <w:r>
        <w:t xml:space="preserve">Patients at risk of raised intracranial pressure (acute brain injury, acute liver failure) where slow solute removal is desirable (CRRT preferred if available – KDIGO 2012).</w:t>
      </w:r>
    </w:p>
    <w:p>
      <w:pPr>
        <w:pStyle w:val="ListParagraph"/>
        <w:numPr>
          <w:ilvl w:val="0"/>
          <w:numId w:val="2"/>
        </w:numPr>
        <w:spacing w:after="60"/>
      </w:pPr>
      <w:r>
        <w:t xml:space="preserve">KDIGO 2012: use CKRT rather than standard IHD for haemodynamically unstable patients – SLED/PIRRT is an acceptable alternative with comparable outcomes in RCTs and meta-analyses, with lower cost and nursing workload, and daytime-only treatment freeing the patient for procedures.</w:t>
      </w:r>
    </w:p>
    <w:p>
      <w:pPr>
        <w:pStyle w:val="Heading2"/>
      </w:pPr>
      <w:r>
        <w:t xml:space="preserve">8.2 Pre-SLED assessment</w:t>
      </w:r>
    </w:p>
    <w:p>
      <w:pPr>
        <w:pStyle w:val="ListParagraph"/>
        <w:numPr>
          <w:ilvl w:val="0"/>
          <w:numId w:val="3"/>
        </w:numPr>
        <w:spacing w:after="60"/>
      </w:pPr>
      <w:r>
        <w:t xml:space="preserve">Consultant documents indication, goals (solute targets, net fluid removal) and anticipated duration.</w:t>
      </w:r>
    </w:p>
    <w:p>
      <w:pPr>
        <w:pStyle w:val="ListParagraph"/>
        <w:numPr>
          <w:ilvl w:val="0"/>
          <w:numId w:val="3"/>
        </w:numPr>
        <w:spacing w:after="60"/>
      </w:pPr>
      <w:r>
        <w:t xml:space="preserve">Informed consent from patient / LAR.</w:t>
      </w:r>
    </w:p>
    <w:p>
      <w:pPr>
        <w:pStyle w:val="ListParagraph"/>
        <w:numPr>
          <w:ilvl w:val="0"/>
          <w:numId w:val="3"/>
        </w:numPr>
        <w:spacing w:after="60"/>
      </w:pPr>
      <w:r>
        <w:t xml:space="preserve">Check vascular access function; haemodynamics (MAP, vasopressor dose, lactate); volume status (clinical, POCUS / IVC, lung ultrasound, cumulative balance).</w:t>
      </w:r>
    </w:p>
    <w:p>
      <w:pPr>
        <w:pStyle w:val="ListParagraph"/>
        <w:numPr>
          <w:ilvl w:val="0"/>
          <w:numId w:val="3"/>
        </w:numPr>
        <w:spacing w:after="60"/>
      </w:pPr>
      <w:r>
        <w:t xml:space="preserve">Labs: CBC, coagulation, RFT, Na⁺, K⁺, Mg²⁺, PO₄, Ca²⁺, ABG, glucose, lactate; viral serology.</w:t>
      </w:r>
    </w:p>
    <w:p>
      <w:pPr>
        <w:pStyle w:val="ListParagraph"/>
        <w:numPr>
          <w:ilvl w:val="0"/>
          <w:numId w:val="3"/>
        </w:numPr>
        <w:spacing w:after="60"/>
      </w:pPr>
      <w:r>
        <w:t xml:space="preserve">Medication review with pharmacist – timing and dosing of antibiotics (see 8.7).</w:t>
      </w:r>
    </w:p>
    <w:p>
      <w:pPr>
        <w:pStyle w:val="Heading2"/>
      </w:pPr>
      <w:r>
        <w:t xml:space="preserve">8.3 Standard SLED prescription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3"/>
        <w:gridCol w:w="3095"/>
        <w:gridCol w:w="3868"/>
      </w:tblGrid>
      <w:tr>
        <w:trPr>
          <w:tblHeader/>
        </w:trPr>
        <w:tc>
          <w:tcPr>
            <w:tcW w:type="dxa" w:w="2063"/>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Parameter</w:t>
            </w:r>
          </w:p>
        </w:tc>
        <w:tc>
          <w:tcPr>
            <w:tcW w:type="dxa" w:w="3095"/>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Standard prescription</w:t>
            </w:r>
          </w:p>
        </w:tc>
        <w:tc>
          <w:tcPr>
            <w:tcW w:type="dxa" w:w="3868"/>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Comments</w:t>
            </w:r>
          </w:p>
        </w:tc>
      </w:tr>
      <w:tr>
        <w:trPr>
          <w:cantSplit/>
        </w:trPr>
        <w:tc>
          <w:tcPr>
            <w:tcW w:type="dxa" w:w="206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Duration</w:t>
            </w:r>
          </w:p>
        </w:tc>
        <w:tc>
          <w:tcPr>
            <w:tcW w:type="dxa" w:w="309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b/>
                <w:bCs/>
                <w:sz w:val="20"/>
                <w:szCs w:val="20"/>
              </w:rPr>
              <w:t xml:space="preserve">6–10 h per session (commonly 8 h)</w:t>
            </w:r>
            <w:r>
              <w:rPr>
                <w:sz w:val="20"/>
                <w:szCs w:val="20"/>
              </w:rPr>
              <w:t xml:space="preserve">, daily or 6 days/week</w:t>
            </w:r>
          </w:p>
        </w:tc>
        <w:tc>
          <w:tcPr>
            <w:tcW w:type="dxa" w:w="386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Can be extended to 12 h; nocturnal SLED allows day-time procedures.</w:t>
            </w:r>
          </w:p>
        </w:tc>
      </w:tr>
      <w:tr>
        <w:trPr>
          <w:cantSplit/>
        </w:trPr>
        <w:tc>
          <w:tcPr>
            <w:tcW w:type="dxa" w:w="206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Blood flow (Qb)</w:t>
            </w:r>
          </w:p>
        </w:tc>
        <w:tc>
          <w:tcPr>
            <w:tcW w:type="dxa" w:w="309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b/>
                <w:bCs/>
                <w:sz w:val="20"/>
                <w:szCs w:val="20"/>
              </w:rPr>
              <w:t xml:space="preserve">150–200 mL/min</w:t>
            </w:r>
            <w:r>
              <w:rPr>
                <w:sz w:val="20"/>
                <w:szCs w:val="20"/>
              </w:rPr>
              <w:t xml:space="preserve"> (100–250)</w:t>
            </w:r>
          </w:p>
        </w:tc>
        <w:tc>
          <w:tcPr>
            <w:tcW w:type="dxa" w:w="386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Start at 100 mL/min and increase gradually; lower Qb in very unstable patients.</w:t>
            </w:r>
          </w:p>
        </w:tc>
      </w:tr>
      <w:tr>
        <w:trPr>
          <w:cantSplit/>
        </w:trPr>
        <w:tc>
          <w:tcPr>
            <w:tcW w:type="dxa" w:w="206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Dialysate flow (Qd)</w:t>
            </w:r>
          </w:p>
        </w:tc>
        <w:tc>
          <w:tcPr>
            <w:tcW w:type="dxa" w:w="309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b/>
                <w:bCs/>
                <w:sz w:val="20"/>
                <w:szCs w:val="20"/>
              </w:rPr>
              <w:t xml:space="preserve">100–300 mL/min</w:t>
            </w:r>
            <w:r>
              <w:rPr>
                <w:sz w:val="20"/>
                <w:szCs w:val="20"/>
              </w:rPr>
              <w:t xml:space="preserve"> (commonly 200–300)</w:t>
            </w:r>
          </w:p>
        </w:tc>
        <w:tc>
          <w:tcPr>
            <w:tcW w:type="dxa" w:w="386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Low Qd gives slow, sustained clearance.</w:t>
            </w:r>
          </w:p>
        </w:tc>
      </w:tr>
      <w:tr>
        <w:trPr>
          <w:cantSplit/>
        </w:trPr>
        <w:tc>
          <w:tcPr>
            <w:tcW w:type="dxa" w:w="206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Dialyser</w:t>
            </w:r>
          </w:p>
        </w:tc>
        <w:tc>
          <w:tcPr>
            <w:tcW w:type="dxa" w:w="309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High-flux synthetic, 1.3–1.8 m²</w:t>
            </w:r>
          </w:p>
        </w:tc>
        <w:tc>
          <w:tcPr>
            <w:tcW w:type="dxa" w:w="386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Change if clotting or TMP rising.</w:t>
            </w:r>
          </w:p>
        </w:tc>
      </w:tr>
      <w:tr>
        <w:trPr>
          <w:cantSplit/>
        </w:trPr>
        <w:tc>
          <w:tcPr>
            <w:tcW w:type="dxa" w:w="206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Dialysate Na⁺</w:t>
            </w:r>
          </w:p>
        </w:tc>
        <w:tc>
          <w:tcPr>
            <w:tcW w:type="dxa" w:w="309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140 mmol/L (individualise – limit ΔNa ≤ 8–10 mmol/L/24 h in dysnatraemia)</w:t>
            </w:r>
          </w:p>
        </w:tc>
        <w:tc>
          <w:tcPr>
            <w:tcW w:type="dxa" w:w="386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 145–150 for hyponatraemic patients with brain injury per neurologist/consultant.</w:t>
            </w:r>
          </w:p>
        </w:tc>
      </w:tr>
      <w:tr>
        <w:trPr>
          <w:cantSplit/>
        </w:trPr>
        <w:tc>
          <w:tcPr>
            <w:tcW w:type="dxa" w:w="206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Dialysate K⁺</w:t>
            </w:r>
          </w:p>
        </w:tc>
        <w:tc>
          <w:tcPr>
            <w:tcW w:type="dxa" w:w="309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b/>
                <w:bCs/>
                <w:sz w:val="20"/>
                <w:szCs w:val="20"/>
              </w:rPr>
              <w:t xml:space="preserve">3–4 mmol/L</w:t>
            </w:r>
            <w:r>
              <w:rPr>
                <w:sz w:val="20"/>
                <w:szCs w:val="20"/>
              </w:rPr>
              <w:t xml:space="preserve"> (2 mmol/L only for severe hyperkalaemia, with hourly K⁺ check)</w:t>
            </w:r>
          </w:p>
        </w:tc>
        <w:tc>
          <w:tcPr>
            <w:tcW w:type="dxa" w:w="386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Prolonged treatment → risk of hypokalaemia &amp; arrhythmia.</w:t>
            </w:r>
          </w:p>
        </w:tc>
      </w:tr>
      <w:tr>
        <w:trPr>
          <w:cantSplit/>
        </w:trPr>
        <w:tc>
          <w:tcPr>
            <w:tcW w:type="dxa" w:w="206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Dialysate HCO₃⁻</w:t>
            </w:r>
          </w:p>
        </w:tc>
        <w:tc>
          <w:tcPr>
            <w:tcW w:type="dxa" w:w="309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28–32 mmol/L (individualise to acid–base)</w:t>
            </w:r>
          </w:p>
        </w:tc>
        <w:tc>
          <w:tcPr>
            <w:tcW w:type="dxa" w:w="386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Lower bicarbonate in metabolic alkalosis.</w:t>
            </w:r>
          </w:p>
        </w:tc>
      </w:tr>
      <w:tr>
        <w:trPr>
          <w:cantSplit/>
        </w:trPr>
        <w:tc>
          <w:tcPr>
            <w:tcW w:type="dxa" w:w="206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Dialysate Ca²⁺</w:t>
            </w:r>
          </w:p>
        </w:tc>
        <w:tc>
          <w:tcPr>
            <w:tcW w:type="dxa" w:w="309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1.25–1.5 mmol/L</w:t>
            </w:r>
          </w:p>
        </w:tc>
        <w:tc>
          <w:tcPr>
            <w:tcW w:type="dxa" w:w="386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Calcium-free dialysate only with citrate protocol.</w:t>
            </w:r>
          </w:p>
        </w:tc>
      </w:tr>
      <w:tr>
        <w:trPr>
          <w:cantSplit/>
        </w:trPr>
        <w:tc>
          <w:tcPr>
            <w:tcW w:type="dxa" w:w="206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Dialysate temperature</w:t>
            </w:r>
          </w:p>
        </w:tc>
        <w:tc>
          <w:tcPr>
            <w:tcW w:type="dxa" w:w="309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35.5–36.5 °C</w:t>
            </w:r>
          </w:p>
        </w:tc>
        <w:tc>
          <w:tcPr>
            <w:tcW w:type="dxa" w:w="386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Cool dialysate supports haemodynamics; monitor for hypothermia.</w:t>
            </w:r>
          </w:p>
        </w:tc>
      </w:tr>
      <w:tr>
        <w:trPr>
          <w:cantSplit/>
        </w:trPr>
        <w:tc>
          <w:tcPr>
            <w:tcW w:type="dxa" w:w="206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Ultrafiltration</w:t>
            </w:r>
          </w:p>
        </w:tc>
        <w:tc>
          <w:tcPr>
            <w:tcW w:type="dxa" w:w="309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Net UF individualised; typically </w:t>
            </w:r>
            <w:r>
              <w:rPr>
                <w:b/>
                <w:bCs/>
                <w:sz w:val="20"/>
                <w:szCs w:val="20"/>
              </w:rPr>
              <w:t xml:space="preserve">0–200 mL/h</w:t>
            </w:r>
            <w:r>
              <w:rPr>
                <w:sz w:val="20"/>
                <w:szCs w:val="20"/>
              </w:rPr>
              <w:t xml:space="preserve"> (≤ 1–2 mL/kg/h in unstable patients)</w:t>
            </w:r>
          </w:p>
        </w:tc>
        <w:tc>
          <w:tcPr>
            <w:tcW w:type="dxa" w:w="386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Reassess hourly against haemodynamics and vasopressor dose; avoid net UF &gt; 1.75 mL/kg/h in unstable patients (association with mortality).</w:t>
            </w:r>
          </w:p>
        </w:tc>
      </w:tr>
      <w:tr>
        <w:trPr>
          <w:cantSplit/>
        </w:trPr>
        <w:tc>
          <w:tcPr>
            <w:tcW w:type="dxa" w:w="206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Dose target</w:t>
            </w:r>
          </w:p>
        </w:tc>
        <w:tc>
          <w:tcPr>
            <w:tcW w:type="dxa" w:w="309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Equivalent to KDIGO target: weekly Kt/V ≥ 3.9 for intermittent/extended therapies</w:t>
            </w:r>
          </w:p>
        </w:tc>
        <w:tc>
          <w:tcPr>
            <w:tcW w:type="dxa" w:w="386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Single SLED session spKt/V ~1.2–1.4; measure periodically by pre/post urea.</w:t>
            </w:r>
          </w:p>
        </w:tc>
      </w:tr>
    </w:tbl>
    <w:p>
      <w:pPr>
        <w:spacing w:after="80"/>
      </w:pPr>
    </w:p>
    <w:p>
      <w:pPr>
        <w:pStyle w:val="Heading2"/>
      </w:pPr>
      <w:r>
        <w:t xml:space="preserve">8.4 Anticoagulation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35"/>
        <w:gridCol w:w="6291"/>
      </w:tblGrid>
      <w:tr>
        <w:trPr>
          <w:tblHeader/>
        </w:trPr>
        <w:tc>
          <w:tcPr>
            <w:tcW w:type="dxa" w:w="2735"/>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Situation</w:t>
            </w:r>
          </w:p>
        </w:tc>
        <w:tc>
          <w:tcPr>
            <w:tcW w:type="dxa" w:w="6291"/>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Regimen</w:t>
            </w:r>
          </w:p>
        </w:tc>
      </w:tr>
      <w:tr>
        <w:trPr>
          <w:cantSplit/>
        </w:trPr>
        <w:tc>
          <w:tcPr>
            <w:tcW w:type="dxa" w:w="273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No bleeding risk</w:t>
            </w:r>
          </w:p>
        </w:tc>
        <w:tc>
          <w:tcPr>
            <w:tcW w:type="dxa" w:w="629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Unfractionated heparin bolus 1,000–2,000 IU (or none if already coagulopathic), infusion 500 IU/h (300–1,000 IU/h); target aPTT 1.5× control if monitored; stop 30 min before end.</w:t>
            </w:r>
          </w:p>
        </w:tc>
      </w:tr>
      <w:tr>
        <w:trPr>
          <w:cantSplit/>
        </w:trPr>
        <w:tc>
          <w:tcPr>
            <w:tcW w:type="dxa" w:w="273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Bleeding risk, coagulopathy, recent surgery, thrombocytopenia (&lt; 50 × 10⁹/L), liver failure</w:t>
            </w:r>
          </w:p>
        </w:tc>
        <w:tc>
          <w:tcPr>
            <w:tcW w:type="dxa" w:w="629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b/>
                <w:bCs/>
                <w:sz w:val="20"/>
                <w:szCs w:val="20"/>
              </w:rPr>
              <w:t xml:space="preserve">No anticoagulation</w:t>
            </w:r>
            <w:r>
              <w:rPr>
                <w:sz w:val="20"/>
                <w:szCs w:val="20"/>
              </w:rPr>
              <w:t xml:space="preserve">: heparin-primed and rinsed circuit; Qb ≥ 200 mL/min if tolerated; saline flush 100–200 mL every 30–60 min (included in UF); pre-dilution not available on HD machine; accept shorter filter life. Regional citrate anticoagulation where protocol and monitoring exist (not in severe liver failure / lactic acidosis).</w:t>
            </w:r>
          </w:p>
        </w:tc>
      </w:tr>
      <w:tr>
        <w:trPr>
          <w:cantSplit/>
        </w:trPr>
        <w:tc>
          <w:tcPr>
            <w:tcW w:type="dxa" w:w="2735"/>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HIT</w:t>
            </w:r>
          </w:p>
        </w:tc>
        <w:tc>
          <w:tcPr>
            <w:tcW w:type="dxa" w:w="629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Stop all heparin; argatroban / regional citrate per haematology.</w:t>
            </w:r>
          </w:p>
        </w:tc>
      </w:tr>
    </w:tbl>
    <w:p>
      <w:pPr>
        <w:spacing w:after="80"/>
      </w:pPr>
    </w:p>
    <w:p>
      <w:pPr>
        <w:pStyle w:val="Heading2"/>
      </w:pPr>
      <w:r>
        <w:t xml:space="preserve">8.5 Procedure</w:t>
      </w:r>
    </w:p>
    <w:p>
      <w:pPr>
        <w:pStyle w:val="ListParagraph"/>
        <w:numPr>
          <w:ilvl w:val="0"/>
          <w:numId w:val="4"/>
        </w:numPr>
        <w:spacing w:after="60"/>
      </w:pPr>
      <w:r>
        <w:t xml:space="preserve">Prepare and disinfect machine; check water quality log (portable RO); prime circuit with 1–2 L saline (± heparin 5,000 IU/L, then rinse with 500 mL plain saline if heparin-free protocol).</w:t>
      </w:r>
    </w:p>
    <w:p>
      <w:pPr>
        <w:pStyle w:val="ListParagraph"/>
        <w:numPr>
          <w:ilvl w:val="0"/>
          <w:numId w:val="4"/>
        </w:numPr>
        <w:spacing w:after="60"/>
      </w:pPr>
      <w:r>
        <w:t xml:space="preserve">Set dialysate composition, temperature, Qd and treatment time on the machine; enter UF goal.</w:t>
      </w:r>
    </w:p>
    <w:p>
      <w:pPr>
        <w:pStyle w:val="ListParagraph"/>
        <w:numPr>
          <w:ilvl w:val="0"/>
          <w:numId w:val="4"/>
        </w:numPr>
        <w:spacing w:after="60"/>
      </w:pPr>
      <w:r>
        <w:t xml:space="preserve">In unstable patients: prime circuit and </w:t>
      </w:r>
      <w:r>
        <w:rPr>
          <w:b/>
          <w:bCs/>
        </w:rPr>
        <w:t xml:space="preserve">connect both lines simultaneously (“closed / isovolaemic connection”) without discarding priming saline</w:t>
      </w:r>
      <w:r>
        <w:t xml:space="preserve">, or give saline bolus; ensure vasopressor infusion is not on the dialysis catheter and is ready to be titrated.</w:t>
      </w:r>
    </w:p>
    <w:p>
      <w:pPr>
        <w:pStyle w:val="ListParagraph"/>
        <w:numPr>
          <w:ilvl w:val="0"/>
          <w:numId w:val="4"/>
        </w:numPr>
        <w:spacing w:after="60"/>
      </w:pPr>
      <w:r>
        <w:t xml:space="preserve">Connect to catheter with aseptic non-touch technique (SOP/AKD/11). Start Qb at 50–100 mL/min, increase stepwise over 10–15 min to target while observing BP.</w:t>
      </w:r>
    </w:p>
    <w:p>
      <w:pPr>
        <w:pStyle w:val="ListParagraph"/>
        <w:numPr>
          <w:ilvl w:val="0"/>
          <w:numId w:val="4"/>
        </w:numPr>
        <w:spacing w:after="60"/>
      </w:pPr>
      <w:r>
        <w:t xml:space="preserve">Start UF only after haemodynamics are stable at target Qb; begin at a low UF rate.</w:t>
      </w:r>
    </w:p>
    <w:p>
      <w:pPr>
        <w:pStyle w:val="ListParagraph"/>
        <w:numPr>
          <w:ilvl w:val="0"/>
          <w:numId w:val="4"/>
        </w:numPr>
        <w:spacing w:after="60"/>
      </w:pPr>
      <w:r>
        <w:t xml:space="preserve">Return blood at end with saline (omit return in severe fluid overload per prescription); lock catheter; record session summary.</w:t>
      </w:r>
    </w:p>
    <w:p>
      <w:pPr>
        <w:pStyle w:val="Heading2"/>
      </w:pPr>
      <w:r>
        <w:t xml:space="preserve">8.6 Monitoring</w:t>
      </w:r>
    </w:p>
    <w:p>
      <w:pPr>
        <w:pStyle w:val="ListParagraph"/>
        <w:numPr>
          <w:ilvl w:val="0"/>
          <w:numId w:val="2"/>
        </w:numPr>
        <w:spacing w:after="60"/>
      </w:pPr>
      <w:r>
        <w:rPr>
          <w:b/>
          <w:bCs/>
        </w:rPr>
        <w:t xml:space="preserve">Every 15 min for first hour, then hourly:</w:t>
      </w:r>
      <w:r>
        <w:t xml:space="preserve"> HR, BP / MAP, SpO₂, vasopressor dose, temperature; machine Qb, arterial and venous pressures, TMP, UF achieved; circuit clotting.</w:t>
      </w:r>
    </w:p>
    <w:p>
      <w:pPr>
        <w:pStyle w:val="ListParagraph"/>
        <w:numPr>
          <w:ilvl w:val="0"/>
          <w:numId w:val="2"/>
        </w:numPr>
        <w:spacing w:after="60"/>
      </w:pPr>
      <w:r>
        <w:rPr>
          <w:b/>
          <w:bCs/>
        </w:rPr>
        <w:t xml:space="preserve">Hourly fluid balance</w:t>
      </w:r>
      <w:r>
        <w:t xml:space="preserve"> including all infusions and saline flushes; cumulative balance at end of session and 24 h.</w:t>
      </w:r>
    </w:p>
    <w:p>
      <w:pPr>
        <w:pStyle w:val="ListParagraph"/>
        <w:numPr>
          <w:ilvl w:val="0"/>
          <w:numId w:val="2"/>
        </w:numPr>
        <w:spacing w:after="60"/>
      </w:pPr>
      <w:r>
        <w:t xml:space="preserve">Blood glucose 1–2 hourly in diabetics/insulin infusions; ABG with K⁺ mid-session (4 h) when using low-K dialysate or severe acidosis.</w:t>
      </w:r>
    </w:p>
    <w:p>
      <w:pPr>
        <w:pStyle w:val="ListParagraph"/>
        <w:numPr>
          <w:ilvl w:val="0"/>
          <w:numId w:val="2"/>
        </w:numPr>
        <w:spacing w:after="60"/>
      </w:pPr>
      <w:r>
        <w:rPr>
          <w:b/>
          <w:bCs/>
        </w:rPr>
        <w:t xml:space="preserve">Daily labs:</w:t>
      </w:r>
      <w:r>
        <w:t xml:space="preserve"> Na⁺, K⁺, Cl⁻, HCO₃⁻, </w:t>
      </w:r>
      <w:r>
        <w:rPr>
          <w:b/>
          <w:bCs/>
        </w:rPr>
        <w:t xml:space="preserve">phosphate and magnesium</w:t>
      </w:r>
      <w:r>
        <w:t xml:space="preserve"> (prolonged therapy causes hypophosphataemia and hypomagnesaemia – supplement IV/enteral or add phosphate to dialysate as per protocol), Ca²⁺, urea, creatinine, CBC; coagulation if on heparin.</w:t>
      </w:r>
    </w:p>
    <w:p>
      <w:pPr>
        <w:pStyle w:val="ListParagraph"/>
        <w:numPr>
          <w:ilvl w:val="0"/>
          <w:numId w:val="2"/>
        </w:numPr>
        <w:spacing w:after="60"/>
      </w:pPr>
      <w:r>
        <w:t xml:space="preserve">Temperature: risk of hypothermia (masks fever) – consider blood warmer / adjust dialysate temperature.</w:t>
      </w:r>
    </w:p>
    <w:p>
      <w:pPr>
        <w:pStyle w:val="ListParagraph"/>
        <w:numPr>
          <w:ilvl w:val="0"/>
          <w:numId w:val="2"/>
        </w:numPr>
        <w:spacing w:after="60"/>
      </w:pPr>
      <w:r>
        <w:t xml:space="preserve">Nutrition: amino acid losses (~10–15 g/session) – protein intake 1.3–1.7 g/kg/day for patients on KRT (ESPEN/ASPEN).</w:t>
      </w:r>
    </w:p>
    <w:p>
      <w:pPr>
        <w:pStyle w:val="Heading2"/>
      </w:pPr>
      <w:r>
        <w:t xml:space="preserve">8.7 Drug dosing during SLED</w:t>
      </w:r>
    </w:p>
    <w:p>
      <w:pPr>
        <w:pStyle w:val="ListParagraph"/>
        <w:numPr>
          <w:ilvl w:val="0"/>
          <w:numId w:val="2"/>
        </w:numPr>
        <w:spacing w:after="60"/>
      </w:pPr>
      <w:r>
        <w:t xml:space="preserve">SLED clears small, water-soluble, low protein-bound drugs substantially – </w:t>
      </w:r>
      <w:r>
        <w:rPr>
          <w:b/>
          <w:bCs/>
        </w:rPr>
        <w:t xml:space="preserve">antibiotic under-dosing is a major risk.</w:t>
      </w:r>
    </w:p>
    <w:p>
      <w:pPr>
        <w:pStyle w:val="ListParagraph"/>
        <w:numPr>
          <w:ilvl w:val="0"/>
          <w:numId w:val="2"/>
        </w:numPr>
        <w:spacing w:after="60"/>
      </w:pPr>
      <w:r>
        <w:t xml:space="preserve">Dose antimicrobials in consultation with the clinical pharmacist using SLED-specific data; give the dose </w:t>
      </w:r>
      <w:r>
        <w:rPr>
          <w:b/>
          <w:bCs/>
        </w:rPr>
        <w:t xml:space="preserve">after</w:t>
      </w:r>
      <w:r>
        <w:t xml:space="preserve"> the SLED session (or supplementary dose post-SLED) for time-dependent drugs; avoid empirical renal-failure dose reduction during the first 24–48 h of sepsis.</w:t>
      </w:r>
    </w:p>
    <w:p>
      <w:pPr>
        <w:pStyle w:val="ListParagraph"/>
        <w:numPr>
          <w:ilvl w:val="0"/>
          <w:numId w:val="2"/>
        </w:numPr>
        <w:spacing w:after="60"/>
      </w:pPr>
      <w:r>
        <w:t xml:space="preserve">Indicative examples (verify with formulary and drug levels): Meropenem 1 g 8–12 hourly; Piperacillin-tazobactam 4.5 g 8 hourly; Vancomycin loading 20–25 mg/kg then guided by levels (pre-SLED trough 15–20 mg/L or AUC-guided); aminoglycosides – once-daily dose post-SLED guided by levels.</w:t>
      </w:r>
    </w:p>
    <w:p>
      <w:pPr>
        <w:pStyle w:val="ListParagraph"/>
        <w:numPr>
          <w:ilvl w:val="0"/>
          <w:numId w:val="2"/>
        </w:numPr>
        <w:spacing w:after="60"/>
      </w:pPr>
      <w:r>
        <w:t xml:space="preserve">Therapeutic drug monitoring wherever available (vancomycin, aminoglycosides, antiepileptics).</w:t>
      </w:r>
    </w:p>
    <w:p>
      <w:pPr>
        <w:pStyle w:val="Heading2"/>
      </w:pPr>
      <w:r>
        <w:t xml:space="preserve">8.8 Complications and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0"/>
        <w:gridCol w:w="6406"/>
      </w:tblGrid>
      <w:tr>
        <w:trPr>
          <w:tblHeader/>
        </w:trPr>
        <w:tc>
          <w:tcPr>
            <w:tcW w:type="dxa" w:w="2620"/>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Complication</w:t>
            </w:r>
          </w:p>
        </w:tc>
        <w:tc>
          <w:tcPr>
            <w:tcW w:type="dxa" w:w="6406"/>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Management</w:t>
            </w:r>
          </w:p>
        </w:tc>
      </w:tr>
      <w:tr>
        <w:trPr>
          <w:cantSplit/>
        </w:trPr>
        <w:tc>
          <w:tcPr>
            <w:tcW w:type="dxa" w:w="2620"/>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Hypotension / rising vasopressor requirement</w:t>
            </w:r>
          </w:p>
        </w:tc>
        <w:tc>
          <w:tcPr>
            <w:tcW w:type="dxa" w:w="6406"/>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Stop UF; reduce Qb; check for bleeding, sepsis, arrhythmia; cool dialysate; consider albumin; switch to CRRT if persistent instability.</w:t>
            </w:r>
          </w:p>
        </w:tc>
      </w:tr>
      <w:tr>
        <w:trPr>
          <w:cantSplit/>
        </w:trPr>
        <w:tc>
          <w:tcPr>
            <w:tcW w:type="dxa" w:w="2620"/>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Circuit clotting</w:t>
            </w:r>
          </w:p>
        </w:tc>
        <w:tc>
          <w:tcPr>
            <w:tcW w:type="dxa" w:w="6406"/>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Check access flow, kinks, saline flushes; change dialyser/circuit; review anticoagulation.</w:t>
            </w:r>
          </w:p>
        </w:tc>
      </w:tr>
      <w:tr>
        <w:trPr>
          <w:cantSplit/>
        </w:trPr>
        <w:tc>
          <w:tcPr>
            <w:tcW w:type="dxa" w:w="2620"/>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Hypokalaemia / hypophosphataemia / hypomagnesaemia</w:t>
            </w:r>
          </w:p>
        </w:tc>
        <w:tc>
          <w:tcPr>
            <w:tcW w:type="dxa" w:w="6406"/>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Use K⁺ 3–4 mmol/L bath; supplement electrolytes; daily monitoring.</w:t>
            </w:r>
          </w:p>
        </w:tc>
      </w:tr>
      <w:tr>
        <w:trPr>
          <w:cantSplit/>
        </w:trPr>
        <w:tc>
          <w:tcPr>
            <w:tcW w:type="dxa" w:w="2620"/>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Hypothermia</w:t>
            </w:r>
          </w:p>
        </w:tc>
        <w:tc>
          <w:tcPr>
            <w:tcW w:type="dxa" w:w="6406"/>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Warm dialysate to 37 °C; warming blanket.</w:t>
            </w:r>
          </w:p>
        </w:tc>
      </w:tr>
      <w:tr>
        <w:trPr>
          <w:cantSplit/>
        </w:trPr>
        <w:tc>
          <w:tcPr>
            <w:tcW w:type="dxa" w:w="2620"/>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Catheter dysfunction</w:t>
            </w:r>
          </w:p>
        </w:tc>
        <w:tc>
          <w:tcPr>
            <w:tcW w:type="dxa" w:w="6406"/>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Reposition patient, reverse lines (accepting recirculation), lock with alteplase if thrombosed, replace catheter.</w:t>
            </w:r>
          </w:p>
        </w:tc>
      </w:tr>
      <w:tr>
        <w:trPr>
          <w:cantSplit/>
        </w:trPr>
        <w:tc>
          <w:tcPr>
            <w:tcW w:type="dxa" w:w="2620"/>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Bleeding</w:t>
            </w:r>
          </w:p>
        </w:tc>
        <w:tc>
          <w:tcPr>
            <w:tcW w:type="dxa" w:w="6406"/>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Stop heparin, correct coagulopathy, switch to anticoagulant-free protocol.</w:t>
            </w:r>
          </w:p>
        </w:tc>
      </w:tr>
    </w:tbl>
    <w:p>
      <w:pPr>
        <w:spacing w:after="80"/>
      </w:pPr>
    </w:p>
    <w:p>
      <w:pPr>
        <w:pStyle w:val="Heading2"/>
      </w:pPr>
      <w:r>
        <w:t xml:space="preserve">8.9 Transition &amp; discontinuation</w:t>
      </w:r>
    </w:p>
    <w:p>
      <w:pPr>
        <w:pStyle w:val="ListParagraph"/>
        <w:numPr>
          <w:ilvl w:val="0"/>
          <w:numId w:val="2"/>
        </w:numPr>
        <w:spacing w:after="60"/>
      </w:pPr>
      <w:r>
        <w:t xml:space="preserve">Daily assessment: when vasopressor-free and haemodynamically stable → switch to standard intermittent HD.</w:t>
      </w:r>
    </w:p>
    <w:p>
      <w:pPr>
        <w:pStyle w:val="ListParagraph"/>
        <w:numPr>
          <w:ilvl w:val="0"/>
          <w:numId w:val="2"/>
        </w:numPr>
        <w:spacing w:after="60"/>
      </w:pPr>
      <w:r>
        <w:t xml:space="preserve">Worsening instability, raised ICP or very high fluid requirement → switch to CRRT (SOP/AKD/10).</w:t>
      </w:r>
    </w:p>
    <w:p>
      <w:pPr>
        <w:pStyle w:val="ListParagraph"/>
        <w:numPr>
          <w:ilvl w:val="0"/>
          <w:numId w:val="2"/>
        </w:numPr>
        <w:spacing w:after="60"/>
      </w:pPr>
      <w:r>
        <w:t xml:space="preserve">Signs of renal recovery: urine output &gt; 400–500 mL/day spontaneously (or &gt; 2 L/day with diuretics), falling creatinine during treatment-free intervals – consider trial off KRT (KDIGO 2012; ADQI).</w:t>
      </w:r>
    </w:p>
    <w:p>
      <w:pPr>
        <w:pStyle w:val="Heading1"/>
      </w:pPr>
      <w:r>
        <w:t xml:space="preserve">9. Forms &amp; Documents</w:t>
      </w:r>
    </w:p>
    <w:p>
      <w:pPr>
        <w:pStyle w:val="ListParagraph"/>
        <w:numPr>
          <w:ilvl w:val="0"/>
          <w:numId w:val="2"/>
        </w:numPr>
        <w:spacing w:after="60"/>
      </w:pPr>
      <w:r>
        <w:t xml:space="preserve">Consent – Kidney replacement therapy in ICU (FORM/AKD/05).</w:t>
      </w:r>
    </w:p>
    <w:p>
      <w:pPr>
        <w:pStyle w:val="ListParagraph"/>
        <w:numPr>
          <w:ilvl w:val="0"/>
          <w:numId w:val="2"/>
        </w:numPr>
        <w:spacing w:after="60"/>
      </w:pPr>
      <w:r>
        <w:t xml:space="preserve">SLED prescription &amp; hourly monitoring chart (FORM/AKD/15).</w:t>
      </w:r>
    </w:p>
    <w:p>
      <w:pPr>
        <w:pStyle w:val="ListParagraph"/>
        <w:numPr>
          <w:ilvl w:val="0"/>
          <w:numId w:val="2"/>
        </w:numPr>
        <w:spacing w:after="60"/>
      </w:pPr>
      <w:r>
        <w:t xml:space="preserve">ICU fluid balance chart; anticoagulation monitoring sheet.</w:t>
      </w:r>
    </w:p>
    <w:p>
      <w:pPr>
        <w:pStyle w:val="ListParagraph"/>
        <w:numPr>
          <w:ilvl w:val="0"/>
          <w:numId w:val="2"/>
        </w:numPr>
        <w:spacing w:after="60"/>
      </w:pPr>
      <w:r>
        <w:t xml:space="preserve">Drug dosing review form (clinical pharmacist).</w:t>
      </w:r>
    </w:p>
    <w:p>
      <w:pPr>
        <w:pStyle w:val="ListParagraph"/>
        <w:numPr>
          <w:ilvl w:val="0"/>
          <w:numId w:val="2"/>
        </w:numPr>
        <w:spacing w:after="60"/>
      </w:pPr>
      <w:r>
        <w:t xml:space="preserve">Portable RO / water quality log; machine disinfection log.</w:t>
      </w:r>
    </w:p>
    <w:p>
      <w:pPr>
        <w:pStyle w:val="Heading1"/>
      </w:pPr>
      <w:r>
        <w:t xml:space="preserve">10. References</w:t>
      </w:r>
    </w:p>
    <w:p>
      <w:pPr>
        <w:pStyle w:val="ListParagraph"/>
        <w:numPr>
          <w:ilvl w:val="0"/>
          <w:numId w:val="5"/>
        </w:numPr>
        <w:spacing w:after="60"/>
      </w:pPr>
      <w:r>
        <w:t xml:space="preserve">KDIGO Clinical Practice Guideline for Acute Kidney Injury. Kidney Int Suppl. 2012;2:1–138.</w:t>
      </w:r>
    </w:p>
    <w:p>
      <w:pPr>
        <w:pStyle w:val="ListParagraph"/>
        <w:numPr>
          <w:ilvl w:val="0"/>
          <w:numId w:val="5"/>
        </w:numPr>
        <w:spacing w:after="60"/>
      </w:pPr>
      <w:r>
        <w:t xml:space="preserve">Marshall MR, Golper TA, Shaver MJ, et al. Sustained low-efficiency dialysis for critically ill patients requiring renal replacement therapy. Kidney Int. 2001;60:777–785.</w:t>
      </w:r>
    </w:p>
    <w:p>
      <w:pPr>
        <w:pStyle w:val="ListParagraph"/>
        <w:numPr>
          <w:ilvl w:val="0"/>
          <w:numId w:val="5"/>
        </w:numPr>
        <w:spacing w:after="60"/>
      </w:pPr>
      <w:r>
        <w:t xml:space="preserve">Kitchlu A, Adhikari N, Burns KE, et al. Outcomes of sustained low efficiency dialysis versus continuous renal replacement therapy in critically ill adults with acute kidney injury: a cohort study. BMC Nephrol. 2015;16:127.</w:t>
      </w:r>
    </w:p>
    <w:p>
      <w:pPr>
        <w:pStyle w:val="ListParagraph"/>
        <w:numPr>
          <w:ilvl w:val="0"/>
          <w:numId w:val="5"/>
        </w:numPr>
        <w:spacing w:after="60"/>
      </w:pPr>
      <w:r>
        <w:t xml:space="preserve">Zhang L, Yang J, Eastwood GM, et al. Extended daily dialysis versus continuous renal replacement therapy for acute kidney injury: a meta-analysis. Am J Kidney Dis. 2015;66:322–330.</w:t>
      </w:r>
    </w:p>
    <w:p>
      <w:pPr>
        <w:pStyle w:val="ListParagraph"/>
        <w:numPr>
          <w:ilvl w:val="0"/>
          <w:numId w:val="5"/>
        </w:numPr>
        <w:spacing w:after="60"/>
      </w:pPr>
      <w:r>
        <w:t xml:space="preserve">Schwenger V, Weigand MA, Hoffmann O, et al. Sustained low efficiency dialysis using a single-pass batch system in acute kidney injury – a randomized interventional trial: the REnal Replacement Therapy Study in Intensive Care Unit PatiEnts. Crit Care. 2012;16:R140.</w:t>
      </w:r>
    </w:p>
    <w:p>
      <w:pPr>
        <w:pStyle w:val="ListParagraph"/>
        <w:numPr>
          <w:ilvl w:val="0"/>
          <w:numId w:val="5"/>
        </w:numPr>
        <w:spacing w:after="60"/>
      </w:pPr>
      <w:r>
        <w:t xml:space="preserve">Edrees F, Li T, Vijayan A. Prolonged Intermittent Renal Replacement Therapy. Adv Chronic Kidney Dis. 2016;23:195–202.</w:t>
      </w:r>
    </w:p>
    <w:p>
      <w:pPr>
        <w:pStyle w:val="ListParagraph"/>
        <w:numPr>
          <w:ilvl w:val="0"/>
          <w:numId w:val="5"/>
        </w:numPr>
        <w:spacing w:after="60"/>
      </w:pPr>
      <w:r>
        <w:t xml:space="preserve">Murugan R, Kerti SJ, Chang CH, et al. Association of Net Ultrafiltration Rate With Mortality Among Critically Ill Adults With Acute Kidney Injury Receiving Continuous Venovenous Hemodiafiltration. JAMA Netw Open. 2019;2:e195418.</w:t>
      </w:r>
    </w:p>
    <w:p>
      <w:pPr>
        <w:pStyle w:val="ListParagraph"/>
        <w:numPr>
          <w:ilvl w:val="0"/>
          <w:numId w:val="5"/>
        </w:numPr>
        <w:spacing w:after="60"/>
      </w:pPr>
      <w:r>
        <w:t xml:space="preserve">Ostermann M, Bellomo R, Burdmann EA, et al. Controversies in acute kidney injury: conclusions from a KDIGO Conference. Kidney Int. 2020;98:294–309.</w:t>
      </w:r>
    </w:p>
    <w:p>
      <w:pPr>
        <w:pStyle w:val="ListParagraph"/>
        <w:numPr>
          <w:ilvl w:val="0"/>
          <w:numId w:val="5"/>
        </w:numPr>
        <w:spacing w:after="60"/>
      </w:pPr>
      <w:r>
        <w:t xml:space="preserve">Ministry of Health &amp; Family Welfare, Government of India. Guidelines for Haemodialysis under Pradhan Mantri National Dialysis Programme, 2016.</w:t>
      </w:r>
    </w:p>
    <w:p>
      <w:pPr>
        <w:pStyle w:val="Heading1"/>
      </w:pPr>
      <w:r>
        <w:t xml:space="preserve">11.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Abbreviation</w:t>
            </w:r>
          </w:p>
        </w:tc>
        <w:tc>
          <w:tcPr>
            <w:tcW w:type="dxa" w:w="6769"/>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Meaning</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PIRRT</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Prolonged Intermittent Renal Replacement Therapy</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SLED(D)</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Sustained Low-Efficiency (Daily) Dialysis</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MAP</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Mean Arterial Pressure</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LAR</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Legally Authorised Representative</w:t>
            </w:r>
          </w:p>
        </w:tc>
      </w:tr>
      <w:tr>
        <w:trPr>
          <w:cantSplit/>
        </w:trPr>
        <w:tc>
          <w:tcPr>
            <w:tcW w:type="dxa" w:w="2257"/>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POCUS</w:t>
            </w:r>
          </w:p>
        </w:tc>
        <w:tc>
          <w:tcPr>
            <w:tcW w:type="dxa" w:w="676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Point-of-Care Ultrasound</w:t>
            </w:r>
          </w:p>
        </w:tc>
      </w:tr>
    </w:tbl>
    <w:p>
      <w:pPr>
        <w:spacing w:after="80"/>
      </w:pPr>
    </w:p>
    <w:p>
      <w:pPr>
        <w:pStyle w:val="Heading1"/>
      </w:pPr>
      <w:r>
        <w:t xml:space="preserve">Document Approval &amp;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Prepared by</w:t>
            </w:r>
          </w:p>
        </w:tc>
        <w:tc>
          <w:tcPr>
            <w:tcW w:type="dxa" w:w="3009"/>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Reviewed by</w:t>
            </w:r>
          </w:p>
        </w:tc>
        <w:tc>
          <w:tcPr>
            <w:tcW w:type="dxa" w:w="3008"/>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Approved by</w:t>
            </w:r>
          </w:p>
        </w:tc>
      </w:tr>
      <w:tr>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w:t>
            </w:r>
          </w:p>
        </w:tc>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w:t>
            </w:r>
          </w:p>
        </w:tc>
        <w:tc>
          <w:tcPr>
            <w:tcW w:type="dxa" w:w="300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Name:</w:t>
            </w:r>
          </w:p>
        </w:tc>
      </w:tr>
      <w:tr>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Designation:</w:t>
            </w:r>
          </w:p>
        </w:tc>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Designation:</w:t>
            </w:r>
          </w:p>
        </w:tc>
        <w:tc>
          <w:tcPr>
            <w:tcW w:type="dxa" w:w="300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Designation:</w:t>
            </w:r>
          </w:p>
        </w:tc>
      </w:tr>
      <w:tr>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Signature &amp; Date:</w:t>
            </w:r>
          </w:p>
        </w:tc>
        <w:tc>
          <w:tcPr>
            <w:tcW w:type="dxa" w:w="3009"/>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Signature &amp; Date:</w:t>
            </w:r>
          </w:p>
        </w:tc>
        <w:tc>
          <w:tcPr>
            <w:tcW w:type="dxa" w:w="3008"/>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Signature &amp; Date: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1"/>
        <w:gridCol w:w="1541"/>
        <w:gridCol w:w="4403"/>
        <w:gridCol w:w="1981"/>
      </w:tblGrid>
      <w:tr>
        <w:trPr>
          <w:tblHeader/>
        </w:trPr>
        <w:tc>
          <w:tcPr>
            <w:tcW w:type="dxa" w:w="1101"/>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Version</w:t>
            </w:r>
          </w:p>
        </w:tc>
        <w:tc>
          <w:tcPr>
            <w:tcW w:type="dxa" w:w="1541"/>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Date</w:t>
            </w:r>
          </w:p>
        </w:tc>
        <w:tc>
          <w:tcPr>
            <w:tcW w:type="dxa" w:w="4403"/>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Description of change</w:t>
            </w:r>
          </w:p>
        </w:tc>
        <w:tc>
          <w:tcPr>
            <w:tcW w:type="dxa" w:w="1981"/>
            <w:tcBorders>
              <w:top w:val="single" w:color="8EA9C1" w:sz="4"/>
              <w:left w:val="single" w:color="8EA9C1" w:sz="4"/>
              <w:bottom w:val="single" w:color="8EA9C1" w:sz="4"/>
              <w:right w:val="single" w:color="8EA9C1" w:sz="4"/>
            </w:tcBorders>
            <w:shd w:fill="1F4E79" w:color="auto" w:val="clear"/>
            <w:tcMar>
              <w:top w:type="dxa" w:w="60"/>
              <w:left w:type="dxa" w:w="100"/>
              <w:bottom w:type="dxa" w:w="60"/>
              <w:right w:type="dxa" w:w="100"/>
            </w:tcMar>
          </w:tcPr>
          <w:p>
            <w:pPr>
              <w:spacing w:after="40" w:before="40"/>
            </w:pPr>
            <w:r>
              <w:rPr>
                <w:b/>
                <w:bCs/>
                <w:color w:val="FFFFFF"/>
                <w:sz w:val="20"/>
                <w:szCs w:val="20"/>
              </w:rPr>
              <w:t xml:space="preserve">Approved by</w:t>
            </w:r>
          </w:p>
        </w:tc>
      </w:tr>
      <w:tr>
        <w:trPr>
          <w:cantSplit/>
        </w:trPr>
        <w:tc>
          <w:tcPr>
            <w:tcW w:type="dxa" w:w="110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1.0</w:t>
            </w:r>
          </w:p>
        </w:tc>
        <w:tc>
          <w:tcPr>
            <w:tcW w:type="dxa" w:w="154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440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r>
              <w:rPr>
                <w:sz w:val="20"/>
                <w:szCs w:val="20"/>
              </w:rPr>
              <w:t xml:space="preserve">First issue</w:t>
            </w:r>
          </w:p>
        </w:tc>
        <w:tc>
          <w:tcPr>
            <w:tcW w:type="dxa" w:w="198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r>
      <w:tr>
        <w:trPr>
          <w:cantSplit/>
        </w:trPr>
        <w:tc>
          <w:tcPr>
            <w:tcW w:type="dxa" w:w="110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154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440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198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r>
      <w:tr>
        <w:trPr>
          <w:cantSplit/>
        </w:trPr>
        <w:tc>
          <w:tcPr>
            <w:tcW w:type="dxa" w:w="110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154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4403"/>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c>
          <w:tcPr>
            <w:tcW w:type="dxa" w:w="1981"/>
            <w:tcBorders>
              <w:top w:val="single" w:color="8EA9C1" w:sz="4"/>
              <w:left w:val="single" w:color="8EA9C1" w:sz="4"/>
              <w:bottom w:val="single" w:color="8EA9C1" w:sz="4"/>
              <w:right w:val="single" w:color="8EA9C1" w:sz="4"/>
            </w:tcBorders>
            <w:tcMar>
              <w:top w:type="dxa" w:w="60"/>
              <w:left w:type="dxa" w:w="100"/>
              <w:bottom w:type="dxa" w:w="60"/>
              <w:right w:type="dxa" w:w="100"/>
            </w:tcMar>
          </w:tcPr>
          <w:p>
            <w:pPr>
              <w:spacing w:after="40" w:before="40"/>
            </w:pPr>
          </w:p>
        </w:tc>
      </w:tr>
    </w:tbl>
    <w:p>
      <w:pPr>
        <w:spacing w:after="80"/>
      </w:pPr>
    </w:p>
    <w:p>
      <w:pPr>
        <w:spacing w:before="120"/>
      </w:pPr>
      <w:r>
        <w:rPr>
          <w:i/>
          <w:iCs/>
          <w:color w:val="595959"/>
          <w:sz w:val="18"/>
          <w:szCs w:val="18"/>
        </w:rPr>
        <w:t xml:space="preserve">This SOP is based on current published guidelines. It does not replace clinical judgement; deviations must be justified and documented in the patient record. Drug doses must be verified against the current hospital formulary and adjusted for renal function.</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6"/>
        <w:szCs w:val="16"/>
      </w:rPr>
      <w:t xml:space="preserve">Controlled document – do not photocopy without authorisation. Version 1.0</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9C1" w:sz="4" w:space="2"/>
      </w:pBdr>
      <w:tabs>
        <w:tab w:val="right" w:pos="9026"/>
      </w:tabs>
    </w:pPr>
    <w:r>
      <w:rPr>
        <w:color w:val="595959"/>
        <w:sz w:val="17"/>
        <w:szCs w:val="17"/>
      </w:rPr>
      <w:t xml:space="preserve">[Hospital Name] | Department of Nephrology – AKD / Dialysis Unit</w:t>
    </w:r>
    <w:r>
      <w:rPr>
        <w:b/>
        <w:bCs/>
        <w:color w:val="595959"/>
        <w:sz w:val="17"/>
        <w:szCs w:val="17"/>
      </w:rPr>
      <w:t xml:space="preserve">	SOP/AKD/08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lvl w:ilvl="2" w15:tentative="1">
      <w:start w:val="1"/>
      <w:numFmt w:val="bullet"/>
      <w:lvlText w:val="◦"/>
      <w:lvlJc w:val="left"/>
      <w:pPr>
        <w:ind w:left="162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4E79" w:sz="6" w:space="2"/>
      </w:pBdr>
      <w:spacing w:after="120" w:before="280"/>
      <w:outlineLvl w:val="0"/>
    </w:pPr>
    <w:rPr>
      <w:rFonts w:ascii="Calibri" w:cs="Calibri" w:eastAsia="Calibri" w:hAnsi="Calibri"/>
      <w:b/>
      <w:bCs/>
      <w:color w:val="1F4E79"/>
      <w:sz w:val="26"/>
      <w:szCs w:val="26"/>
    </w:rPr>
  </w:style>
  <w:style w:type="paragraph" w:styleId="Heading2">
    <w:name w:val="Heading 2"/>
    <w:basedOn w:val="Normal"/>
    <w:next w:val="Normal"/>
    <w:qFormat/>
    <w:pPr>
      <w:keepNext/>
      <w:spacing w:after="80" w:before="200"/>
      <w:outlineLvl w:val="1"/>
    </w:pPr>
    <w:rPr>
      <w:rFonts w:ascii="Calibri" w:cs="Calibri" w:eastAsia="Calibri" w:hAnsi="Calibri"/>
      <w:b/>
      <w:bCs/>
      <w:color w:val="2E75B6"/>
      <w:sz w:val="23"/>
      <w:szCs w:val="23"/>
    </w:rPr>
  </w:style>
  <w:style w:type="paragraph" w:styleId="Heading3">
    <w:name w:val="Heading 3"/>
    <w:basedOn w:val="Normal"/>
    <w:next w:val="Normal"/>
    <w:qFormat/>
    <w:pPr>
      <w:keepNext/>
      <w:spacing w:after="60" w:before="140"/>
      <w:outlineLvl w:val="2"/>
    </w:pPr>
    <w:rPr>
      <w:rFonts w:ascii="Calibri" w:cs="Calibri" w:eastAsia="Calibri" w:hAnsi="Calibri"/>
      <w:b/>
      <w:bCs/>
      <w:i/>
      <w:i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Sustained Low-Efficiency Dialysis (SLED) – Initiation &amp; Monitoring</dc:title>
  <dc:creator>Department of Nephrology</dc:creator>
  <cp:lastModifiedBy>Un-named</cp:lastModifiedBy>
  <cp:revision>1</cp:revision>
  <dcterms:created xsi:type="dcterms:W3CDTF">2026-10-13T04:51:53.456Z</dcterms:created>
  <dcterms:modified xsi:type="dcterms:W3CDTF">2026-10-13T04:51:53.456Z</dcterms:modified>
</cp:coreProperties>
</file>

<file path=docProps/custom.xml><?xml version="1.0" encoding="utf-8"?>
<Properties xmlns="http://schemas.openxmlformats.org/officeDocument/2006/custom-properties" xmlns:vt="http://schemas.openxmlformats.org/officeDocument/2006/docPropsVTypes"/>
</file>