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95959"/>
          <w:sz w:val="22"/>
          <w:szCs w:val="22"/>
        </w:rPr>
        <w:t xml:space="preserve">STANDARD OPERATING PROCEDURE</w:t>
      </w:r>
    </w:p>
    <w:p>
      <w:pPr>
        <w:spacing w:after="200"/>
        <w:jc w:val="center"/>
      </w:pPr>
      <w:r>
        <w:rPr>
          <w:b/>
          <w:bCs/>
          <w:color w:val="1F4E79"/>
          <w:sz w:val="34"/>
          <w:szCs w:val="34"/>
        </w:rPr>
        <w:t xml:space="preserve">Continuous Renal Replacement Therapy (CRRT / CKRT) – Initiation &amp;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SOP No.</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SOP/AKD/10</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Version</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1.0</w:t>
            </w:r>
          </w:p>
        </w:tc>
      </w:tr>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Department</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Nephrology – AKD / Dialysis Unit</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Effective Date</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__</w:t>
            </w:r>
            <w:r>
              <w:rPr>
                <w:i/>
                <w:iCs/>
                <w:sz w:val="20"/>
                <w:szCs w:val="20"/>
              </w:rPr>
              <w:t xml:space="preserve"> / </w:t>
            </w:r>
            <w:r>
              <w:rPr>
                <w:i/>
                <w:iCs/>
                <w:sz w:val="20"/>
                <w:szCs w:val="20"/>
              </w:rPr>
              <w:t xml:space="preserve"> / </w:t>
            </w:r>
            <w:r>
              <w:rPr>
                <w:sz w:val="20"/>
                <w:szCs w:val="20"/>
              </w:rPr>
              <w:t xml:space="preserve">____</w:t>
            </w:r>
          </w:p>
        </w:tc>
      </w:tr>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Prepared by</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 / Sign / Date</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Next Review Date</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2 years from effective date or earlier if guidelines change</w:t>
            </w:r>
          </w:p>
        </w:tc>
      </w:tr>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Reviewed by</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 / Sign / Date</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Approved by</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 / Sign / Date</w:t>
            </w:r>
          </w:p>
        </w:tc>
      </w:tr>
    </w:tbl>
    <w:p>
      <w:pPr>
        <w:spacing w:after="120"/>
      </w:pPr>
    </w:p>
    <w:p>
      <w:pPr>
        <w:pStyle w:val="Heading1"/>
      </w:pPr>
      <w:r>
        <w:t xml:space="preserve">1. Name</w:t>
      </w:r>
    </w:p>
    <w:p>
      <w:pPr>
        <w:spacing w:after="100"/>
      </w:pPr>
      <w:r>
        <w:rPr>
          <w:b/>
          <w:bCs/>
        </w:rPr>
        <w:t xml:space="preserve">Continuous Renal Replacement Therapy (CRRT / CKRT) – Initiation &amp; Monitoring</w:t>
      </w:r>
    </w:p>
    <w:p>
      <w:pPr>
        <w:pStyle w:val="Heading1"/>
      </w:pPr>
      <w:r>
        <w:t xml:space="preserve">2. Purpose</w:t>
      </w:r>
    </w:p>
    <w:p>
      <w:pPr>
        <w:spacing w:after="100"/>
      </w:pPr>
      <w:r>
        <w:t xml:space="preserve">To standardise prescription, set-up, anticoagulation (including regional citrate), monitoring and troubleshooting of continuous kidney replacement therapy in critically ill patients with AKI, ensuring delivery of the target dose, precise fluid management, electrolyte and acid–base safety, and prevention of complications.</w:t>
      </w:r>
    </w:p>
    <w:p>
      <w:pPr>
        <w:pStyle w:val="Heading1"/>
      </w:pPr>
      <w:r>
        <w:t xml:space="preserve">3. Scope</w:t>
      </w:r>
    </w:p>
    <w:p>
      <w:pPr>
        <w:spacing w:after="100"/>
      </w:pPr>
      <w:r>
        <w:t xml:space="preserve">Adult critically ill patients in ICUs managed jointly with the AKD / Nephrology service, receiving CVVH, CVVHD, CVVHDF or SCUF on dedicated CRRT platforms (e.g., Prismaflex / PrisMax, multiFiltrate, Aquarius).</w:t>
      </w:r>
    </w:p>
    <w:p>
      <w:pPr>
        <w:spacing w:after="100"/>
      </w:pPr>
      <w:r>
        <w:t xml:space="preserve">Covers indications, modality selection, vascular access, dose, fluids, anticoagulation, fluid-balance management, monitoring, drug dosing, troubleshooting and discontinuation.</w:t>
      </w:r>
    </w:p>
    <w:p>
      <w:pPr>
        <w:pStyle w:val="Heading1"/>
      </w:pPr>
      <w:r>
        <w:t xml:space="preserve">4. Responsibility</w:t>
      </w:r>
    </w:p>
    <w:p>
      <w:pPr>
        <w:pStyle w:val="ListParagraph"/>
        <w:numPr>
          <w:ilvl w:val="0"/>
          <w:numId w:val="2"/>
        </w:numPr>
        <w:spacing w:after="60"/>
      </w:pPr>
      <w:r>
        <w:rPr>
          <w:b/>
          <w:bCs/>
        </w:rPr>
        <w:t xml:space="preserve">Nephrologist and intensivist:</w:t>
      </w:r>
      <w:r>
        <w:t xml:space="preserve"> indication, modality, daily written prescription (dose, net UF, fluids, anticoagulation), review of labs and transition.</w:t>
      </w:r>
    </w:p>
    <w:p>
      <w:pPr>
        <w:pStyle w:val="ListParagraph"/>
        <w:numPr>
          <w:ilvl w:val="0"/>
          <w:numId w:val="2"/>
        </w:numPr>
        <w:spacing w:after="60"/>
      </w:pPr>
      <w:r>
        <w:rPr>
          <w:b/>
          <w:bCs/>
        </w:rPr>
        <w:t xml:space="preserve">ICU / CRRT-trained nurse (1:1 or 1:2 nursing):</w:t>
      </w:r>
      <w:r>
        <w:t xml:space="preserve"> machine set-up, priming, connection, hourly monitoring and charting, bag changes, alarm management, citrate protocol execution.</w:t>
      </w:r>
    </w:p>
    <w:p>
      <w:pPr>
        <w:pStyle w:val="ListParagraph"/>
        <w:numPr>
          <w:ilvl w:val="0"/>
          <w:numId w:val="2"/>
        </w:numPr>
        <w:spacing w:after="60"/>
      </w:pPr>
      <w:r>
        <w:rPr>
          <w:b/>
          <w:bCs/>
        </w:rPr>
        <w:t xml:space="preserve">Clinical pharmacist:</w:t>
      </w:r>
      <w:r>
        <w:t xml:space="preserve"> drug dosing in CRRT; pharmacy preparation of replacement / dialysate additives where needed.</w:t>
      </w:r>
    </w:p>
    <w:p>
      <w:pPr>
        <w:pStyle w:val="ListParagraph"/>
        <w:numPr>
          <w:ilvl w:val="0"/>
          <w:numId w:val="2"/>
        </w:numPr>
        <w:spacing w:after="60"/>
      </w:pPr>
      <w:r>
        <w:rPr>
          <w:b/>
          <w:bCs/>
        </w:rPr>
        <w:t xml:space="preserve">Biomedical engineer:</w:t>
      </w:r>
      <w:r>
        <w:t xml:space="preserve"> machine maintenance and calibration.</w:t>
      </w:r>
    </w:p>
    <w:p>
      <w:pPr>
        <w:pStyle w:val="Heading1"/>
      </w:pPr>
      <w:r>
        <w:t xml:space="preserve">5. Authority</w:t>
      </w:r>
    </w:p>
    <w:p>
      <w:pPr>
        <w:spacing w:after="100"/>
      </w:pPr>
      <w:r>
        <w:t xml:space="preserve">ICU Consultant-in-charge and Consultant Nephrologist (AKD/ICU nephrology). CRRT quality indicators (delivered vs prescribed dose, filter life, downtime, citrate complications) are reviewed monthly.</w:t>
      </w:r>
    </w:p>
    <w:p>
      <w:pPr>
        <w:pStyle w:val="Heading1"/>
      </w:pPr>
      <w:r>
        <w:t xml:space="preserve">6. Specific Environmental Requirement</w:t>
      </w:r>
    </w:p>
    <w:p>
      <w:pPr>
        <w:pStyle w:val="ListParagraph"/>
        <w:numPr>
          <w:ilvl w:val="0"/>
          <w:numId w:val="2"/>
        </w:numPr>
        <w:spacing w:after="60"/>
      </w:pPr>
      <w:r>
        <w:t xml:space="preserve">ICU bed with continuous haemodynamic monitoring (ECG, arterial line preferred, SpO₂), ABG analyser with ionised calcium in the unit.</w:t>
      </w:r>
    </w:p>
    <w:p>
      <w:pPr>
        <w:pStyle w:val="ListParagraph"/>
        <w:numPr>
          <w:ilvl w:val="0"/>
          <w:numId w:val="2"/>
        </w:numPr>
        <w:spacing w:after="60"/>
      </w:pPr>
      <w:r>
        <w:t xml:space="preserve">Dedicated CRRT machine with scale-based fluid balancing; adequate power with UPS.</w:t>
      </w:r>
    </w:p>
    <w:p>
      <w:pPr>
        <w:pStyle w:val="ListParagraph"/>
        <w:numPr>
          <w:ilvl w:val="0"/>
          <w:numId w:val="2"/>
        </w:numPr>
        <w:spacing w:after="60"/>
      </w:pPr>
      <w:r>
        <w:t xml:space="preserve">Sterile commercial bicarbonate-buffered replacement / dialysate fluids (no on-line water required); storage at room temperature.</w:t>
      </w:r>
    </w:p>
    <w:p>
      <w:pPr>
        <w:pStyle w:val="ListParagraph"/>
        <w:numPr>
          <w:ilvl w:val="0"/>
          <w:numId w:val="2"/>
        </w:numPr>
        <w:spacing w:after="60"/>
      </w:pPr>
      <w:r>
        <w:t xml:space="preserve">Aseptic technique for all access connections and bag changes; ICU infection-control policy.</w:t>
      </w:r>
    </w:p>
    <w:p>
      <w:pPr>
        <w:pStyle w:val="Heading1"/>
      </w:pPr>
      <w:r>
        <w:t xml:space="preserve">7. Equipment / Instruments</w:t>
      </w:r>
    </w:p>
    <w:p>
      <w:pPr>
        <w:pStyle w:val="ListParagraph"/>
        <w:numPr>
          <w:ilvl w:val="0"/>
          <w:numId w:val="2"/>
        </w:numPr>
        <w:spacing w:after="60"/>
      </w:pPr>
      <w:r>
        <w:t xml:space="preserve">CRRT machine and compatible set (e.g., ST100/ST150, M100/M150, oXiris for selected septic patients per protocol); haemofilter surface area 1.0–1.5 m².</w:t>
      </w:r>
    </w:p>
    <w:p>
      <w:pPr>
        <w:pStyle w:val="ListParagraph"/>
        <w:numPr>
          <w:ilvl w:val="0"/>
          <w:numId w:val="2"/>
        </w:numPr>
        <w:spacing w:after="60"/>
      </w:pPr>
      <w:r>
        <w:t xml:space="preserve">Dual-lumen non-tunnelled catheter 12–13.5 Fr (SOP/AKD/01): </w:t>
      </w:r>
      <w:r>
        <w:rPr>
          <w:b/>
          <w:bCs/>
        </w:rPr>
        <w:t xml:space="preserve">right IJV 15–16 cm, femoral 20–24 cm, left IJV 19–20 cm</w:t>
      </w:r>
      <w:r>
        <w:t xml:space="preserve">.</w:t>
      </w:r>
    </w:p>
    <w:p>
      <w:pPr>
        <w:pStyle w:val="ListParagraph"/>
        <w:numPr>
          <w:ilvl w:val="0"/>
          <w:numId w:val="2"/>
        </w:numPr>
        <w:spacing w:after="60"/>
      </w:pPr>
      <w:r>
        <w:t xml:space="preserve">Replacement / dialysate fluids: bicarbonate-buffered (e.g., HCO₃⁻ 32–35 mmol/L, K⁺ 0–4 mmol/L, ± phosphate-containing solutions); calcium-free fluids for citrate protocols.</w:t>
      </w:r>
    </w:p>
    <w:p>
      <w:pPr>
        <w:pStyle w:val="ListParagraph"/>
        <w:numPr>
          <w:ilvl w:val="0"/>
          <w:numId w:val="2"/>
        </w:numPr>
        <w:spacing w:after="60"/>
      </w:pPr>
      <w:r>
        <w:t xml:space="preserve">Anticoagulants: trisodium citrate (e.g., 4% TSC or Prismocitrate 18/0, 136 mmol/L citrate solutions) with calcium chloride / calcium gluconate infusion; or unfractionated heparin.</w:t>
      </w:r>
    </w:p>
    <w:p>
      <w:pPr>
        <w:pStyle w:val="ListParagraph"/>
        <w:numPr>
          <w:ilvl w:val="0"/>
          <w:numId w:val="2"/>
        </w:numPr>
        <w:spacing w:after="60"/>
      </w:pPr>
      <w:r>
        <w:t xml:space="preserve">Priming: 0.9% saline 2 L (± heparin 5,000 IU/L).</w:t>
      </w:r>
    </w:p>
    <w:p>
      <w:pPr>
        <w:pStyle w:val="ListParagraph"/>
        <w:numPr>
          <w:ilvl w:val="0"/>
          <w:numId w:val="2"/>
        </w:numPr>
        <w:spacing w:after="60"/>
      </w:pPr>
      <w:r>
        <w:t xml:space="preserve">Infusion pumps, blood warmer (integrated or external), ABG syringes.</w:t>
      </w:r>
    </w:p>
    <w:p>
      <w:pPr>
        <w:pStyle w:val="Heading1"/>
      </w:pPr>
      <w:r>
        <w:t xml:space="preserve">8. Procedure</w:t>
      </w:r>
    </w:p>
    <w:p>
      <w:pPr>
        <w:pStyle w:val="Heading2"/>
      </w:pPr>
      <w:r>
        <w:t xml:space="preserve">8.1 Indications &amp; modality choice</w:t>
      </w:r>
    </w:p>
    <w:p>
      <w:pPr>
        <w:pStyle w:val="ListParagraph"/>
        <w:numPr>
          <w:ilvl w:val="0"/>
          <w:numId w:val="2"/>
        </w:numPr>
        <w:spacing w:after="60"/>
      </w:pPr>
      <w:r>
        <w:t xml:space="preserve">AKI requiring KRT (absolute indications as in SOP/AKD/03) in patients who are </w:t>
      </w:r>
      <w:r>
        <w:rPr>
          <w:b/>
          <w:bCs/>
        </w:rPr>
        <w:t xml:space="preserve">haemodynamically unstable</w:t>
      </w:r>
      <w:r>
        <w:t xml:space="preserve">, have </w:t>
      </w:r>
      <w:r>
        <w:rPr>
          <w:b/>
          <w:bCs/>
        </w:rPr>
        <w:t xml:space="preserve">raised ICP / acute brain injury or acute liver failure</w:t>
      </w:r>
      <w:r>
        <w:t xml:space="preserve">, or need precise large-volume fluid management (KDIGO 2012 – CRRT suggested over IHD in these groups).</w:t>
      </w:r>
    </w:p>
    <w:p>
      <w:pPr>
        <w:pStyle w:val="ListParagraph"/>
        <w:numPr>
          <w:ilvl w:val="0"/>
          <w:numId w:val="2"/>
        </w:numPr>
        <w:spacing w:after="60"/>
      </w:pPr>
      <w:r>
        <w:t xml:space="preserve">Diuretic-resistant fluid overload (SCUF / CVVH).</w:t>
      </w:r>
    </w:p>
    <w:p>
      <w:pPr>
        <w:pStyle w:val="ListParagraph"/>
        <w:numPr>
          <w:ilvl w:val="0"/>
          <w:numId w:val="2"/>
        </w:numPr>
        <w:spacing w:after="60"/>
      </w:pPr>
      <w:r>
        <w:rPr>
          <w:b/>
          <w:bCs/>
        </w:rPr>
        <w:t xml:space="preserve">Modality:</w:t>
      </w:r>
      <w:r>
        <w:t xml:space="preserve"> CVVHDF or CVVHD (diffusion) is suitable for most; CVVH (convection) for larger middle-molecule clearance; outcome equivalence between convective and diffusive modes – choose by unit familiarity.</w:t>
      </w:r>
    </w:p>
    <w:p>
      <w:pPr>
        <w:pStyle w:val="ListParagraph"/>
        <w:numPr>
          <w:ilvl w:val="0"/>
          <w:numId w:val="2"/>
        </w:numPr>
        <w:spacing w:after="60"/>
      </w:pPr>
      <w:r>
        <w:t xml:space="preserve">Timing: same principles as SOP/AKD/03 (STARRT-AKI, AKIKI) – avoid pre-emptive initiation without indication.</w:t>
      </w:r>
    </w:p>
    <w:p>
      <w:pPr>
        <w:pStyle w:val="Heading2"/>
      </w:pPr>
      <w:r>
        <w:t xml:space="preserve">8.2 Prescription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3"/>
        <w:gridCol w:w="3353"/>
        <w:gridCol w:w="3610"/>
      </w:tblGrid>
      <w:tr>
        <w:trPr>
          <w:tblHeader/>
        </w:trPr>
        <w:tc>
          <w:tcPr>
            <w:tcW w:type="dxa" w:w="2063"/>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Parameter</w:t>
            </w:r>
          </w:p>
        </w:tc>
        <w:tc>
          <w:tcPr>
            <w:tcW w:type="dxa" w:w="3353"/>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Standard prescription</w:t>
            </w:r>
          </w:p>
        </w:tc>
        <w:tc>
          <w:tcPr>
            <w:tcW w:type="dxa" w:w="3610"/>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Notes</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Effluent dose</w:t>
            </w:r>
          </w:p>
        </w:tc>
        <w:tc>
          <w:tcPr>
            <w:tcW w:type="dxa" w:w="335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b/>
                <w:bCs/>
                <w:sz w:val="20"/>
                <w:szCs w:val="20"/>
              </w:rPr>
              <w:t xml:space="preserve">Prescribe 25–30 mL/kg/h to deliver ≥ 20–25 mL/kg/h</w:t>
            </w:r>
            <w:r>
              <w:rPr>
                <w:sz w:val="20"/>
                <w:szCs w:val="20"/>
              </w:rPr>
              <w:t xml:space="preserve"> (KDIGO 2012)</w:t>
            </w:r>
          </w:p>
        </w:tc>
        <w:tc>
          <w:tcPr>
            <w:tcW w:type="dxa" w:w="3610"/>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RENAL &amp; ATN trials: higher intensity (35–40 mL/kg/h) did not improve outcomes. Compensate for downtime. Use actual (pre-morbid) body weight.</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Blood flow (Qb)</w:t>
            </w:r>
          </w:p>
        </w:tc>
        <w:tc>
          <w:tcPr>
            <w:tcW w:type="dxa" w:w="335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150–250 mL/min (100–150 with citrate)</w:t>
            </w:r>
          </w:p>
        </w:tc>
        <w:tc>
          <w:tcPr>
            <w:tcW w:type="dxa" w:w="3610"/>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Lower with citrate to limit citrate load.</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Filtration fraction (CVVH/HDF)</w:t>
            </w:r>
          </w:p>
        </w:tc>
        <w:tc>
          <w:tcPr>
            <w:tcW w:type="dxa" w:w="335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b/>
                <w:bCs/>
                <w:sz w:val="20"/>
                <w:szCs w:val="20"/>
              </w:rPr>
              <w:t xml:space="preserve">&lt; 20–25 %</w:t>
            </w:r>
            <w:r>
              <w:rPr>
                <w:sz w:val="20"/>
                <w:szCs w:val="20"/>
              </w:rPr>
              <w:t xml:space="preserve"> (post-dilution)</w:t>
            </w:r>
          </w:p>
        </w:tc>
        <w:tc>
          <w:tcPr>
            <w:tcW w:type="dxa" w:w="3610"/>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FF = (UF rate) / plasma flow; use pre-dilution to lower FF and prolong filter life.</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Replacement fluid</w:t>
            </w:r>
          </w:p>
        </w:tc>
        <w:tc>
          <w:tcPr>
            <w:tcW w:type="dxa" w:w="335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Pre-dilution / post-dilution split (e.g., 2/3 pre : 1/3 post)</w:t>
            </w:r>
          </w:p>
        </w:tc>
        <w:tc>
          <w:tcPr>
            <w:tcW w:type="dxa" w:w="3610"/>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Pre-dilution reduces clearance by ~15 % – increase dose accordingly.</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Dialysate (CVVHD/CVVHDF)</w:t>
            </w:r>
          </w:p>
        </w:tc>
        <w:tc>
          <w:tcPr>
            <w:tcW w:type="dxa" w:w="335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Flow as per total dose</w:t>
            </w:r>
          </w:p>
        </w:tc>
        <w:tc>
          <w:tcPr>
            <w:tcW w:type="dxa" w:w="3610"/>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Calcium-free dialysate with citrate protocols.</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Net fluid removal (UF)</w:t>
            </w:r>
          </w:p>
        </w:tc>
        <w:tc>
          <w:tcPr>
            <w:tcW w:type="dxa" w:w="335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Individualised: typically </w:t>
            </w:r>
            <w:r>
              <w:rPr>
                <w:b/>
                <w:bCs/>
                <w:sz w:val="20"/>
                <w:szCs w:val="20"/>
              </w:rPr>
              <w:t xml:space="preserve">0–150 mL/h</w:t>
            </w:r>
            <w:r>
              <w:rPr>
                <w:sz w:val="20"/>
                <w:szCs w:val="20"/>
              </w:rPr>
              <w:t xml:space="preserve"> (≤ 1.0–1.5 mL/kg/h); reassess hourly</w:t>
            </w:r>
          </w:p>
        </w:tc>
        <w:tc>
          <w:tcPr>
            <w:tcW w:type="dxa" w:w="3610"/>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Net UF &gt; 1.75 mL/kg/h associated with higher mortality; &lt; 1.0 mL/kg/h also associated with worse outcome in fluid-overloaded patients – aim for gradual de-resuscitation.</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Fluid composition</w:t>
            </w:r>
          </w:p>
        </w:tc>
        <w:tc>
          <w:tcPr>
            <w:tcW w:type="dxa" w:w="335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Bicarbonate-based; K⁺ 4 mmol/L once K⁺ &lt; 5.0; phosphate-containing fluids after first 24 h or when PO₄ &lt; 1.0 mmol/L</w:t>
            </w:r>
          </w:p>
        </w:tc>
        <w:tc>
          <w:tcPr>
            <w:tcW w:type="dxa" w:w="3610"/>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Avoid lactate-based fluids in liver failure / lactic acidosis.</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Temperature</w:t>
            </w:r>
          </w:p>
        </w:tc>
        <w:tc>
          <w:tcPr>
            <w:tcW w:type="dxa" w:w="335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Warmer set to 37–38 °C</w:t>
            </w:r>
          </w:p>
        </w:tc>
        <w:tc>
          <w:tcPr>
            <w:tcW w:type="dxa" w:w="3610"/>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CRRT can cause hypothermia and mask fever.</w:t>
            </w:r>
          </w:p>
        </w:tc>
      </w:tr>
    </w:tbl>
    <w:p>
      <w:pPr>
        <w:spacing w:after="80"/>
      </w:pPr>
    </w:p>
    <w:p>
      <w:pPr>
        <w:pStyle w:val="Heading2"/>
      </w:pPr>
      <w:r>
        <w:t xml:space="preserve">8.3 Anticoagulation</w:t>
      </w:r>
    </w:p>
    <w:p>
      <w:pPr>
        <w:pStyle w:val="Heading3"/>
      </w:pPr>
      <w:r>
        <w:t xml:space="preserve">A. Regional citrate anticoagulation (RCA) – preferred (KDIGO 2012: 2B; RICH trial 2020)</w:t>
      </w:r>
    </w:p>
    <w:p>
      <w:pPr>
        <w:pStyle w:val="ListParagraph"/>
        <w:numPr>
          <w:ilvl w:val="0"/>
          <w:numId w:val="2"/>
        </w:numPr>
        <w:spacing w:after="60"/>
      </w:pPr>
      <w:r>
        <w:t xml:space="preserve">Citrate infused pre-filter chelates ionised calcium → anticoagulation within the circuit; calcium replaced by a separate infusion (via central line or the post-filter return line, as per machine protocol).</w:t>
      </w:r>
    </w:p>
    <w:p>
      <w:pPr>
        <w:pStyle w:val="ListParagraph"/>
        <w:numPr>
          <w:ilvl w:val="0"/>
          <w:numId w:val="2"/>
        </w:numPr>
        <w:spacing w:after="60"/>
      </w:pPr>
      <w:r>
        <w:rPr>
          <w:b/>
          <w:bCs/>
        </w:rPr>
        <w:t xml:space="preserve">Targets:</w:t>
      </w:r>
      <w:r>
        <w:t xml:space="preserve"> post-filter ionised Ca²⁺ </w:t>
      </w:r>
      <w:r>
        <w:rPr>
          <w:b/>
          <w:bCs/>
        </w:rPr>
        <w:t xml:space="preserve">0.25–0.35 mmol/L</w:t>
      </w:r>
      <w:r>
        <w:t xml:space="preserve">; systemic ionised Ca²⁺ </w:t>
      </w:r>
      <w:r>
        <w:rPr>
          <w:b/>
          <w:bCs/>
        </w:rPr>
        <w:t xml:space="preserve">1.0–1.2 mmol/L</w:t>
      </w:r>
      <w:r>
        <w:t xml:space="preserve">. Starting citrate dose usually 3–4 mmol/L of blood flow (per machine protocol).</w:t>
      </w:r>
    </w:p>
    <w:p>
      <w:pPr>
        <w:pStyle w:val="ListParagraph"/>
        <w:numPr>
          <w:ilvl w:val="0"/>
          <w:numId w:val="2"/>
        </w:numPr>
        <w:spacing w:after="60"/>
      </w:pPr>
      <w:r>
        <w:t xml:space="preserve">Monitoring: post-filter and systemic iCa²⁺ at 1 h, then every 4–6 h for 24 h, then every 6–8 h; Na⁺, HCO₃⁻, pH, Mg²⁺ 6–8 hourly; total calcium daily.</w:t>
      </w:r>
    </w:p>
    <w:p>
      <w:pPr>
        <w:pStyle w:val="ListParagraph"/>
        <w:numPr>
          <w:ilvl w:val="0"/>
          <w:numId w:val="2"/>
        </w:numPr>
        <w:spacing w:after="60"/>
      </w:pPr>
      <w:r>
        <w:rPr>
          <w:b/>
          <w:bCs/>
        </w:rPr>
        <w:t xml:space="preserve">Citrate accumulation:</w:t>
      </w:r>
      <w:r>
        <w:t xml:space="preserve"> total Ca / ionised Ca ratio </w:t>
      </w:r>
      <w:r>
        <w:rPr>
          <w:b/>
          <w:bCs/>
        </w:rPr>
        <w:t xml:space="preserve">&gt; 2.5</w:t>
      </w:r>
      <w:r>
        <w:t xml:space="preserve">, rising anion gap, metabolic acidosis, rising calcium requirement – reduce citrate (lower Qb), increase dialysate/effluent, or switch to heparin/no anticoagulation. Use with caution / avoid in severe liver failure, lactate &gt; 4–8 mmol/L with poor clearance, and refractory shock.</w:t>
      </w:r>
    </w:p>
    <w:p>
      <w:pPr>
        <w:pStyle w:val="ListParagraph"/>
        <w:numPr>
          <w:ilvl w:val="0"/>
          <w:numId w:val="2"/>
        </w:numPr>
        <w:spacing w:after="60"/>
      </w:pPr>
      <w:r>
        <w:t xml:space="preserve">Metabolic alkalosis (citrate → bicarbonate): reduce citrate dose or increase dialysate flow / reduce bicarbonate in fluids.</w:t>
      </w:r>
    </w:p>
    <w:p>
      <w:pPr>
        <w:pStyle w:val="Heading3"/>
      </w:pPr>
      <w:r>
        <w:t xml:space="preserve">B. Systemic unfractionated heparin</w:t>
      </w:r>
    </w:p>
    <w:p>
      <w:pPr>
        <w:spacing w:after="100"/>
      </w:pPr>
      <w:r>
        <w:t xml:space="preserve">When citrate is contraindicated and there is no bleeding risk: bolus 1,000–2,000 IU (optional), infusion 5–10 IU/kg/h pre-filter; monitor aPTT every 6 h (target 1.5–2× normal or anti-Xa 0.2–0.4 IU/mL); monitor platelets (HIT).</w:t>
      </w:r>
    </w:p>
    <w:p>
      <w:pPr>
        <w:pStyle w:val="Heading3"/>
      </w:pPr>
      <w:r>
        <w:t xml:space="preserve">C. No anticoagulation</w:t>
      </w:r>
    </w:p>
    <w:p>
      <w:pPr>
        <w:spacing w:after="100"/>
      </w:pPr>
      <w:r>
        <w:t xml:space="preserve">For patients with high bleeding risk where citrate is not available/contraindicated: maximise pre-dilution, Qb ≥ 200 mL/min, minimise interruptions; accept shorter filter life.</w:t>
      </w:r>
    </w:p>
    <w:p>
      <w:pPr>
        <w:pStyle w:val="Heading2"/>
      </w:pPr>
      <w:r>
        <w:t xml:space="preserve">8.4 Set-up and initiation</w:t>
      </w:r>
    </w:p>
    <w:p>
      <w:pPr>
        <w:pStyle w:val="ListParagraph"/>
        <w:numPr>
          <w:ilvl w:val="0"/>
          <w:numId w:val="3"/>
        </w:numPr>
        <w:spacing w:after="60"/>
      </w:pPr>
      <w:r>
        <w:t xml:space="preserve">Verify written prescription; hand hygiene; mount CRRT set as per machine prompts; prime with saline (heparinised saline if heparin protocol); complete automated self-tests.</w:t>
      </w:r>
    </w:p>
    <w:p>
      <w:pPr>
        <w:pStyle w:val="ListParagraph"/>
        <w:numPr>
          <w:ilvl w:val="0"/>
          <w:numId w:val="3"/>
        </w:numPr>
        <w:spacing w:after="60"/>
      </w:pPr>
      <w:r>
        <w:t xml:space="preserve">Hang fluids (check composition, additives labelled, expiry); programme dose, fluid rates, net UF, anticoagulation and blood warmer.</w:t>
      </w:r>
    </w:p>
    <w:p>
      <w:pPr>
        <w:pStyle w:val="ListParagraph"/>
        <w:numPr>
          <w:ilvl w:val="0"/>
          <w:numId w:val="3"/>
        </w:numPr>
        <w:spacing w:after="60"/>
      </w:pPr>
      <w:r>
        <w:t xml:space="preserve">Access the catheter aseptically (SOP/AKD/11); aspirate locks; check flows by syringe.</w:t>
      </w:r>
    </w:p>
    <w:p>
      <w:pPr>
        <w:pStyle w:val="ListParagraph"/>
        <w:numPr>
          <w:ilvl w:val="0"/>
          <w:numId w:val="3"/>
        </w:numPr>
        <w:spacing w:after="60"/>
      </w:pPr>
      <w:r>
        <w:t xml:space="preserve">Connect – in haemodynamically unstable patients connect both lines without discarding prime (isovolaemic connection), anticipate transient hypotension and titrate vasopressors; start Qb at 50–100 mL/min and increase over 5–10 min.</w:t>
      </w:r>
    </w:p>
    <w:p>
      <w:pPr>
        <w:pStyle w:val="ListParagraph"/>
        <w:numPr>
          <w:ilvl w:val="0"/>
          <w:numId w:val="3"/>
        </w:numPr>
        <w:spacing w:after="60"/>
      </w:pPr>
      <w:r>
        <w:t xml:space="preserve">Start citrate / calcium or heparin infusions as per protocol; start fluid removal after stabilisation.</w:t>
      </w:r>
    </w:p>
    <w:p>
      <w:pPr>
        <w:pStyle w:val="Heading2"/>
      </w:pPr>
      <w:r>
        <w:t xml:space="preserve">8.5 Monitoring</w:t>
      </w:r>
    </w:p>
    <w:p>
      <w:pPr>
        <w:pStyle w:val="ListParagraph"/>
        <w:numPr>
          <w:ilvl w:val="0"/>
          <w:numId w:val="2"/>
        </w:numPr>
        <w:spacing w:after="60"/>
      </w:pPr>
      <w:r>
        <w:rPr>
          <w:b/>
          <w:bCs/>
        </w:rPr>
        <w:t xml:space="preserve">Hourly:</w:t>
      </w:r>
      <w:r>
        <w:t xml:space="preserve"> HR, BP/MAP, vasopressor dose, temperature; access pressure, return pressure, TMP, filter pressure drop; effluent and fluid volumes; net UF achieved vs prescribed; </w:t>
      </w:r>
      <w:r>
        <w:rPr>
          <w:b/>
          <w:bCs/>
        </w:rPr>
        <w:t xml:space="preserve">hourly patient fluid balance</w:t>
      </w:r>
      <w:r>
        <w:t xml:space="preserve"> (all inputs and outputs); citrate/calcium rates.</w:t>
      </w:r>
    </w:p>
    <w:p>
      <w:pPr>
        <w:pStyle w:val="ListParagraph"/>
        <w:numPr>
          <w:ilvl w:val="0"/>
          <w:numId w:val="2"/>
        </w:numPr>
        <w:spacing w:after="60"/>
      </w:pPr>
      <w:r>
        <w:rPr>
          <w:b/>
          <w:bCs/>
        </w:rPr>
        <w:t xml:space="preserve">4–6 hourly:</w:t>
      </w:r>
      <w:r>
        <w:t xml:space="preserve"> ABG with electrolytes and iCa²⁺ (citrate); glucose.</w:t>
      </w:r>
    </w:p>
    <w:p>
      <w:pPr>
        <w:pStyle w:val="ListParagraph"/>
        <w:numPr>
          <w:ilvl w:val="0"/>
          <w:numId w:val="2"/>
        </w:numPr>
        <w:spacing w:after="60"/>
      </w:pPr>
      <w:r>
        <w:rPr>
          <w:b/>
          <w:bCs/>
        </w:rPr>
        <w:t xml:space="preserve">Daily:</w:t>
      </w:r>
      <w:r>
        <w:t xml:space="preserve"> urea, creatinine, Na⁺, K⁺, Cl⁻, HCO₃⁻, PO₄, Mg²⁺, total Ca, CBC, coagulation (heparin), lactate; review delivered dose (effluent dose and downtime).</w:t>
      </w:r>
    </w:p>
    <w:p>
      <w:pPr>
        <w:pStyle w:val="ListParagraph"/>
        <w:numPr>
          <w:ilvl w:val="0"/>
          <w:numId w:val="2"/>
        </w:numPr>
        <w:spacing w:after="60"/>
      </w:pPr>
      <w:r>
        <w:t xml:space="preserve">Nutrition: protein 1.3–1.7 g/kg/day (up to 2.5 g/kg/day in hypercatabolic patients on CRRT); replace water-soluble vitamins, trace elements (losses in effluent).</w:t>
      </w:r>
    </w:p>
    <w:p>
      <w:pPr>
        <w:pStyle w:val="ListParagraph"/>
        <w:numPr>
          <w:ilvl w:val="0"/>
          <w:numId w:val="2"/>
        </w:numPr>
        <w:spacing w:after="60"/>
      </w:pPr>
      <w:r>
        <w:t xml:space="preserve">Daily evaluation of goals, prescription, catheter site and need to continue.</w:t>
      </w:r>
    </w:p>
    <w:p>
      <w:pPr>
        <w:pStyle w:val="Heading2"/>
      </w:pPr>
      <w:r>
        <w:t xml:space="preserve">8.6 Drug dosing</w:t>
      </w:r>
    </w:p>
    <w:p>
      <w:pPr>
        <w:spacing w:after="100"/>
      </w:pPr>
      <w:r>
        <w:t xml:space="preserve">CRRT clearance ≈ effluent rate (for small, non-protein-bound drugs, adjusted by sieving coefficient). Avoid under-dosing antimicrobials: give full loading doses; adjust maintenance doses using CRRT-specific references and therapeutic drug monitoring (vancomycin, aminoglycosides, β-lactams where available). Pharmacist review daily and with every change of dose.</w:t>
      </w:r>
    </w:p>
    <w:p>
      <w:pPr>
        <w:pStyle w:val="Heading2"/>
      </w:pPr>
      <w:r>
        <w:t xml:space="preserve">8.7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4"/>
        <w:gridCol w:w="2837"/>
        <w:gridCol w:w="4255"/>
      </w:tblGrid>
      <w:tr>
        <w:trPr>
          <w:tblHeader/>
        </w:trPr>
        <w:tc>
          <w:tcPr>
            <w:tcW w:type="dxa" w:w="1934"/>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Problem</w:t>
            </w:r>
          </w:p>
        </w:tc>
        <w:tc>
          <w:tcPr>
            <w:tcW w:type="dxa" w:w="2837"/>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Likely cause</w:t>
            </w:r>
          </w:p>
        </w:tc>
        <w:tc>
          <w:tcPr>
            <w:tcW w:type="dxa" w:w="4255"/>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Action</w:t>
            </w:r>
          </w:p>
        </w:tc>
      </w:tr>
      <w:tr>
        <w:trPr>
          <w:cantSplit/>
        </w:trPr>
        <w:tc>
          <w:tcPr>
            <w:tcW w:type="dxa" w:w="193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High negative access pressure</w:t>
            </w:r>
          </w:p>
        </w:tc>
        <w:tc>
          <w:tcPr>
            <w:tcW w:type="dxa" w:w="283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Catheter malposition/kink, hypovolaemia, patient position</w:t>
            </w:r>
          </w:p>
        </w:tc>
        <w:tc>
          <w:tcPr>
            <w:tcW w:type="dxa" w:w="425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Reposition patient, flush catheter, reverse lines (temporary), check volume, replace catheter.</w:t>
            </w:r>
          </w:p>
        </w:tc>
      </w:tr>
      <w:tr>
        <w:trPr>
          <w:cantSplit/>
        </w:trPr>
        <w:tc>
          <w:tcPr>
            <w:tcW w:type="dxa" w:w="193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High return pressure</w:t>
            </w:r>
          </w:p>
        </w:tc>
        <w:tc>
          <w:tcPr>
            <w:tcW w:type="dxa" w:w="283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Return lumen obstruction, clotted deaeration chamber</w:t>
            </w:r>
          </w:p>
        </w:tc>
        <w:tc>
          <w:tcPr>
            <w:tcW w:type="dxa" w:w="425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Check line/clamps, flush, change set if clotted.</w:t>
            </w:r>
          </w:p>
        </w:tc>
      </w:tr>
      <w:tr>
        <w:trPr>
          <w:cantSplit/>
        </w:trPr>
        <w:tc>
          <w:tcPr>
            <w:tcW w:type="dxa" w:w="193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Rising TMP / pressure drop</w:t>
            </w:r>
          </w:p>
        </w:tc>
        <w:tc>
          <w:tcPr>
            <w:tcW w:type="dxa" w:w="283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Filter clotting, high FF</w:t>
            </w:r>
          </w:p>
        </w:tc>
        <w:tc>
          <w:tcPr>
            <w:tcW w:type="dxa" w:w="425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Increase pre-dilution, review anticoagulation and FF; change set early (return blood before total clotting).</w:t>
            </w:r>
          </w:p>
        </w:tc>
      </w:tr>
      <w:tr>
        <w:trPr>
          <w:cantSplit/>
        </w:trPr>
        <w:tc>
          <w:tcPr>
            <w:tcW w:type="dxa" w:w="193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Hypocalcaemia (systemic)</w:t>
            </w:r>
          </w:p>
        </w:tc>
        <w:tc>
          <w:tcPr>
            <w:tcW w:type="dxa" w:w="283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Inadequate calcium replacement</w:t>
            </w:r>
          </w:p>
        </w:tc>
        <w:tc>
          <w:tcPr>
            <w:tcW w:type="dxa" w:w="425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Increase calcium infusion per protocol.</w:t>
            </w:r>
          </w:p>
        </w:tc>
      </w:tr>
      <w:tr>
        <w:trPr>
          <w:cantSplit/>
        </w:trPr>
        <w:tc>
          <w:tcPr>
            <w:tcW w:type="dxa" w:w="193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Citrate accumulation</w:t>
            </w:r>
          </w:p>
        </w:tc>
        <w:tc>
          <w:tcPr>
            <w:tcW w:type="dxa" w:w="283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Liver failure, shock</w:t>
            </w:r>
          </w:p>
        </w:tc>
        <w:tc>
          <w:tcPr>
            <w:tcW w:type="dxa" w:w="425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See 8.3A; stop or reduce citrate.</w:t>
            </w:r>
          </w:p>
        </w:tc>
      </w:tr>
      <w:tr>
        <w:trPr>
          <w:cantSplit/>
        </w:trPr>
        <w:tc>
          <w:tcPr>
            <w:tcW w:type="dxa" w:w="193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Hypophosphataemia / hypokalaemia / hypomagnesaemia</w:t>
            </w:r>
          </w:p>
        </w:tc>
        <w:tc>
          <w:tcPr>
            <w:tcW w:type="dxa" w:w="283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Effluent losses</w:t>
            </w:r>
          </w:p>
        </w:tc>
        <w:tc>
          <w:tcPr>
            <w:tcW w:type="dxa" w:w="425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Phosphate-containing fluids, supplements, K⁺ 4 mmol/L fluids.</w:t>
            </w:r>
          </w:p>
        </w:tc>
      </w:tr>
      <w:tr>
        <w:trPr>
          <w:cantSplit/>
        </w:trPr>
        <w:tc>
          <w:tcPr>
            <w:tcW w:type="dxa" w:w="193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Hypothermia</w:t>
            </w:r>
          </w:p>
        </w:tc>
        <w:tc>
          <w:tcPr>
            <w:tcW w:type="dxa" w:w="283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Extracorporeal heat loss</w:t>
            </w:r>
          </w:p>
        </w:tc>
        <w:tc>
          <w:tcPr>
            <w:tcW w:type="dxa" w:w="425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Blood warmer; warming blanket.</w:t>
            </w:r>
          </w:p>
        </w:tc>
      </w:tr>
      <w:tr>
        <w:trPr>
          <w:cantSplit/>
        </w:trPr>
        <w:tc>
          <w:tcPr>
            <w:tcW w:type="dxa" w:w="1934"/>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Frequent alarms / downtime</w:t>
            </w:r>
          </w:p>
        </w:tc>
        <w:tc>
          <w:tcPr>
            <w:tcW w:type="dxa" w:w="283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Access, fluid handling</w:t>
            </w:r>
          </w:p>
        </w:tc>
        <w:tc>
          <w:tcPr>
            <w:tcW w:type="dxa" w:w="425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Train staff; review access; target downtime &lt; 10 %.</w:t>
            </w:r>
          </w:p>
        </w:tc>
      </w:tr>
    </w:tbl>
    <w:p>
      <w:pPr>
        <w:spacing w:after="80"/>
      </w:pPr>
    </w:p>
    <w:p>
      <w:pPr>
        <w:pStyle w:val="Heading2"/>
      </w:pPr>
      <w:r>
        <w:t xml:space="preserve">8.8 Discontinuation / transition</w:t>
      </w:r>
    </w:p>
    <w:p>
      <w:pPr>
        <w:pStyle w:val="ListParagraph"/>
        <w:numPr>
          <w:ilvl w:val="0"/>
          <w:numId w:val="2"/>
        </w:numPr>
        <w:spacing w:after="60"/>
      </w:pPr>
      <w:r>
        <w:t xml:space="preserve">Transition to SLED / IHD when haemodynamically stable and off or on low-dose vasopressors and no raised ICP.</w:t>
      </w:r>
    </w:p>
    <w:p>
      <w:pPr>
        <w:pStyle w:val="ListParagraph"/>
        <w:numPr>
          <w:ilvl w:val="0"/>
          <w:numId w:val="2"/>
        </w:numPr>
        <w:spacing w:after="60"/>
      </w:pPr>
      <w:r>
        <w:t xml:space="preserve">Consider stopping KRT when urine output recovers (&gt; 400–500 mL/day without diuretics, or &gt; 2,000 mL/day with diuretics), creatinine falling, metabolic and fluid status controlled (KDIGO; ADQI).</w:t>
      </w:r>
    </w:p>
    <w:p>
      <w:pPr>
        <w:pStyle w:val="ListParagraph"/>
        <w:numPr>
          <w:ilvl w:val="0"/>
          <w:numId w:val="2"/>
        </w:numPr>
        <w:spacing w:after="60"/>
      </w:pPr>
      <w:r>
        <w:t xml:space="preserve">At disconnection: return blood (unless circuit clotted), lock catheter, document cumulative balance and reason for stopping.</w:t>
      </w:r>
    </w:p>
    <w:p>
      <w:pPr>
        <w:pStyle w:val="Heading1"/>
      </w:pPr>
      <w:r>
        <w:t xml:space="preserve">9. Forms &amp; Documents</w:t>
      </w:r>
    </w:p>
    <w:p>
      <w:pPr>
        <w:pStyle w:val="ListParagraph"/>
        <w:numPr>
          <w:ilvl w:val="0"/>
          <w:numId w:val="2"/>
        </w:numPr>
        <w:spacing w:after="60"/>
      </w:pPr>
      <w:r>
        <w:t xml:space="preserve">Consent – Kidney replacement therapy in ICU (FORM/AKD/05).</w:t>
      </w:r>
    </w:p>
    <w:p>
      <w:pPr>
        <w:pStyle w:val="ListParagraph"/>
        <w:numPr>
          <w:ilvl w:val="0"/>
          <w:numId w:val="2"/>
        </w:numPr>
        <w:spacing w:after="60"/>
      </w:pPr>
      <w:r>
        <w:t xml:space="preserve">CRRT prescription order sheet (daily) (FORM/AKD/19).</w:t>
      </w:r>
    </w:p>
    <w:p>
      <w:pPr>
        <w:pStyle w:val="ListParagraph"/>
        <w:numPr>
          <w:ilvl w:val="0"/>
          <w:numId w:val="2"/>
        </w:numPr>
        <w:spacing w:after="60"/>
      </w:pPr>
      <w:r>
        <w:t xml:space="preserve">Hourly CRRT monitoring &amp; fluid balance chart (FORM/AKD/20).</w:t>
      </w:r>
    </w:p>
    <w:p>
      <w:pPr>
        <w:pStyle w:val="ListParagraph"/>
        <w:numPr>
          <w:ilvl w:val="0"/>
          <w:numId w:val="2"/>
        </w:numPr>
        <w:spacing w:after="60"/>
      </w:pPr>
      <w:r>
        <w:t xml:space="preserve">Regional citrate anticoagulation protocol &amp; iCa²⁺ titration chart (FORM/AKD/21).</w:t>
      </w:r>
    </w:p>
    <w:p>
      <w:pPr>
        <w:pStyle w:val="ListParagraph"/>
        <w:numPr>
          <w:ilvl w:val="0"/>
          <w:numId w:val="2"/>
        </w:numPr>
        <w:spacing w:after="60"/>
      </w:pPr>
      <w:r>
        <w:t xml:space="preserve">CRRT quality log: filter life, downtime, delivered dose.</w:t>
      </w:r>
    </w:p>
    <w:p>
      <w:pPr>
        <w:pStyle w:val="Heading1"/>
      </w:pPr>
      <w:r>
        <w:t xml:space="preserve">10. References</w:t>
      </w:r>
    </w:p>
    <w:p>
      <w:pPr>
        <w:pStyle w:val="ListParagraph"/>
        <w:numPr>
          <w:ilvl w:val="0"/>
          <w:numId w:val="4"/>
        </w:numPr>
        <w:spacing w:after="60"/>
      </w:pPr>
      <w:r>
        <w:t xml:space="preserve">KDIGO Clinical Practice Guideline for Acute Kidney Injury. Kidney Int Suppl. 2012;2:1–138.</w:t>
      </w:r>
    </w:p>
    <w:p>
      <w:pPr>
        <w:pStyle w:val="ListParagraph"/>
        <w:numPr>
          <w:ilvl w:val="0"/>
          <w:numId w:val="4"/>
        </w:numPr>
        <w:spacing w:after="60"/>
      </w:pPr>
      <w:r>
        <w:t xml:space="preserve">RENAL Replacement Therapy Study Investigators. Intensity of continuous renal-replacement therapy in critically ill patients. N Engl J Med. 2009;361:1627–1638.</w:t>
      </w:r>
    </w:p>
    <w:p>
      <w:pPr>
        <w:pStyle w:val="ListParagraph"/>
        <w:numPr>
          <w:ilvl w:val="0"/>
          <w:numId w:val="4"/>
        </w:numPr>
        <w:spacing w:after="60"/>
      </w:pPr>
      <w:r>
        <w:t xml:space="preserve">VA/NIH Acute Renal Failure Trial Network (ATN). Intensity of renal support in critically ill patients with acute kidney injury. N Engl J Med. 2008;359:7–20.</w:t>
      </w:r>
    </w:p>
    <w:p>
      <w:pPr>
        <w:pStyle w:val="ListParagraph"/>
        <w:numPr>
          <w:ilvl w:val="0"/>
          <w:numId w:val="4"/>
        </w:numPr>
        <w:spacing w:after="60"/>
      </w:pPr>
      <w:r>
        <w:t xml:space="preserve">Zarbock A, Küllmar M, Kindgen-Milles D, et al. Effect of Regional Citrate Anticoagulation vs Systemic Heparin Anticoagulation During CRRT on Dialysis Filter Life and Mortality Among Critically Ill Patients With AKI (RICH): A Randomized Clinical Trial. JAMA. 2020;324:1629–1639.</w:t>
      </w:r>
    </w:p>
    <w:p>
      <w:pPr>
        <w:pStyle w:val="ListParagraph"/>
        <w:numPr>
          <w:ilvl w:val="0"/>
          <w:numId w:val="4"/>
        </w:numPr>
        <w:spacing w:after="60"/>
      </w:pPr>
      <w:r>
        <w:t xml:space="preserve">Murugan R, Kerti SJ, Chang CH, et al. Association of Net Ultrafiltration Rate With Mortality Among Critically Ill Adults With AKI Receiving Continuous Venovenous Hemodiafiltration. JAMA Netw Open. 2019;2:e195418.</w:t>
      </w:r>
    </w:p>
    <w:p>
      <w:pPr>
        <w:pStyle w:val="ListParagraph"/>
        <w:numPr>
          <w:ilvl w:val="0"/>
          <w:numId w:val="4"/>
        </w:numPr>
        <w:spacing w:after="60"/>
      </w:pPr>
      <w:r>
        <w:t xml:space="preserve">Ostermann M, Bellomo R, Burdmann EA, et al. Controversies in acute kidney injury: conclusions from a KDIGO Conference. Kidney Int. 2020;98:294–309.</w:t>
      </w:r>
    </w:p>
    <w:p>
      <w:pPr>
        <w:pStyle w:val="ListParagraph"/>
        <w:numPr>
          <w:ilvl w:val="0"/>
          <w:numId w:val="4"/>
        </w:numPr>
        <w:spacing w:after="60"/>
      </w:pPr>
      <w:r>
        <w:t xml:space="preserve">Tandukar S, Palevsky PM. Continuous Renal Replacement Therapy: Who, When, Why, and How. Chest. 2019;155:626–638.</w:t>
      </w:r>
    </w:p>
    <w:p>
      <w:pPr>
        <w:pStyle w:val="ListParagraph"/>
        <w:numPr>
          <w:ilvl w:val="0"/>
          <w:numId w:val="4"/>
        </w:numPr>
        <w:spacing w:after="60"/>
      </w:pPr>
      <w:r>
        <w:t xml:space="preserve">Singer P, Blaser AR, Berger MM, et al. ESPEN guideline on clinical nutrition in the intensive care unit. Clin Nutr. 2019;38:48–79.</w:t>
      </w:r>
    </w:p>
    <w:p>
      <w:pPr>
        <w:pStyle w:val="ListParagraph"/>
        <w:numPr>
          <w:ilvl w:val="0"/>
          <w:numId w:val="4"/>
        </w:numPr>
        <w:spacing w:after="60"/>
      </w:pPr>
      <w:r>
        <w:t xml:space="preserve">Bagshaw SM, Chakravarthi MR, Ricci Z, et al. Precision Continuous Renal Replacement Therapy and Solute Control (ADQI 17 Workgroup). Blood Purif. 2016;42:238–247.</w:t>
      </w:r>
    </w:p>
    <w:p>
      <w:pPr>
        <w:pStyle w:val="Heading1"/>
      </w:pPr>
      <w:r>
        <w:t xml:space="preserve">11.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Abbreviation</w:t>
            </w:r>
          </w:p>
        </w:tc>
        <w:tc>
          <w:tcPr>
            <w:tcW w:type="dxa" w:w="676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Meaning</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CVVH / CVVHD / CVVHDF</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Continuous Veno-Venous Haemofiltration / Haemodialysis / Haemodiafiltration</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SCUF</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Slow Continuous Ultrafiltration</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FF</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Filtration Fraction</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iCa²⁺</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Ionised calcium</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RCA</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Regional Citrate Anticoagulation</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TMP</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Transmembrane Pressure</w:t>
            </w:r>
          </w:p>
        </w:tc>
      </w:tr>
    </w:tbl>
    <w:p>
      <w:pPr>
        <w:spacing w:after="80"/>
      </w:pPr>
    </w:p>
    <w:p>
      <w:pPr>
        <w:pStyle w:val="Heading1"/>
      </w:pPr>
      <w:r>
        <w:t xml:space="preserve">Document Approval &amp;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Prepared by</w:t>
            </w:r>
          </w:p>
        </w:tc>
        <w:tc>
          <w:tcPr>
            <w:tcW w:type="dxa" w:w="300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Reviewed by</w:t>
            </w:r>
          </w:p>
        </w:tc>
        <w:tc>
          <w:tcPr>
            <w:tcW w:type="dxa" w:w="3008"/>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Approved by</w:t>
            </w:r>
          </w:p>
        </w:tc>
      </w:tr>
      <w:tr>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w:t>
            </w:r>
          </w:p>
        </w:tc>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w:t>
            </w:r>
          </w:p>
        </w:tc>
        <w:tc>
          <w:tcPr>
            <w:tcW w:type="dxa" w:w="300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w:t>
            </w:r>
          </w:p>
        </w:tc>
      </w:tr>
      <w:tr>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Designation:</w:t>
            </w:r>
          </w:p>
        </w:tc>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Designation:</w:t>
            </w:r>
          </w:p>
        </w:tc>
        <w:tc>
          <w:tcPr>
            <w:tcW w:type="dxa" w:w="300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Designation:</w:t>
            </w:r>
          </w:p>
        </w:tc>
      </w:tr>
      <w:tr>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Signature &amp; Date:</w:t>
            </w:r>
          </w:p>
        </w:tc>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Signature &amp; Date:</w:t>
            </w:r>
          </w:p>
        </w:tc>
        <w:tc>
          <w:tcPr>
            <w:tcW w:type="dxa" w:w="300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Signature &amp; Date: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1"/>
        <w:gridCol w:w="1541"/>
        <w:gridCol w:w="4403"/>
        <w:gridCol w:w="1981"/>
      </w:tblGrid>
      <w:tr>
        <w:trPr>
          <w:tblHeader/>
        </w:trPr>
        <w:tc>
          <w:tcPr>
            <w:tcW w:type="dxa" w:w="110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Version</w:t>
            </w:r>
          </w:p>
        </w:tc>
        <w:tc>
          <w:tcPr>
            <w:tcW w:type="dxa" w:w="154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Date</w:t>
            </w:r>
          </w:p>
        </w:tc>
        <w:tc>
          <w:tcPr>
            <w:tcW w:type="dxa" w:w="4403"/>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Description of change</w:t>
            </w:r>
          </w:p>
        </w:tc>
        <w:tc>
          <w:tcPr>
            <w:tcW w:type="dxa" w:w="198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Approved by</w:t>
            </w:r>
          </w:p>
        </w:tc>
      </w:tr>
      <w:tr>
        <w:trPr>
          <w:cantSplit/>
        </w:trPr>
        <w:tc>
          <w:tcPr>
            <w:tcW w:type="dxa" w:w="110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1.0</w:t>
            </w:r>
          </w:p>
        </w:tc>
        <w:tc>
          <w:tcPr>
            <w:tcW w:type="dxa" w:w="154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440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First issue</w:t>
            </w:r>
          </w:p>
        </w:tc>
        <w:tc>
          <w:tcPr>
            <w:tcW w:type="dxa" w:w="198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r>
      <w:tr>
        <w:trPr>
          <w:cantSplit/>
        </w:trPr>
        <w:tc>
          <w:tcPr>
            <w:tcW w:type="dxa" w:w="110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54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440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98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r>
      <w:tr>
        <w:trPr>
          <w:cantSplit/>
        </w:trPr>
        <w:tc>
          <w:tcPr>
            <w:tcW w:type="dxa" w:w="110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54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440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98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r>
    </w:tbl>
    <w:p>
      <w:pPr>
        <w:spacing w:after="80"/>
      </w:pPr>
    </w:p>
    <w:p>
      <w:pPr>
        <w:spacing w:before="120"/>
      </w:pPr>
      <w:r>
        <w:rPr>
          <w:i/>
          <w:iCs/>
          <w:color w:val="595959"/>
          <w:sz w:val="18"/>
          <w:szCs w:val="18"/>
        </w:rPr>
        <w:t xml:space="preserve">This SOP is based on current published guidelines. It does not replace clinical judgement; deviations must be justified and documented in the patient record. Drug doses must be verified against the current hospital formulary and adjusted for renal function.</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Controlled document – do not photocopy without authorisation. Version 1.0</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C1" w:sz="4" w:space="2"/>
      </w:pBdr>
      <w:tabs>
        <w:tab w:val="right" w:pos="9026"/>
      </w:tabs>
    </w:pPr>
    <w:r>
      <w:rPr>
        <w:color w:val="595959"/>
        <w:sz w:val="17"/>
        <w:szCs w:val="17"/>
      </w:rPr>
      <w:t xml:space="preserve">[Hospital Name] | Department of Nephrology – AKD / Dialysis Unit</w:t>
    </w:r>
    <w:r>
      <w:rPr>
        <w:b/>
        <w:bCs/>
        <w:color w:val="595959"/>
        <w:sz w:val="17"/>
        <w:szCs w:val="17"/>
      </w:rPr>
      <w:t xml:space="preserve">	SOP/AKD/10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6" w:space="2"/>
      </w:pBdr>
      <w:spacing w:after="120" w:before="280"/>
      <w:outlineLvl w:val="0"/>
    </w:pPr>
    <w:rPr>
      <w:rFonts w:ascii="Calibri" w:cs="Calibri" w:eastAsia="Calibri" w:hAnsi="Calibri"/>
      <w:b/>
      <w:bCs/>
      <w:color w:val="1F4E79"/>
      <w:sz w:val="26"/>
      <w:szCs w:val="26"/>
    </w:rPr>
  </w:style>
  <w:style w:type="paragraph" w:styleId="Heading2">
    <w:name w:val="Heading 2"/>
    <w:basedOn w:val="Normal"/>
    <w:next w:val="Normal"/>
    <w:qFormat/>
    <w:pPr>
      <w:keepNext/>
      <w:spacing w:after="80" w:before="200"/>
      <w:outlineLvl w:val="1"/>
    </w:pPr>
    <w:rPr>
      <w:rFonts w:ascii="Calibri" w:cs="Calibri" w:eastAsia="Calibri" w:hAnsi="Calibri"/>
      <w:b/>
      <w:bCs/>
      <w:color w:val="2E75B6"/>
      <w:sz w:val="23"/>
      <w:szCs w:val="23"/>
    </w:rPr>
  </w:style>
  <w:style w:type="paragraph" w:styleId="Heading3">
    <w:name w:val="Heading 3"/>
    <w:basedOn w:val="Normal"/>
    <w:next w:val="Normal"/>
    <w:qFormat/>
    <w:pPr>
      <w:keepNext/>
      <w:spacing w:after="60" w:before="140"/>
      <w:outlineLvl w:val="2"/>
    </w:pPr>
    <w:rPr>
      <w:rFonts w:ascii="Calibri" w:cs="Calibri" w:eastAsia="Calibri" w:hAnsi="Calibri"/>
      <w:b/>
      <w:bCs/>
      <w:i/>
      <w:i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 Renal Replacement Therapy (CRRT / CKRT) – Initiation &amp; Monitoring</dc:title>
  <dc:creator>Department of Nephrology</dc:creator>
  <cp:lastModifiedBy>Un-named</cp:lastModifiedBy>
  <cp:revision>1</cp:revision>
  <dcterms:created xsi:type="dcterms:W3CDTF">2026-10-13T04:51:53.511Z</dcterms:created>
  <dcterms:modified xsi:type="dcterms:W3CDTF">2026-10-13T04:51:53.511Z</dcterms:modified>
</cp:coreProperties>
</file>

<file path=docProps/custom.xml><?xml version="1.0" encoding="utf-8"?>
<Properties xmlns="http://schemas.openxmlformats.org/officeDocument/2006/custom-properties" xmlns:vt="http://schemas.openxmlformats.org/officeDocument/2006/docPropsVTypes"/>
</file>