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595959"/>
          <w:sz w:val="22"/>
          <w:szCs w:val="22"/>
        </w:rPr>
        <w:t xml:space="preserve">STANDARD OPERATING PROCEDURE</w:t>
      </w:r>
    </w:p>
    <w:p>
      <w:pPr>
        <w:spacing w:after="200"/>
        <w:jc w:val="center"/>
      </w:pPr>
      <w:r>
        <w:rPr>
          <w:b/>
          <w:bCs/>
          <w:color w:val="1F4E79"/>
          <w:sz w:val="34"/>
          <w:szCs w:val="34"/>
        </w:rPr>
        <w:t xml:space="preserve">Haemodialysis Catheter Care, Connection/Disconnection &amp; Management of Catheter-Related Infection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13"/>
        <w:gridCol w:w="2200"/>
        <w:gridCol w:w="2313"/>
      </w:tblGrid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SOP No.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SOP/AKD/11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Nephrology – AKD / Dialysis Unit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__</w:t>
            </w:r>
            <w:r>
              <w:rPr>
                <w:i/>
                <w:iCs/>
                <w:sz w:val="20"/>
                <w:szCs w:val="20"/>
              </w:rPr>
              <w:t xml:space="preserve"> / </w:t>
            </w:r>
            <w:r>
              <w:rPr>
                <w:i/>
                <w:iCs/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Name / Sign / Date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 years from effective date or earlier if guidelines change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Reviewed by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Name / Sign / Date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Name / Sign / Date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Name</w:t>
      </w:r>
    </w:p>
    <w:p>
      <w:pPr>
        <w:spacing w:after="100"/>
      </w:pPr>
      <w:r>
        <w:rPr>
          <w:b/>
          <w:bCs/>
        </w:rPr>
        <w:t xml:space="preserve">Haemodialysis Catheter Care, Connection/Disconnection &amp; Management of Catheter-Related Infection</w:t>
      </w:r>
    </w:p>
    <w:p>
      <w:pPr>
        <w:pStyle w:val="Heading1"/>
      </w:pPr>
      <w:r>
        <w:t xml:space="preserve">2. Purpose</w:t>
      </w:r>
    </w:p>
    <w:p>
      <w:pPr>
        <w:spacing w:after="100"/>
      </w:pPr>
      <w:r>
        <w:t xml:space="preserve">To prevent catheter-related bloodstream infection (CRBSI), exit-site/tunnel infection and catheter dysfunction through standardised aseptic catheter handling, dressing and locking practices, and to provide an evidence-based pathway for the diagnosis and treatment of catheter-related infection and dysfunction.</w:t>
      </w:r>
    </w:p>
    <w:p>
      <w:pPr>
        <w:pStyle w:val="Heading1"/>
      </w:pPr>
      <w:r>
        <w:t xml:space="preserve">3. Scope</w:t>
      </w:r>
    </w:p>
    <w:p>
      <w:pPr>
        <w:spacing w:after="100"/>
      </w:pPr>
      <w:r>
        <w:t xml:space="preserve">All non-tunnelled and tunnelled haemodialysis catheters in patients of the AKD / Dialysis Unit, ICU and wards.</w:t>
      </w:r>
    </w:p>
    <w:p>
      <w:pPr>
        <w:spacing w:after="100"/>
      </w:pPr>
      <w:r>
        <w:t xml:space="preserve">Covers connection/disconnection, exit-site care, dressing, lock solutions, surveillance, diagnosis and management of CRBSI, exit-site and tunnel infection, and catheter thrombosis / dysfunction.</w:t>
      </w:r>
    </w:p>
    <w:p>
      <w:pPr>
        <w:pStyle w:val="Heading1"/>
      </w:pPr>
      <w:r>
        <w:t xml:space="preserve">4. Responsibility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Dialysis nurse / technician:</w:t>
      </w:r>
      <w:r>
        <w:t xml:space="preserve"> catheter access, connection/disconnection, dressing and lock instillation, exit-site assessment, sample collection for cultures.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Nephrologist:</w:t>
      </w:r>
      <w:r>
        <w:t xml:space="preserve"> diagnosis and treatment of infection/dysfunction, decision on catheter removal/exchange, review of the need for catheter daily.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Infection Control Nurse / HICC:</w:t>
      </w:r>
      <w:r>
        <w:t xml:space="preserve"> surveillance of CRBSI rates (per 1,000 catheter-days), bundle audit and feedback.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Patient / caregiver:</w:t>
      </w:r>
      <w:r>
        <w:t xml:space="preserve"> keep dressing dry and intact, report symptoms.</w:t>
      </w:r>
    </w:p>
    <w:p>
      <w:pPr>
        <w:pStyle w:val="Heading1"/>
      </w:pPr>
      <w:r>
        <w:t xml:space="preserve">5. Authority</w:t>
      </w:r>
    </w:p>
    <w:p>
      <w:pPr>
        <w:spacing w:after="100"/>
      </w:pPr>
      <w:r>
        <w:t xml:space="preserve">Consultant Nephrologist in-charge, Dialysis Nursing Supervisor and Hospital Infection Control Committee.</w:t>
      </w:r>
    </w:p>
    <w:p>
      <w:pPr>
        <w:pStyle w:val="Heading1"/>
      </w:pPr>
      <w:r>
        <w:t xml:space="preserve">6. Specific Environmental Requirement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Clean dialysis station; hand-hygiene facilities at point of care; dressing trolley cleaned before 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Catheters accessed only by trained dialysis staff for dialysis (not for routine blood sampling or infusions).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Masks for staff and patient</w:t>
      </w:r>
      <w:r>
        <w:t xml:space="preserve"> (or patient’s face turned away) during every catheter connection, disconnection and dressing change.</w:t>
      </w:r>
    </w:p>
    <w:p>
      <w:pPr>
        <w:pStyle w:val="Heading1"/>
      </w:pPr>
      <w:r>
        <w:t xml:space="preserve">7. Equipment / Instruments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Sterile catheter care kit / dressing pack: sterile drape, gauze, sterile gloves, clean gloves, masks.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2% chlorhexidine gluconate in 70% alcohol</w:t>
      </w:r>
      <w:r>
        <w:t xml:space="preserve"> swabs/applicator (povidone-iodine 10% or 70% alcohol if chlorhexidine contraindicated).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Sterile transparent semipermeable dressing (preferably </w:t>
      </w:r>
      <w:r>
        <w:rPr>
          <w:b/>
          <w:bCs/>
        </w:rPr>
        <w:t xml:space="preserve">chlorhexidine-impregnated sponge / gel dressing</w:t>
      </w:r>
      <w:r>
        <w:t xml:space="preserve"> for non-tunnelled catheters) or sterile gauze dressing.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Sterile caps / needle-free connectors; 10 mL syringes; 0.9% saline flushes.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Lock solutions: heparin 1,000 IU/mL (or 5,000 IU/mL as prescribed), trisodium citrate 4%, alteplase 1 mg/mL (for dysfunction), antibiotic-lock solutions (pharmacy prepared) for treatment.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Blood culture bottles (aerobic &amp; anaerobic), swabs for exit-site culture.</w:t>
      </w:r>
    </w:p>
    <w:p>
      <w:pPr>
        <w:pStyle w:val="Heading1"/>
      </w:pPr>
      <w:r>
        <w:t xml:space="preserve">8. Procedure</w:t>
      </w:r>
    </w:p>
    <w:p>
      <w:pPr>
        <w:pStyle w:val="Heading2"/>
      </w:pPr>
      <w:r>
        <w:t xml:space="preserve">8.1 Catheter connection (start of dialysis)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 hygiene; don mask (staff and patient), clean gloves. Inspect exit site and dressing (see 8.3) before each session.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Place sterile drape under the catheter limbs. Remove gloves, hand hygiene, don new clean (or sterile) gloves.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Ensure catheter clamps are closed; remove caps; </w:t>
      </w:r>
      <w:r>
        <w:rPr>
          <w:b/>
          <w:bCs/>
        </w:rPr>
        <w:t xml:space="preserve">scrub each hub/connector with 2% chlorhexidine–alcohol for at least 15 s</w:t>
      </w:r>
      <w:r>
        <w:t xml:space="preserve"> and allow to dry (do not fan or blow).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Attach a sterile syringe, open clamp and aspirate the lock solution plus 1–2 mL blood (total 3–5 mL per lumen); discard. Check for clots.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Flush each lumen with 10 mL saline to confirm patency (free aspiration and flush).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Connect bloodlines with aseptic non-touch technique; secure lines without tension; keep catheter connections visible throughout dialysis.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Hubs must never be left open to air; replace any contaminated part.</w:t>
      </w:r>
    </w:p>
    <w:p>
      <w:pPr>
        <w:pStyle w:val="Heading2"/>
      </w:pPr>
      <w:r>
        <w:t xml:space="preserve">8.2 Disconnection (end of dialysis)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Hand hygiene, masks, clean gloves; return blood; clamp catheter and bloodlines.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Disconnect, scrub hubs with chlorhexidine–alcohol, flush each lumen with 10 mL saline using push-pause (turbulent) technique.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Instil lock solution exactly equal to the lumen volume printed on each limb</w:t>
      </w:r>
      <w:r>
        <w:t xml:space="preserve"> (over-filling causes systemic anticoagulation; under-filling allows clotting); clamp while injecting the last 0.5 mL (positive pressure); apply new sterile caps.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Document lock solution and volume.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1"/>
        <w:gridCol w:w="2837"/>
        <w:gridCol w:w="3868"/>
      </w:tblGrid>
      <w:tr>
        <w:trPr>
          <w:tblHeader/>
        </w:trPr>
        <w:tc>
          <w:tcPr>
            <w:tcW w:type="dxa" w:w="232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Lock solution</w:t>
            </w:r>
          </w:p>
        </w:tc>
        <w:tc>
          <w:tcPr>
            <w:tcW w:type="dxa" w:w="283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386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rPr>
          <w:cantSplit/>
        </w:trPr>
        <w:tc>
          <w:tcPr>
            <w:tcW w:type="dxa" w:w="232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Heparin 1,000 IU/mL</w:t>
            </w:r>
          </w:p>
        </w:tc>
        <w:tc>
          <w:tcPr>
            <w:tcW w:type="dxa" w:w="283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Standard lock (unit default)</w:t>
            </w:r>
          </w:p>
        </w:tc>
        <w:tc>
          <w:tcPr>
            <w:tcW w:type="dxa" w:w="386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Lower concentration reduces bleeding risk with equal patency to 5,000 IU/mL for most patients.</w:t>
            </w:r>
          </w:p>
        </w:tc>
      </w:tr>
      <w:tr>
        <w:trPr>
          <w:cantSplit/>
        </w:trPr>
        <w:tc>
          <w:tcPr>
            <w:tcW w:type="dxa" w:w="232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Heparin 5,000 IU/mL</w:t>
            </w:r>
          </w:p>
        </w:tc>
        <w:tc>
          <w:tcPr>
            <w:tcW w:type="dxa" w:w="283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Recurrent dysfunction</w:t>
            </w:r>
          </w:p>
        </w:tc>
        <w:tc>
          <w:tcPr>
            <w:tcW w:type="dxa" w:w="386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Bleeding risk; aspirate before use.</w:t>
            </w:r>
          </w:p>
        </w:tc>
      </w:tr>
      <w:tr>
        <w:trPr>
          <w:cantSplit/>
        </w:trPr>
        <w:tc>
          <w:tcPr>
            <w:tcW w:type="dxa" w:w="232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Trisodium citrate 4%</w:t>
            </w:r>
          </w:p>
        </w:tc>
        <w:tc>
          <w:tcPr>
            <w:tcW w:type="dxa" w:w="283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Bleeding risk, HIT, recent surgery/biopsy</w:t>
            </w:r>
          </w:p>
        </w:tc>
        <w:tc>
          <w:tcPr>
            <w:tcW w:type="dxa" w:w="386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Higher concentrations (30–46.7%) are not recommended – cardiac arrhythmia risk.</w:t>
            </w:r>
          </w:p>
        </w:tc>
      </w:tr>
      <w:tr>
        <w:trPr>
          <w:cantSplit/>
        </w:trPr>
        <w:tc>
          <w:tcPr>
            <w:tcW w:type="dxa" w:w="232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Alteplase (tPA) 1 mg/mL lock (1–2 mg per lumen) / weekly prophylactic rt-PA</w:t>
            </w:r>
          </w:p>
        </w:tc>
        <w:tc>
          <w:tcPr>
            <w:tcW w:type="dxa" w:w="283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Dysfunction / thrombosis; high-risk prophylaxis</w:t>
            </w:r>
          </w:p>
        </w:tc>
        <w:tc>
          <w:tcPr>
            <w:tcW w:type="dxa" w:w="386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PreCLOT trial: weekly rt-PA reduced dysfunction and bacteraemia (cost consideration).</w:t>
            </w:r>
          </w:p>
        </w:tc>
      </w:tr>
      <w:tr>
        <w:trPr>
          <w:cantSplit/>
        </w:trPr>
        <w:tc>
          <w:tcPr>
            <w:tcW w:type="dxa" w:w="232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Antibiotic lock (e.g., gentamicin 4–5 mg/mL or vancomycin 2.5–5 mg/mL with heparin / citrate)</w:t>
            </w:r>
          </w:p>
        </w:tc>
        <w:tc>
          <w:tcPr>
            <w:tcW w:type="dxa" w:w="283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Treatment of CRBSI with catheter salvage; prophylaxis only in units with high CRBSI rate</w:t>
            </w:r>
          </w:p>
        </w:tc>
        <w:tc>
          <w:tcPr>
            <w:tcW w:type="dxa" w:w="386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KDOQI 2019 / ESVS: prophylactic antimicrobial locks may be considered in high-risk patients; monitor for resistance and drug levels.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8.3 Exit-site care and dressing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Inspect exit site every session for erythema, tenderness, induration, discharge, crusting, tunnel swelling, and cuff extrusion (tunnelled).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Dressing change: </w:t>
      </w:r>
      <w:r>
        <w:rPr>
          <w:b/>
          <w:bCs/>
        </w:rPr>
        <w:t xml:space="preserve">gauze – every 48 h; transparent – every 7 days</w:t>
      </w:r>
      <w:r>
        <w:t xml:space="preserve">, or sooner if wet, soiled or loosened; in dialysis patients usually changed at each session using aseptic technique (sterile gloves).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Clean the exit site with 2% chlorhexidine–alcohol from the exit outwards, allow to dry; apply topical antiseptic/antibiotic (povidone-iodine ointment or mupirocin, as per unit protocol and compatible with catheter material) at exit site of tunnelled catheters; apply sterile dressing.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Chlorhexidine-impregnated dressings are recommended for non-tunnelled catheters in adults (CDC 2017 update).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Patients should not submerge the catheter in water; showering only if catheter and dressing are protected by an impermeable cover.</w:t>
      </w:r>
    </w:p>
    <w:p>
      <w:pPr>
        <w:pStyle w:val="Heading2"/>
      </w:pPr>
      <w:r>
        <w:t xml:space="preserve">8.4 Prevention bundle (Core interventions – CDC Dialysis Bloodstream Infection Prevention)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Monthly CRBSI surveillance and feedback (rates per 1,000 catheter-days).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Hand hygiene observations (monthly) with feedback.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Quarterly audits of catheter care and vascular access practices (connection/disconnection, dressing).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Patient education and engagement.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Staff education and competency assessment (annual).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Chlorhexidine skin antisepsis for catheter exit site.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Catheter hub disinfection (scrub) at every connection/disconnection.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Antimicrobial ointment at exit site (as per protocol).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Catheter reduction</w:t>
      </w:r>
      <w:r>
        <w:t xml:space="preserve"> – active plan for permanent AV access / PD for every catheter patient.</w:t>
      </w:r>
    </w:p>
    <w:p>
      <w:pPr>
        <w:pStyle w:val="Heading2"/>
      </w:pPr>
      <w:r>
        <w:t xml:space="preserve">8.5 Diagnosis of catheter-related infection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9"/>
        <w:gridCol w:w="6697"/>
      </w:tblGrid>
      <w:tr>
        <w:trPr>
          <w:tblHeader/>
        </w:trPr>
        <w:tc>
          <w:tcPr>
            <w:tcW w:type="dxa" w:w="232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69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232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Exit-site infection</w:t>
            </w:r>
          </w:p>
        </w:tc>
        <w:tc>
          <w:tcPr>
            <w:tcW w:type="dxa" w:w="669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Erythema, tenderness, induration and/or purulent discharge within 2 cm of the exit site, without tunnel involvement.</w:t>
            </w:r>
          </w:p>
        </w:tc>
      </w:tr>
      <w:tr>
        <w:trPr>
          <w:cantSplit/>
        </w:trPr>
        <w:tc>
          <w:tcPr>
            <w:tcW w:type="dxa" w:w="232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Tunnel infection</w:t>
            </w:r>
          </w:p>
        </w:tc>
        <w:tc>
          <w:tcPr>
            <w:tcW w:type="dxa" w:w="669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Tenderness, erythema or induration &gt; 2 cm from the exit site along the subcutaneous tunnel ± purulent discharge.</w:t>
            </w:r>
          </w:p>
        </w:tc>
      </w:tr>
      <w:tr>
        <w:trPr>
          <w:cantSplit/>
        </w:trPr>
        <w:tc>
          <w:tcPr>
            <w:tcW w:type="dxa" w:w="232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CRBSI (definite)</w:t>
            </w:r>
          </w:p>
        </w:tc>
        <w:tc>
          <w:tcPr>
            <w:tcW w:type="dxa" w:w="669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Bacteraemia with the same organism from catheter blood and peripheral blood, with catheter-blood culture positive ≥ 2 h earlier (differential time to positivity), or ≥ 3-fold higher colony count; or same organism from catheter tip (≥ 15 CFU semi-quantitative) and peripheral blood, with no other source.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Fever (≥ 38 °C), rigors (especially at start of dialysis), hypotension or altered sensorium in a catheter patient → </w:t>
      </w:r>
      <w:r>
        <w:rPr>
          <w:b/>
          <w:bCs/>
        </w:rPr>
        <w:t xml:space="preserve">suspect CRBSI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Draw </w:t>
      </w:r>
      <w:r>
        <w:rPr>
          <w:b/>
          <w:bCs/>
        </w:rPr>
        <w:t xml:space="preserve">two sets of blood cultures before antibiotics</w:t>
      </w:r>
      <w:r>
        <w:t xml:space="preserve">: one from the catheter hub (or arterial bloodline connected to the catheter) and one from a peripheral vein; if peripheral venepuncture is not possible (to preserve veins), draw both from the bloodline circuit/catheter during dialysis (KDOQI 2019). Swab any exit-site discharge.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Look for alternative source (chest, urine, skin, abdomen) and metastatic infection (endocarditis, septic arthritis, spondylodiscitis, epidural abscess) in persistent bacteraemia / S. aureus – echocardiography (TTE ± TEE).</w:t>
      </w:r>
    </w:p>
    <w:p>
      <w:pPr>
        <w:pStyle w:val="Heading2"/>
      </w:pPr>
      <w:r>
        <w:t xml:space="preserve">8.6 Empirical treatment of CRBSI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empirical IV antibiotics promptly after cultures, covering </w:t>
      </w:r>
      <w:r>
        <w:rPr>
          <w:b/>
          <w:bCs/>
        </w:rPr>
        <w:t xml:space="preserve">Gram-positive organisms including MRSA (Vancomycin 20–25 mg/kg loading, then 500–1,000 mg after each HD guided by pre-dialysis levels 15–20 mg/L)</w:t>
      </w:r>
      <w:r>
        <w:t xml:space="preserve"> plus </w:t>
      </w:r>
      <w:r>
        <w:rPr>
          <w:b/>
          <w:bCs/>
        </w:rPr>
        <w:t xml:space="preserve">Gram-negative coverage</w:t>
      </w:r>
      <w:r>
        <w:t xml:space="preserve"> according to local antibiogram (e.g., Ceftazidime 1–2 g after each HD, Cefepime, or Gentamicin 1–2 mg/kg after each HD guided by levels; carbapenem if ESBL prevalence is high).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antibiotic lock (same antibiotic) when catheter salvage is attempted.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De-escalate according to culture and sensitivity at 48–72 h.</w:t>
      </w:r>
    </w:p>
    <w:p>
      <w:pPr>
        <w:pStyle w:val="Heading2"/>
      </w:pPr>
      <w:r>
        <w:t xml:space="preserve">8.7 Catheter management in CRBSI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7"/>
        <w:gridCol w:w="3353"/>
        <w:gridCol w:w="2836"/>
      </w:tblGrid>
      <w:tr>
        <w:trPr>
          <w:tblHeader/>
        </w:trPr>
        <w:tc>
          <w:tcPr>
            <w:tcW w:type="dxa" w:w="283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335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Catheter decision</w:t>
            </w:r>
          </w:p>
        </w:tc>
        <w:tc>
          <w:tcPr>
            <w:tcW w:type="dxa" w:w="283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 of therapy</w:t>
            </w:r>
          </w:p>
        </w:tc>
      </w:tr>
      <w:tr>
        <w:trPr>
          <w:cantSplit/>
        </w:trPr>
        <w:tc>
          <w:tcPr>
            <w:tcW w:type="dxa" w:w="283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Non-tunnelled catheter with CRBSI</w:t>
            </w:r>
          </w:p>
        </w:tc>
        <w:tc>
          <w:tcPr>
            <w:tcW w:type="dxa" w:w="335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Remove catheter</w:t>
            </w:r>
            <w:r>
              <w:rPr>
                <w:sz w:val="20"/>
                <w:szCs w:val="20"/>
              </w:rPr>
              <w:t xml:space="preserve">; place new catheter at a different site after blood cultures are negative / when needed.</w:t>
            </w:r>
          </w:p>
        </w:tc>
        <w:tc>
          <w:tcPr>
            <w:tcW w:type="dxa" w:w="283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7–14 days (organism-dependent).</w:t>
            </w:r>
          </w:p>
        </w:tc>
      </w:tr>
      <w:tr>
        <w:trPr>
          <w:cantSplit/>
        </w:trPr>
        <w:tc>
          <w:tcPr>
            <w:tcW w:type="dxa" w:w="283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Tunnelled catheter: S. aureus, Pseudomonas, Candida (fungi), multidrug-resistant organisms</w:t>
            </w:r>
          </w:p>
        </w:tc>
        <w:tc>
          <w:tcPr>
            <w:tcW w:type="dxa" w:w="335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Remove catheter</w:t>
            </w:r>
            <w:r>
              <w:rPr>
                <w:sz w:val="20"/>
                <w:szCs w:val="20"/>
              </w:rPr>
              <w:t xml:space="preserve">; temporary non-tunnelled catheter at another site; delay new tunnelled catheter until blood cultures negative (48–72 h).</w:t>
            </w:r>
          </w:p>
        </w:tc>
        <w:tc>
          <w:tcPr>
            <w:tcW w:type="dxa" w:w="283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S. aureus: ≥ 4 weeks if persistent bacteraemia or metastatic infection, otherwise ≥ 2–3 weeks; Candida: 14 days after first negative culture.</w:t>
            </w:r>
          </w:p>
        </w:tc>
      </w:tr>
      <w:tr>
        <w:trPr>
          <w:cantSplit/>
        </w:trPr>
        <w:tc>
          <w:tcPr>
            <w:tcW w:type="dxa" w:w="283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Tunnel infection, septic shock, persistent bacteraemia / fever &gt; 48–72 h on appropriate therapy, metastatic infection (endocarditis, osteomyelitis)</w:t>
            </w:r>
          </w:p>
        </w:tc>
        <w:tc>
          <w:tcPr>
            <w:tcW w:type="dxa" w:w="335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Remove catheter.</w:t>
            </w:r>
          </w:p>
        </w:tc>
        <w:tc>
          <w:tcPr>
            <w:tcW w:type="dxa" w:w="283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4–6 weeks for endocarditis/suppurative thrombophlebitis; 6–8 weeks osteomyelitis.</w:t>
            </w:r>
          </w:p>
        </w:tc>
      </w:tr>
      <w:tr>
        <w:trPr>
          <w:cantSplit/>
        </w:trPr>
        <w:tc>
          <w:tcPr>
            <w:tcW w:type="dxa" w:w="283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Tunnelled catheter, uncomplicated CRBSI with other organisms (e.g., CoNS, Gram-negatives other than Pseudomonas) and clinical improvement</w:t>
            </w:r>
          </w:p>
        </w:tc>
        <w:tc>
          <w:tcPr>
            <w:tcW w:type="dxa" w:w="335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Guidewire exchange</w:t>
            </w:r>
            <w:r>
              <w:rPr>
                <w:sz w:val="20"/>
                <w:szCs w:val="20"/>
              </w:rPr>
              <w:t xml:space="preserve"> within 72 h (if no tunnel infection) </w:t>
            </w:r>
            <w:r>
              <w:rPr>
                <w:b/>
                <w:bCs/>
                <w:sz w:val="20"/>
                <w:szCs w:val="20"/>
              </w:rPr>
              <w:t xml:space="preserve">or</w:t>
            </w:r>
            <w:r>
              <w:rPr>
                <w:sz w:val="20"/>
                <w:szCs w:val="20"/>
              </w:rPr>
              <w:t xml:space="preserve"> salvage with systemic antibiotics + antibiotic lock.</w:t>
            </w:r>
          </w:p>
        </w:tc>
        <w:tc>
          <w:tcPr>
            <w:tcW w:type="dxa" w:w="283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2–3 weeks systemic antibiotics (CoNS 10–14 days with lock).</w:t>
            </w:r>
          </w:p>
        </w:tc>
      </w:tr>
      <w:tr>
        <w:trPr>
          <w:cantSplit/>
        </w:trPr>
        <w:tc>
          <w:tcPr>
            <w:tcW w:type="dxa" w:w="283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Exit-site infection only (no bacteraemia)</w:t>
            </w:r>
          </w:p>
        </w:tc>
        <w:tc>
          <w:tcPr>
            <w:tcW w:type="dxa" w:w="335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Retain catheter; topical antimicrobial ± oral/IV antibiotics; remove if no response.</w:t>
            </w:r>
          </w:p>
        </w:tc>
        <w:tc>
          <w:tcPr>
            <w:tcW w:type="dxa" w:w="283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7–14 days.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Surveillance blood cultures 1 week after completing antibiotics if catheter retained. Record each CRBSI episode in the HICC register.</w:t>
      </w:r>
    </w:p>
    <w:p>
      <w:pPr>
        <w:pStyle w:val="Heading2"/>
      </w:pPr>
      <w:r>
        <w:t xml:space="preserve">8.8 Catheter dysfunction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</w:t>
      </w:r>
      <w:r>
        <w:t xml:space="preserve"> inability to achieve Qb ≥ 300 mL/min with pre-pump arterial pressure more negative than –250 mmHg, or inability to aspirate / frequent alarms, or need for line reversal (KDOQI 2019 – blood flow below that needed for adequate dialysis).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steps: check clamps, kinks, patient position, flush vigorously with saline; reverse lines only temporarily (increases recirculation).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Thrombolytic lock:</w:t>
      </w:r>
      <w:r>
        <w:t xml:space="preserve"> alteplase 1 mg/mL – instil volume equal to lumen volume (1–2 mg/lumen), dwell 30–60 min (or 2 h / overnight inter-dialytic dwell), aspirate and re-test; may repeat once.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Persistent dysfunction: chest X-ray (tip position/kink) → catheter exchange over guidewire ± fibrin-sheath disruption (balloon angioplasty) by interventional nephrology/radiology.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Early dysfunction (&lt; 2 weeks) is usually mechanical (malposition/kink) – reposition/exchange.</w:t>
      </w:r>
    </w:p>
    <w:p>
      <w:pPr>
        <w:pStyle w:val="Heading1"/>
      </w:pPr>
      <w:r>
        <w:t xml:space="preserve">9. Forms &amp;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Haemodialysis Catheter Care &amp; Daily Assessment Chart (exit-site score, dressing date, lock used) (FORM/AKD/03).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HD treatment record (catheter flows, pressures).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CRBSI investigation form &amp; HICC surveillance register (catheter-days).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CDC Dialysis Core Interventions audit tools: hand hygiene, catheter connection/disconnection, exit-site care checklists.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Patient education leaflet – Living with a dialysis catheter.</w:t>
      </w:r>
    </w:p>
    <w:p>
      <w:pPr>
        <w:pStyle w:val="Heading1"/>
      </w:pPr>
      <w:r>
        <w:t xml:space="preserve">10. References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Lok CE, Huber TS, Lee T, et al. KDOQI Clinical Practice Guideline for Vascular Access: 2019 Update. Am J Kidney Dis. 2020;75(4 Suppl 2):S1–S164.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Mermel LA, Allon M, Bouza E, et al. Clinical Practice Guidelines for the Diagnosis and Management of Intravascular Catheter-Related Infection: 2009 Update by the Infectious Diseases Society of America. Clin Infect Dis. 2009;49:1–45.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O’Grady NP, et al. Guidelines for the Prevention of Intravascular Catheter-Related Infections, 2011; Updated Recommendations on Chlorhexidine-Impregnated Dressings, 2017. CDC/HICPAC.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Centers for Disease Control and Prevention. Core Interventions for Dialysis Bloodstream Infection Prevention (Dialysis Safety). Current version.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Hemmelgarn BR, Moist LM, Lok CE, et al. Prevention of dialysis catheter malfunction with recombinant tissue plasminogen activator (PreCLOT). N Engl J Med. 2011;364:303–312.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Schmidli J, et al. Vascular Access: 2018 Clinical Practice Guidelines of the European Society for Vascular Surgery. Eur J Vasc Endovasc Surg. 2018;55:757–818.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Indian Council of Medical Research. Treatment Guidelines for Antimicrobial Use in Common Syndromes, 2nd ed. 2019; and Hospital Infection Control Guidelines (ICMR / NCDC National Guidelines for Infection Prevention and Control in Healthcare Facilities, 2020).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NABH Accreditation Standards for Hospitals, 5th Edition – Hospital Infection Control (HIC) chapter.</w:t>
      </w:r>
    </w:p>
    <w:p>
      <w:pPr>
        <w:pStyle w:val="Heading1"/>
      </w:pPr>
      <w:r>
        <w:t xml:space="preserve">11. Abbreviations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Abbreviation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CoNS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Coagulase-Negative Staphylococci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CRBSI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Catheter-Related Bloodstream Infection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HICC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Hospital Infection Control Committee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rt-PA / tPA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Recombinant tissue Plasminogen Activator (alteplase)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TTE / TEE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Transthoracic / Transoesophageal Echocardiography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Document Approval &amp; 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300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Name:</w:t>
            </w:r>
          </w:p>
        </w:tc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Name:</w:t>
            </w:r>
          </w:p>
        </w:tc>
        <w:tc>
          <w:tcPr>
            <w:tcW w:type="dxa" w:w="300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Name:</w:t>
            </w:r>
          </w:p>
        </w:tc>
      </w:tr>
      <w:tr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Designation:</w:t>
            </w:r>
          </w:p>
        </w:tc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Designation:</w:t>
            </w:r>
          </w:p>
        </w:tc>
        <w:tc>
          <w:tcPr>
            <w:tcW w:type="dxa" w:w="300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Designation:</w:t>
            </w:r>
          </w:p>
        </w:tc>
      </w:tr>
      <w:tr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Signature &amp; Date:</w:t>
            </w:r>
          </w:p>
        </w:tc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Signature &amp; Date:</w:t>
            </w:r>
          </w:p>
        </w:tc>
        <w:tc>
          <w:tcPr>
            <w:tcW w:type="dxa" w:w="300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Signature &amp; Date: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1"/>
        <w:gridCol w:w="1541"/>
        <w:gridCol w:w="4403"/>
        <w:gridCol w:w="1981"/>
      </w:tblGrid>
      <w:tr>
        <w:trPr>
          <w:tblHeader/>
        </w:trPr>
        <w:tc>
          <w:tcPr>
            <w:tcW w:type="dxa" w:w="110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4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40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98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54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440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First issue</w:t>
            </w:r>
          </w:p>
        </w:tc>
        <w:tc>
          <w:tcPr>
            <w:tcW w:type="dxa" w:w="198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10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154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440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198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10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154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440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198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</w:tbl>
    <w:p>
      <w:pPr>
        <w:spacing w:after="80"/>
      </w:pPr>
    </w:p>
    <w:p>
      <w:pPr>
        <w:spacing w:before="120"/>
      </w:pPr>
      <w:r>
        <w:rPr>
          <w:i/>
          <w:iCs/>
          <w:color w:val="595959"/>
          <w:sz w:val="18"/>
          <w:szCs w:val="18"/>
        </w:rPr>
        <w:t xml:space="preserve">This SOP is based on current published guidelines. It does not replace clinical judgement; deviations must be justified and documented in the patient record. Drug doses must be verified against the current hospital formulary and adjusted for renal function.</w:t>
      </w:r>
    </w:p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Controlled document – do not photocopy without authorisation. Version 1.0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9C1" w:sz="4" w:space="2"/>
      </w:pBdr>
      <w:tabs>
        <w:tab w:val="right" w:pos="9026"/>
      </w:tabs>
    </w:pPr>
    <w:r>
      <w:rPr>
        <w:color w:val="595959"/>
        <w:sz w:val="17"/>
        <w:szCs w:val="17"/>
      </w:rPr>
      <w:t xml:space="preserve">[Hospital Name] | Department of Nephrology – AKD / Dialysis Unit</w:t>
    </w:r>
    <w:r>
      <w:rPr>
        <w:b/>
        <w:bCs/>
        <w:color w:val="595959"/>
        <w:sz w:val="17"/>
        <w:szCs w:val="17"/>
      </w:rPr>
      <w:t xml:space="preserve">	SOP/AKD/11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  <w:lvl w:ilvl="2" w15:tentative="1">
      <w:start w:val="1"/>
      <w:numFmt w:val="bullet"/>
      <w:lvlText w:val="◦"/>
      <w:lvlJc w:val="left"/>
      <w:pPr>
        <w:ind w:left="162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6" w:space="2"/>
      </w:pBdr>
      <w:spacing w:after="120" w:before="280"/>
      <w:outlineLvl w:val="0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40"/>
      <w:outlineLvl w:val="2"/>
    </w:pPr>
    <w:rPr>
      <w:rFonts w:ascii="Calibri" w:cs="Calibri" w:eastAsia="Calibri" w:hAnsi="Calibri"/>
      <w:b/>
      <w:bCs/>
      <w:i/>
      <w:i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Haemodialysis Catheter Care, Connection/Disconnection &amp; Management of Catheter-Related Infection</dc:title>
  <dc:creator>Department of Nephrology</dc:creator>
  <cp:lastModifiedBy>Un-named</cp:lastModifiedBy>
  <cp:revision>1</cp:revision>
  <dcterms:created xsi:type="dcterms:W3CDTF">2026-10-13T04:51:53.548Z</dcterms:created>
  <dcterms:modified xsi:type="dcterms:W3CDTF">2026-10-13T04:51:53.548Z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