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As we are going to do the business in EU region as well we need to adhere this as we need to process any EU citizens data</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As we are interested in dealing with the CC we need to follow this law</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