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PSV Orchestration Flow</w:t>
      </w:r>
    </w:p>
    <w:p>
      <w:pPr>
        <w:jc w:val="center"/>
      </w:pPr>
      <w:r>
        <w:rPr>
          <w:color w:val="5D6D7E"/>
          <w:sz w:val="20"/>
        </w:rPr>
        <w:t>Provider Screening &amp; Verification  |  CVS Health  |  June 2026</w:t>
      </w:r>
    </w:p>
    <w:p>
      <w:pPr>
        <w:jc w:val="center"/>
      </w:pPr>
      <w:r>
        <w:rPr>
          <w:color w:val="AED6F1"/>
          <w:sz w:val="16"/>
        </w:rPr>
        <w:t>────────────────────────────────────────────────────────────────────────────────</w:t>
      </w:r>
    </w:p>
    <w:p>
      <w:pPr>
        <w:jc w:val="left"/>
      </w:pPr>
      <w:r>
        <w:rPr>
          <w:b/>
          <w:color w:val="1F4E79"/>
          <w:sz w:val="28"/>
        </w:rPr>
        <w:t>Executive Summary</w:t>
      </w:r>
    </w:p>
    <w:p>
      <w:pPr/>
      <w:r>
        <w:rPr>
          <w:sz w:val="19"/>
        </w:rPr>
        <w:t>The PSV Orchestration layer automates license-status verification for provider credentials across 188 state licensing boards. For each input row it (1) routes to the correct board(s), (2) executes up to 8 search strategies (the "ladder"), (3) disambiguates multi-record results, (4) retries using NPPES-derived alternate names when needed, and (5) falls back to an AI agent for hard cases. Every row exits through exactly one of four structured output channels. Evidence (screenshot + HTML) is captured per search attempt for audit.</w:t>
      </w:r>
    </w:p>
    <w:p>
      <w:pPr>
        <w:jc w:val="left"/>
      </w:pPr>
      <w:r>
        <w:rPr>
          <w:b/>
          <w:color w:val="1F4E79"/>
          <w:sz w:val="28"/>
        </w:rPr>
        <w:t>End-to-End Flow Diagram</w:t>
      </w:r>
    </w:p>
    <w:p>
      <w:pPr>
        <w:jc w:val="center"/>
      </w:pPr>
      <w:r>
        <w:drawing>
          <wp:inline xmlns:a="http://schemas.openxmlformats.org/drawingml/2006/main" xmlns:pic="http://schemas.openxmlformats.org/drawingml/2006/picture">
            <wp:extent cx="5760720" cy="10212426"/>
            <wp:docPr id="1" name="Picture 1"/>
            <wp:cNvGraphicFramePr>
              <a:graphicFrameLocks noChangeAspect="1"/>
            </wp:cNvGraphicFramePr>
            <a:graphic>
              <a:graphicData uri="http://schemas.openxmlformats.org/drawingml/2006/picture">
                <pic:pic>
                  <pic:nvPicPr>
                    <pic:cNvPr id="0" name="psv_flow_diagram.png"/>
                    <pic:cNvPicPr/>
                  </pic:nvPicPr>
                  <pic:blipFill>
                    <a:blip r:embed="rId9"/>
                    <a:stretch>
                      <a:fillRect/>
                    </a:stretch>
                  </pic:blipFill>
                  <pic:spPr>
                    <a:xfrm>
                      <a:off x="0" y="0"/>
                      <a:ext cx="5760720" cy="10212426"/>
                    </a:xfrm>
                    <a:prstGeom prst="rect"/>
                  </pic:spPr>
                </pic:pic>
              </a:graphicData>
            </a:graphic>
          </wp:inline>
        </w:drawing>
      </w:r>
    </w:p>
    <w:p>
      <w:pPr>
        <w:jc w:val="center"/>
      </w:pPr>
      <w:r>
        <w:rPr>
          <w:i/>
          <w:color w:val="5D6D7E"/>
          <w:sz w:val="17"/>
        </w:rPr>
        <w:t>Figure 1 — PSV License Verification Orchestration Flow</w:t>
      </w:r>
    </w:p>
    <w:p>
      <w:pPr>
        <w:jc w:val="left"/>
      </w:pPr>
      <w:r>
        <w:rPr>
          <w:b/>
          <w:color w:val="1F4E79"/>
          <w:sz w:val="28"/>
        </w:rPr>
        <w:t>Phase Descriptions</w:t>
      </w:r>
    </w:p>
    <w:p>
      <w:r>
        <w:rPr>
          <w:b/>
          <w:color w:val="2E75B6"/>
          <w:sz w:val="19"/>
        </w:rPr>
        <w:t>Phase 1 — Ingest</w:t>
      </w:r>
    </w:p>
    <w:p>
      <w:r>
        <w:rPr>
          <w:sz w:val="18"/>
        </w:rPr>
        <w:t>Input.xlsx is loaded and each row is normalized: state, provider type, first name, last name, license ID, and NPI number are extracted and standardized.</w:t>
      </w:r>
    </w:p>
    <w:p>
      <w:r>
        <w:rPr>
          <w:b/>
          <w:color w:val="2E75B6"/>
          <w:sz w:val="19"/>
        </w:rPr>
        <w:t>Phase 2 — Routing &amp; NPPES Fetch</w:t>
      </w:r>
    </w:p>
    <w:p>
      <w:r>
        <w:rPr>
          <w:sz w:val="18"/>
        </w:rPr>
        <w:t>Two parallel tracks launch: (a) board_routing_master.csv maps (state, prov_type) to the set of applicable licensing boards; rows with no match exit immediately to the manual channel. (b) NPPES is queried for every row (cached 30 days per NPI) to obtain the official provider record for later cross-referencing.</w:t>
      </w:r>
    </w:p>
    <w:p>
      <w:r>
        <w:rPr>
          <w:b/>
          <w:color w:val="2E75B6"/>
          <w:sz w:val="19"/>
        </w:rPr>
        <w:t>Phase 3 — Master Ladder</w:t>
      </w:r>
    </w:p>
    <w:p>
      <w:r>
        <w:rPr>
          <w:sz w:val="18"/>
        </w:rPr>
        <w:t>For each matched board the engine attempts up to 8 search strategies in order of specificity — from exact license number down to first or last name alone. Each rung captures screenshot + HTML evidence. A deduplication signature (board, mode, normalized_query) prevents redundant searches.</w:t>
      </w:r>
    </w:p>
    <w:p>
      <w:r>
        <w:rPr>
          <w:b/>
          <w:color w:val="2E75B6"/>
          <w:sz w:val="19"/>
        </w:rPr>
        <w:t>Phase 4 — Disambiguator</w:t>
      </w:r>
    </w:p>
    <w:p>
      <w:r>
        <w:rPr>
          <w:sz w:val="18"/>
        </w:rPr>
        <w:t>Each rung's result set passes a gate (requires first + license OR first + last). A single passing candidate is scored; if the score meets threshold the row is committed as PASS. Multiple candidates are narrowed by numeric license, name match, and provider-type tiebreak. Persistent ambiguity escalates to the AI path.</w:t>
      </w:r>
    </w:p>
    <w:p>
      <w:r>
        <w:rPr>
          <w:b/>
          <w:color w:val="2E75B6"/>
          <w:sz w:val="19"/>
        </w:rPr>
        <w:t>Phase 5 — NPPES Targeted Retry</w:t>
      </w:r>
    </w:p>
    <w:p>
      <w:r>
        <w:rPr>
          <w:sz w:val="18"/>
        </w:rPr>
        <w:t>After all rungs are exhausted the engine diffs the master record against the NPPES record for alternate first/last names or license variants not yet tried. New values re-enter the ladder at Rung 1. If no new values exist the row proceeds to AI.</w:t>
      </w:r>
    </w:p>
    <w:p>
      <w:r>
        <w:rPr>
          <w:b/>
          <w:color w:val="2E75B6"/>
          <w:sz w:val="19"/>
        </w:rPr>
        <w:t>Phase 6 — AI Agent Fallback</w:t>
      </w:r>
    </w:p>
    <w:p>
      <w:r>
        <w:rPr>
          <w:sz w:val="18"/>
        </w:rPr>
        <w:t>An agentic loop (max 8 turns) drives a browser session guided by four tools: try_search, inspect_evidence, pick_candidate, report_site_drift, and give_up. The agent commits a result or records a structured failure reason. A circuit breaker prevents runaway calls when the AI endpoint is degraded.</w:t>
      </w:r>
    </w:p>
    <w:p>
      <w:r>
        <w:rPr>
          <w:b/>
          <w:color w:val="2E75B6"/>
          <w:sz w:val="19"/>
        </w:rPr>
        <w:t>Phase 7 — Output</w:t>
      </w:r>
    </w:p>
    <w:p>
      <w:r>
        <w:rPr>
          <w:sz w:val="18"/>
        </w:rPr>
        <w:t>Every row exits through exactly one channel. The standard channel (Excel + CSV) carries match provenance metadata. The nppes channel records every row's NPI record and diff. ai_fallback and manual channels carry structured failure reasons for downstream triage.</w:t>
      </w:r>
    </w:p>
    <w:p>
      <w:pPr>
        <w:jc w:val="left"/>
      </w:pPr>
      <w:r>
        <w:rPr>
          <w:b/>
          <w:color w:val="375623"/>
          <w:sz w:val="22"/>
        </w:rPr>
        <w:t>Output Channels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1587"/>
            <w:shd w:val="clear" w:color="auto" w:fill="375623"/>
          </w:tcPr>
          <w:p>
            <w:pPr>
              <w:jc w:val="center"/>
            </w:pPr>
            <w:r>
              <w:rPr>
                <w:b/>
                <w:color w:val="FFFFFF"/>
                <w:sz w:val="18"/>
              </w:rPr>
              <w:t>Channel</w:t>
            </w:r>
          </w:p>
        </w:tc>
        <w:tc>
          <w:tcPr>
            <w:tcW w:type="dxa" w:w="2381"/>
            <w:shd w:val="clear" w:color="auto" w:fill="375623"/>
          </w:tcPr>
          <w:p>
            <w:pPr>
              <w:jc w:val="center"/>
            </w:pPr>
            <w:r>
              <w:rPr>
                <w:b/>
                <w:color w:val="FFFFFF"/>
                <w:sz w:val="18"/>
              </w:rPr>
              <w:t>Path</w:t>
            </w:r>
          </w:p>
        </w:tc>
        <w:tc>
          <w:tcPr>
            <w:tcW w:type="dxa" w:w="1134"/>
            <w:shd w:val="clear" w:color="auto" w:fill="375623"/>
          </w:tcPr>
          <w:p>
            <w:pPr>
              <w:jc w:val="center"/>
            </w:pPr>
            <w:r>
              <w:rPr>
                <w:b/>
                <w:color w:val="FFFFFF"/>
                <w:sz w:val="18"/>
              </w:rPr>
              <w:t>Format</w:t>
            </w:r>
          </w:p>
        </w:tc>
        <w:tc>
          <w:tcPr>
            <w:tcW w:type="dxa" w:w="4082"/>
            <w:shd w:val="clear" w:color="auto" w:fill="375623"/>
          </w:tcPr>
          <w:p>
            <w:pPr>
              <w:jc w:val="center"/>
            </w:pPr>
            <w:r>
              <w:rPr>
                <w:b/>
                <w:color w:val="FFFFFF"/>
                <w:sz w:val="18"/>
              </w:rPr>
              <w:t>Contents</w:t>
            </w:r>
          </w:p>
        </w:tc>
      </w:tr>
      <w:tr>
        <w:tc>
          <w:tcPr>
            <w:tcW w:type="dxa" w:w="1587"/>
            <w:shd w:val="clear" w:color="auto" w:fill="F7FBFF"/>
          </w:tcPr>
          <w:p>
            <w:r>
              <w:rPr>
                <w:b/>
                <w:color w:val="1F4E79"/>
                <w:sz w:val="17"/>
              </w:rPr>
              <w:t>standard</w:t>
            </w:r>
          </w:p>
        </w:tc>
        <w:tc>
          <w:tcPr>
            <w:tcW w:type="dxa" w:w="2381"/>
            <w:shd w:val="clear" w:color="auto" w:fill="F7FBFF"/>
          </w:tcPr>
          <w:p>
            <w:r>
              <w:rPr>
                <w:sz w:val="17"/>
              </w:rPr>
              <w:t>Output/standard/{YYYY-MM}/</w:t>
            </w:r>
          </w:p>
        </w:tc>
        <w:tc>
          <w:tcPr>
            <w:tcW w:type="dxa" w:w="1134"/>
            <w:shd w:val="clear" w:color="auto" w:fill="F7FBFF"/>
          </w:tcPr>
          <w:p>
            <w:r>
              <w:rPr>
                <w:sz w:val="17"/>
              </w:rPr>
              <w:t>Excel + CSV</w:t>
            </w:r>
          </w:p>
        </w:tc>
        <w:tc>
          <w:tcPr>
            <w:tcW w:type="dxa" w:w="4082"/>
            <w:shd w:val="clear" w:color="auto" w:fill="F7FBFF"/>
          </w:tcPr>
          <w:p>
            <w:r>
              <w:rPr>
                <w:sz w:val="17"/>
              </w:rPr>
              <w:t>Every matched row — canonical answer with match_method, fuzzy_score, attempts_used, evidence_dir, npi_discrepancy_used</w:t>
            </w:r>
          </w:p>
        </w:tc>
      </w:tr>
      <w:tr>
        <w:tc>
          <w:tcPr>
            <w:tcW w:type="dxa" w:w="1587"/>
            <w:shd w:val="clear" w:color="auto" w:fill="FFFFFF"/>
          </w:tcPr>
          <w:p>
            <w:r>
              <w:rPr>
                <w:b/>
                <w:color w:val="1F4E79"/>
                <w:sz w:val="17"/>
              </w:rPr>
              <w:t>nppes</w:t>
            </w:r>
          </w:p>
        </w:tc>
        <w:tc>
          <w:tcPr>
            <w:tcW w:type="dxa" w:w="2381"/>
            <w:shd w:val="clear" w:color="auto" w:fill="FFFFFF"/>
          </w:tcPr>
          <w:p>
            <w:r>
              <w:rPr>
                <w:sz w:val="17"/>
              </w:rPr>
              <w:t>Output/nppes/{YYYY-MM}/</w:t>
            </w:r>
          </w:p>
        </w:tc>
        <w:tc>
          <w:tcPr>
            <w:tcW w:type="dxa" w:w="1134"/>
            <w:shd w:val="clear" w:color="auto" w:fill="FFFFFF"/>
          </w:tcPr>
          <w:p>
            <w:r>
              <w:rPr>
                <w:sz w:val="17"/>
              </w:rPr>
              <w:t>CSV</w:t>
            </w:r>
          </w:p>
        </w:tc>
        <w:tc>
          <w:tcPr>
            <w:tcW w:type="dxa" w:w="4082"/>
            <w:shd w:val="clear" w:color="auto" w:fill="FFFFFF"/>
          </w:tcPr>
          <w:p>
            <w:r>
              <w:rPr>
                <w:sz w:val="17"/>
              </w:rPr>
              <w:t>Every input row — full NPPES provider record + diff vs master fields</w:t>
            </w:r>
          </w:p>
        </w:tc>
      </w:tr>
      <w:tr>
        <w:tc>
          <w:tcPr>
            <w:tcW w:type="dxa" w:w="1587"/>
            <w:shd w:val="clear" w:color="auto" w:fill="F7FBFF"/>
          </w:tcPr>
          <w:p>
            <w:r>
              <w:rPr>
                <w:b/>
                <w:color w:val="1F4E79"/>
                <w:sz w:val="17"/>
              </w:rPr>
              <w:t>ai_fallback</w:t>
            </w:r>
          </w:p>
        </w:tc>
        <w:tc>
          <w:tcPr>
            <w:tcW w:type="dxa" w:w="2381"/>
            <w:shd w:val="clear" w:color="auto" w:fill="F7FBFF"/>
          </w:tcPr>
          <w:p>
            <w:r>
              <w:rPr>
                <w:sz w:val="17"/>
              </w:rPr>
              <w:t>Output/ai_fallback/{YYYY-MM}/</w:t>
            </w:r>
          </w:p>
        </w:tc>
        <w:tc>
          <w:tcPr>
            <w:tcW w:type="dxa" w:w="1134"/>
            <w:shd w:val="clear" w:color="auto" w:fill="F7FBFF"/>
          </w:tcPr>
          <w:p>
            <w:r>
              <w:rPr>
                <w:sz w:val="17"/>
              </w:rPr>
              <w:t>CSV</w:t>
            </w:r>
          </w:p>
        </w:tc>
        <w:tc>
          <w:tcPr>
            <w:tcW w:type="dxa" w:w="4082"/>
            <w:shd w:val="clear" w:color="auto" w:fill="F7FBFF"/>
          </w:tcPr>
          <w:p>
            <w:r>
              <w:rPr>
                <w:sz w:val="17"/>
              </w:rPr>
              <w:t>Rows handled by the AI agent — outcome + structured reason code</w:t>
            </w:r>
          </w:p>
        </w:tc>
      </w:tr>
      <w:tr>
        <w:tc>
          <w:tcPr>
            <w:tcW w:type="dxa" w:w="1587"/>
            <w:shd w:val="clear" w:color="auto" w:fill="FFFFFF"/>
          </w:tcPr>
          <w:p>
            <w:r>
              <w:rPr>
                <w:b/>
                <w:color w:val="1F4E79"/>
                <w:sz w:val="17"/>
              </w:rPr>
              <w:t>manual</w:t>
            </w:r>
          </w:p>
        </w:tc>
        <w:tc>
          <w:tcPr>
            <w:tcW w:type="dxa" w:w="2381"/>
            <w:shd w:val="clear" w:color="auto" w:fill="FFFFFF"/>
          </w:tcPr>
          <w:p>
            <w:r>
              <w:rPr>
                <w:sz w:val="17"/>
              </w:rPr>
              <w:t>Output/manual/{YYYY-MM}/</w:t>
            </w:r>
          </w:p>
        </w:tc>
        <w:tc>
          <w:tcPr>
            <w:tcW w:type="dxa" w:w="1134"/>
            <w:shd w:val="clear" w:color="auto" w:fill="FFFFFF"/>
          </w:tcPr>
          <w:p>
            <w:r>
              <w:rPr>
                <w:sz w:val="17"/>
              </w:rPr>
              <w:t>CSV</w:t>
            </w:r>
          </w:p>
        </w:tc>
        <w:tc>
          <w:tcPr>
            <w:tcW w:type="dxa" w:w="4082"/>
            <w:shd w:val="clear" w:color="auto" w:fill="FFFFFF"/>
          </w:tcPr>
          <w:p>
            <w:r>
              <w:rPr>
                <w:sz w:val="17"/>
              </w:rPr>
              <w:t>Unresolved rows — structured failure_reason for analyst triage</w:t>
            </w:r>
          </w:p>
        </w:tc>
      </w:tr>
      <w:tr>
        <w:tc>
          <w:tcPr>
            <w:tcW w:type="dxa" w:w="1587"/>
            <w:shd w:val="clear" w:color="auto" w:fill="F7FBFF"/>
          </w:tcPr>
          <w:p>
            <w:r>
              <w:rPr>
                <w:b/>
                <w:color w:val="1F4E79"/>
                <w:sz w:val="17"/>
              </w:rPr>
              <w:t>_drift</w:t>
            </w:r>
          </w:p>
        </w:tc>
        <w:tc>
          <w:tcPr>
            <w:tcW w:type="dxa" w:w="2381"/>
            <w:shd w:val="clear" w:color="auto" w:fill="F7FBFF"/>
          </w:tcPr>
          <w:p>
            <w:r>
              <w:rPr>
                <w:sz w:val="17"/>
              </w:rPr>
              <w:t>Output/_drift/</w:t>
            </w:r>
          </w:p>
        </w:tc>
        <w:tc>
          <w:tcPr>
            <w:tcW w:type="dxa" w:w="1134"/>
            <w:shd w:val="clear" w:color="auto" w:fill="F7FBFF"/>
          </w:tcPr>
          <w:p>
            <w:r>
              <w:rPr>
                <w:sz w:val="17"/>
              </w:rPr>
              <w:t>CSV (append)</w:t>
            </w:r>
          </w:p>
        </w:tc>
        <w:tc>
          <w:tcPr>
            <w:tcW w:type="dxa" w:w="4082"/>
            <w:shd w:val="clear" w:color="auto" w:fill="F7FBFF"/>
          </w:tcPr>
          <w:p>
            <w:r>
              <w:rPr>
                <w:sz w:val="17"/>
              </w:rPr>
              <w:t>Site-drift reports filed by the AI agent — reviewed by engineering, not auto-applied</w:t>
            </w:r>
          </w:p>
        </w:tc>
      </w:tr>
    </w:tbl>
    <w:p/>
    <w:p>
      <w:pPr>
        <w:jc w:val="left"/>
      </w:pPr>
      <w:r>
        <w:rPr>
          <w:b/>
          <w:color w:val="922B21"/>
          <w:sz w:val="22"/>
        </w:rPr>
        <w:t>Structured Failure Reasons</w:t>
      </w:r>
    </w:p>
    <w:tbl>
      <w:tblPr>
        <w:tblStyle w:val="TableGrid"/>
        <w:tblW w:type="auto" w:w="0"/>
        <w:jc w:val="left"/>
        <w:tblLook w:firstColumn="1" w:firstRow="1" w:lastColumn="0" w:lastRow="0" w:noHBand="0" w:noVBand="1" w:val="04A0"/>
      </w:tblPr>
      <w:tblGrid>
        <w:gridCol w:w="4986"/>
        <w:gridCol w:w="4986"/>
      </w:tblGrid>
      <w:tr>
        <w:tc>
          <w:tcPr>
            <w:tcW w:type="dxa" w:w="2948"/>
            <w:shd w:val="clear" w:color="auto" w:fill="922B21"/>
          </w:tcPr>
          <w:p>
            <w:pPr>
              <w:jc w:val="center"/>
            </w:pPr>
            <w:r>
              <w:rPr>
                <w:b/>
                <w:color w:val="FFFFFF"/>
                <w:sz w:val="18"/>
              </w:rPr>
              <w:t>Reason Code</w:t>
            </w:r>
          </w:p>
        </w:tc>
        <w:tc>
          <w:tcPr>
            <w:tcW w:type="dxa" w:w="6236"/>
            <w:shd w:val="clear" w:color="auto" w:fill="922B21"/>
          </w:tcPr>
          <w:p>
            <w:pPr>
              <w:jc w:val="center"/>
            </w:pPr>
            <w:r>
              <w:rPr>
                <w:b/>
                <w:color w:val="FFFFFF"/>
                <w:sz w:val="18"/>
              </w:rPr>
              <w:t>Trigger Condition</w:t>
            </w:r>
          </w:p>
        </w:tc>
      </w:tr>
      <w:tr>
        <w:tc>
          <w:tcPr>
            <w:tcW w:type="dxa" w:w="2948"/>
            <w:shd w:val="clear" w:color="auto" w:fill="F7FBFF"/>
          </w:tcPr>
          <w:p>
            <w:r>
              <w:rPr>
                <w:b/>
                <w:color w:val="1F4E79"/>
                <w:sz w:val="17"/>
              </w:rPr>
              <w:t>no_routing</w:t>
            </w:r>
          </w:p>
        </w:tc>
        <w:tc>
          <w:tcPr>
            <w:tcW w:type="dxa" w:w="6236"/>
            <w:shd w:val="clear" w:color="auto" w:fill="F7FBFF"/>
          </w:tcPr>
          <w:p>
            <w:r>
              <w:rPr>
                <w:sz w:val="17"/>
              </w:rPr>
              <w:t>No board for (state, prov_type) in routing CSV</w:t>
            </w:r>
          </w:p>
        </w:tc>
      </w:tr>
      <w:tr>
        <w:tc>
          <w:tcPr>
            <w:tcW w:type="dxa" w:w="2948"/>
            <w:shd w:val="clear" w:color="auto" w:fill="FFFFFF"/>
          </w:tcPr>
          <w:p>
            <w:r>
              <w:rPr>
                <w:b/>
                <w:color w:val="1F4E79"/>
                <w:sz w:val="17"/>
              </w:rPr>
              <w:t>no_records</w:t>
            </w:r>
          </w:p>
        </w:tc>
        <w:tc>
          <w:tcPr>
            <w:tcW w:type="dxa" w:w="6236"/>
            <w:shd w:val="clear" w:color="auto" w:fill="FFFFFF"/>
          </w:tcPr>
          <w:p>
            <w:r>
              <w:rPr>
                <w:sz w:val="17"/>
              </w:rPr>
              <w:t>Every rung on every board returned zero records</w:t>
            </w:r>
          </w:p>
        </w:tc>
      </w:tr>
      <w:tr>
        <w:tc>
          <w:tcPr>
            <w:tcW w:type="dxa" w:w="2948"/>
            <w:shd w:val="clear" w:color="auto" w:fill="F7FBFF"/>
          </w:tcPr>
          <w:p>
            <w:r>
              <w:rPr>
                <w:b/>
                <w:color w:val="1F4E79"/>
                <w:sz w:val="17"/>
              </w:rPr>
              <w:t>name_mismatch</w:t>
            </w:r>
          </w:p>
        </w:tc>
        <w:tc>
          <w:tcPr>
            <w:tcW w:type="dxa" w:w="6236"/>
            <w:shd w:val="clear" w:color="auto" w:fill="F7FBFF"/>
          </w:tcPr>
          <w:p>
            <w:r>
              <w:rPr>
                <w:sz w:val="17"/>
              </w:rPr>
              <w:t>Records found but no candidate passed the name gate</w:t>
            </w:r>
          </w:p>
        </w:tc>
      </w:tr>
      <w:tr>
        <w:tc>
          <w:tcPr>
            <w:tcW w:type="dxa" w:w="2948"/>
            <w:shd w:val="clear" w:color="auto" w:fill="FFFFFF"/>
          </w:tcPr>
          <w:p>
            <w:r>
              <w:rPr>
                <w:b/>
                <w:color w:val="1F4E79"/>
                <w:sz w:val="17"/>
              </w:rPr>
              <w:t>license_mismatch</w:t>
            </w:r>
          </w:p>
        </w:tc>
        <w:tc>
          <w:tcPr>
            <w:tcW w:type="dxa" w:w="6236"/>
            <w:shd w:val="clear" w:color="auto" w:fill="FFFFFF"/>
          </w:tcPr>
          <w:p>
            <w:r>
              <w:rPr>
                <w:sz w:val="17"/>
              </w:rPr>
              <w:t>Name matched but license number disagreed</w:t>
            </w:r>
          </w:p>
        </w:tc>
      </w:tr>
      <w:tr>
        <w:tc>
          <w:tcPr>
            <w:tcW w:type="dxa" w:w="2948"/>
            <w:shd w:val="clear" w:color="auto" w:fill="F7FBFF"/>
          </w:tcPr>
          <w:p>
            <w:r>
              <w:rPr>
                <w:b/>
                <w:color w:val="1F4E79"/>
                <w:sz w:val="17"/>
              </w:rPr>
              <w:t>provider_type_mismatch</w:t>
            </w:r>
          </w:p>
        </w:tc>
        <w:tc>
          <w:tcPr>
            <w:tcW w:type="dxa" w:w="6236"/>
            <w:shd w:val="clear" w:color="auto" w:fill="F7FBFF"/>
          </w:tcPr>
          <w:p>
            <w:r>
              <w:rPr>
                <w:sz w:val="17"/>
              </w:rPr>
              <w:t>Name + license matched but prov_type misaligned</w:t>
            </w:r>
          </w:p>
        </w:tc>
      </w:tr>
      <w:tr>
        <w:tc>
          <w:tcPr>
            <w:tcW w:type="dxa" w:w="2948"/>
            <w:shd w:val="clear" w:color="auto" w:fill="FFFFFF"/>
          </w:tcPr>
          <w:p>
            <w:r>
              <w:rPr>
                <w:b/>
                <w:color w:val="1F4E79"/>
                <w:sz w:val="17"/>
              </w:rPr>
              <w:t>ambiguous_after_narrowing</w:t>
            </w:r>
          </w:p>
        </w:tc>
        <w:tc>
          <w:tcPr>
            <w:tcW w:type="dxa" w:w="6236"/>
            <w:shd w:val="clear" w:color="auto" w:fill="FFFFFF"/>
          </w:tcPr>
          <w:p>
            <w:r>
              <w:rPr>
                <w:sz w:val="17"/>
              </w:rPr>
              <w:t>Multiple candidates survived all narrowing steps</w:t>
            </w:r>
          </w:p>
        </w:tc>
      </w:tr>
      <w:tr>
        <w:tc>
          <w:tcPr>
            <w:tcW w:type="dxa" w:w="2948"/>
            <w:shd w:val="clear" w:color="auto" w:fill="F7FBFF"/>
          </w:tcPr>
          <w:p>
            <w:r>
              <w:rPr>
                <w:b/>
                <w:color w:val="1F4E79"/>
                <w:sz w:val="17"/>
              </w:rPr>
              <w:t>ai_circuit_breaker_open</w:t>
            </w:r>
          </w:p>
        </w:tc>
        <w:tc>
          <w:tcPr>
            <w:tcW w:type="dxa" w:w="6236"/>
            <w:shd w:val="clear" w:color="auto" w:fill="F7FBFF"/>
          </w:tcPr>
          <w:p>
            <w:r>
              <w:rPr>
                <w:sz w:val="17"/>
              </w:rPr>
              <w:t>AI endpoint repeatedly errored — row skipped</w:t>
            </w:r>
          </w:p>
        </w:tc>
      </w:tr>
      <w:tr>
        <w:tc>
          <w:tcPr>
            <w:tcW w:type="dxa" w:w="2948"/>
            <w:shd w:val="clear" w:color="auto" w:fill="FFFFFF"/>
          </w:tcPr>
          <w:p>
            <w:r>
              <w:rPr>
                <w:b/>
                <w:color w:val="1F4E79"/>
                <w:sz w:val="17"/>
              </w:rPr>
              <w:t>ai_max_turns_exceeded</w:t>
            </w:r>
          </w:p>
        </w:tc>
        <w:tc>
          <w:tcPr>
            <w:tcW w:type="dxa" w:w="6236"/>
            <w:shd w:val="clear" w:color="auto" w:fill="FFFFFF"/>
          </w:tcPr>
          <w:p>
            <w:r>
              <w:rPr>
                <w:sz w:val="17"/>
              </w:rPr>
              <w:t>Agent ran 8 turns without committing a result</w:t>
            </w:r>
          </w:p>
        </w:tc>
      </w:tr>
      <w:tr>
        <w:tc>
          <w:tcPr>
            <w:tcW w:type="dxa" w:w="2948"/>
            <w:shd w:val="clear" w:color="auto" w:fill="F7FBFF"/>
          </w:tcPr>
          <w:p>
            <w:r>
              <w:rPr>
                <w:b/>
                <w:color w:val="1F4E79"/>
                <w:sz w:val="17"/>
              </w:rPr>
              <w:t>ai_gave_up</w:t>
            </w:r>
          </w:p>
        </w:tc>
        <w:tc>
          <w:tcPr>
            <w:tcW w:type="dxa" w:w="6236"/>
            <w:shd w:val="clear" w:color="auto" w:fill="F7FBFF"/>
          </w:tcPr>
          <w:p>
            <w:r>
              <w:rPr>
                <w:sz w:val="17"/>
              </w:rPr>
              <w:t>Agent called give_up — structured reason appended</w:t>
            </w:r>
          </w:p>
        </w:tc>
      </w:tr>
    </w:tbl>
    <w:p/>
    <w:p>
      <w:pPr>
        <w:jc w:val="left"/>
      </w:pPr>
      <w:r>
        <w:rPr>
          <w:b/>
          <w:color w:val="1F4E79"/>
          <w:sz w:val="22"/>
        </w:rPr>
        <w:t>Per-Rung Evidence Capture</w:t>
      </w:r>
    </w:p>
    <w:p>
      <w:r>
        <w:rPr>
          <w:sz w:val="18"/>
        </w:rPr>
        <w:t>Every ladder rung writes a screenshot and raw HTML before any parsing. A deduplication signature (source_id, mode, normalized_query) ensures a rung is never run twice — even when the NPPES retry loop re-enters the ladder with new field values. Evidence paths are recorded in the standard output channel for traceability.</w:t>
      </w:r>
    </w:p>
    <w:p>
      <w:pPr>
        <w:ind w:left="567"/>
      </w:pPr>
      <w:r>
        <w:rPr>
          <w:rFonts w:ascii="Courier New" w:hAnsi="Courier New"/>
          <w:color w:val="1A252F"/>
          <w:sz w:val="17"/>
        </w:rPr>
        <w:t>Evidence/{YYYY-MM}/{state}/{source_id}/{timestamp}_{query}/</w:t>
        <w:br/>
        <w:t xml:space="preserve">    search_results.html</w:t>
        <w:br/>
        <w:t xml:space="preserve">    search_results.png</w:t>
      </w:r>
    </w:p>
    <w:p/>
    <w:p>
      <w:pPr>
        <w:jc w:val="center"/>
      </w:pPr>
      <w:r>
        <w:rPr>
          <w:i/>
          <w:color w:val="AEB6BF"/>
          <w:sz w:val="16"/>
        </w:rPr>
        <w:t>Confidential — For internal review only  |  PSV Engineering  |  June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