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Week 1 — Baseline Systems Evaluation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Benchmarking AI Systems for Diabetes Risk Prediction</w:t>
      </w:r>
    </w:p>
    <w:p>
      <w:pPr>
        <w:pStyle w:val="Heading1"/>
      </w:pPr>
      <w:r>
        <w:t xml:space="preserve">Executive Summary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presents the results from Week 1 of the AI Benchmarking research project. Three baseline systems were implemented and evaluated on the PIMA Indians Diabetes Dataset (768 patients) using clinically relevant metrics beyond standard machine learning performance scores.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Key Findings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Rule-Based System achieved highest sensitivity (93.3%) — minimizing dangerous false negatives.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Random Forest achieved highest overall accuracy (75.5%) and best balance of metrics.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systems are fully deterministic (100% decision consistency) — critical baseline for Week 2 LLM comparison.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Calibration analysis confirms both ML models are well-calibrated (Brier scores &lt; 0.17).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</w:pPr>
      <w:r>
        <w:t xml:space="preserve">1.  Dataset Overview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PIMA Indians Diabetes Dataset contains 768 patient records with 8 clinical features and a binary outcome (diabetic / non-diabetic). The dataset exhibits moderate class imbalance, which influences the choice of evaluation metrics.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t xml:space="preserve">Figure 1: Class Distribution</w:t>
      </w:r>
    </w:p>
    <w:p>
      <w:pPr>
        <w:spacing w:before="0" w:after="80"/>
      </w:pPr>
      <w:r>
        <w:t xml:space="preserve"/>
      </w:r>
    </w:p>
    <w:p>
      <w:r>
        <w:drawing>
          <wp:inline distT="0" distB="0" distL="0" distR="0">
            <wp:extent cx="61912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dataset contains 500 non-diabetic patients (65.1%) and 268 diabetic patients (34.9%), representing a realistic clinical distribution.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t xml:space="preserve">Figure 2: Feature Distributions by Diabetic Status</w:t>
      </w:r>
    </w:p>
    <w:p>
      <w:pPr>
        <w:spacing w:before="0" w:after="80"/>
      </w:pPr>
      <w:r>
        <w:t xml:space="preserve"/>
      </w:r>
    </w:p>
    <w:p>
      <w:r>
        <w:drawing>
          <wp:inline distT="0" distB="0" distL="0" distR="0">
            <wp:extent cx="638175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Glucose and BMI show clear separation between diabetic and non-diabetic populations, confirming their predictive value. Age distribution is right-skewed, with most patients under 40.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t xml:space="preserve">Figure 3: Feature Correlation Matrix</w:t>
      </w:r>
    </w:p>
    <w:p>
      <w:pPr>
        <w:spacing w:before="0" w:after="80"/>
      </w:pPr>
      <w:r>
        <w:t xml:space="preserve"/>
      </w:r>
    </w:p>
    <w:p>
      <w:r>
        <w:drawing>
          <wp:inline distT="0" distB="0" distL="0" distR="0">
            <wp:extent cx="504825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Glucose shows the strongest correlation with Outcome (0.49), followed by BMI (0.31) and Age (0.24). Insulin and Glucose exhibit moderate correlation (0.42), suggesting potential multicollinearity.</w:t>
      </w:r>
    </w:p>
    <w:p>
      <w:pPr>
        <w:spacing w:before="0" w:after="240"/>
      </w:pPr>
      <w:r>
        <w:t xml:space="preserve"/>
      </w:r>
    </w:p>
    <w:p>
      <w:pPr>
        <w:pStyle w:val="Heading1"/>
      </w:pPr>
      <w:r>
        <w:t xml:space="preserve">2.  Systems Evaluated</w:t>
      </w:r>
    </w:p>
    <w:p>
      <w:pPr>
        <w:pStyle w:val="Heading2"/>
      </w:pPr>
      <w:r>
        <w:t xml:space="preserve">2.1  Rule-Based Expert System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clinical threshold-based decision system using WHO and ADA guidelines. Risk scores are assigned based on glucose (≥140: +2, ≥126: +1), BMI (≥30: +1), age (≥45: +1), pregnancies (≥3: +1), diabetes pedigree function (≥0.5: +1), and blood pressure (≥90: +1). A total score ≥2 predicts diabetic status.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t xml:space="preserve">2.2  Logistic Regression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linear probabilistic model trained with standardized features. Provides interpretable coefficients showing the contribution of each feature to diabetes risk. Training time: 0.017 seconds. Cross-validation F1: 0.652 ± 0.028.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t xml:space="preserve">2.3  Random Forest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ensemble of 200 decision trees with max depth 8. Captures non-linear relationships and feature interactions. Training time: 0.266 seconds. Cross-validation F1: 0.640 ± 0.047.</w:t>
      </w:r>
    </w:p>
    <w:p>
      <w:pPr>
        <w:spacing w:before="0" w:after="240"/>
      </w:pPr>
      <w:r>
        <w:t xml:space="preserve"/>
      </w:r>
    </w:p>
    <w:p>
      <w:pPr>
        <w:pStyle w:val="Heading1"/>
      </w:pPr>
      <w:r>
        <w:t xml:space="preserve">3.  Performance Metrics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three systems were evaluated on identical test sets using a comprehensive suite of clinically relevant metrics.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t xml:space="preserve">Table 1: Primary Performance Metrics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500"/>
        <w:gridCol w:w="1500"/>
        <w:gridCol w:w="1360"/>
        <w:gridCol w:w="12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Rule-Based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61.9%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93.3%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45.0%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0.631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0.795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72.9%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52.2%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84.0%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0.574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0.824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75.5%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55.2%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86.4%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0.612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0.810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</w:pPr>
      <w:r>
        <w:t xml:space="preserve">Table 2: Error Severity Analysis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60"/>
        <w:gridCol w:w="1500"/>
        <w:gridCol w:w="19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False Negatives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Clinical Risk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False Positives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Clinical Risk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Rule-Based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18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HIGH — Missed diabetics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275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LOW — Extra follow-up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32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HIGH — Missed diabetics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20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LOW — Extra follow-up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30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HIGH — Missed diabetics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17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LOW — Extra follow-up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Clinical Interpretation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Rule-Based: Optimized for safety — only 18 missed diabetics (FN), but 275 unnecessary follow-ups (FP). Acceptable trade-off in screening scenarios.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Logistic Regression: Balanced approach — 72.9% accuracy with strong specificity (84.0%), but 32 missed diabetics is clinically concerning.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Random Forest: Best overall performance — highest accuracy (75.5%) with fewest false positives (17), but still misses 30 diabetics.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Finding: No single system dominates all metrics. Clinical context determines the optimal choice.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</w:pPr>
      <w:r>
        <w:t xml:space="preserve">4.  Calibration &amp; Decision Consistency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Beyond prediction accuracy, we evaluated two critical properties for clinical deployment: probability calibration and decision consistency.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t xml:space="preserve">4.1  Calibration Results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Logistic Regression: Brier Score = 0.170 (well-calibrated)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Random Forest: Brier Score = 0.167 (well-calibrated)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Both models produce reliable probability estimates — a predicted 70% risk corresponds to ~70% true positive rate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t xml:space="preserve">4.2  Decision Consistency Results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three systems: 100% consistency across 3 independent runs on 20 identical patients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Interpretation: All baseline systems are fully deterministic — same input always produces same output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Significance: This 100% consistency baseline is critical for Week 2 comparison with non-deterministic LLM agents</w:t>
      </w:r>
    </w:p>
    <w:p>
      <w:pPr>
        <w:spacing w:before="0" w:after="240"/>
      </w:pPr>
      <w:r>
        <w:t xml:space="preserve"/>
      </w:r>
    </w:p>
    <w:p>
      <w:pPr>
        <w:pStyle w:val="Heading1"/>
      </w:pPr>
      <w:r>
        <w:t xml:space="preserve">5.  Key Takeaways for Week 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Baseline metrics established: Random Forest's 75.5% accuracy is the benchmark to beat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Sensitivity vs. Specificity trade-off: Rule-based system shows that optimizing for one metric degrades the other — LLM agent must navigate this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Calibration matters: Well-calibrated probabilities enable clinical decision thresholds — Week 2 must test LLM calibration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Consistency is critical: 100% baseline consistency means any LLM inconsistency &lt;100% represents a reliability gap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Error severity framework validated: False negatives are clinically more dangerous — this framework applies to LLM evaluation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Next Steps — Week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ReAct-style LLM agent with tool use (Claude or GPT-4 API)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identical evaluation protocol on 50-100 PIMA patients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Measure decision consistency across 3 runs (expect &lt;100% due to temperature sampling)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Compare all metrics side-by-side: Rule-Based vs LR vs RF vs LLM Agent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Quantify the consistency-performance trade-off unique to agentic AI systems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</w:pPr>
      <w:r>
        <w:t xml:space="preserve">Appendix: Metric Definitions</w:t>
      </w:r>
    </w:p>
    <w:p>
      <w:pPr>
        <w:pStyle w:val="Heading2"/>
      </w:pPr>
      <w:r>
        <w:t xml:space="preserve">Standard Metrics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Accuracy: (TP + TN) / Total — overall correctness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Precision: TP / (TP + FP) — when model says diabetic, how often is it right?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Sensitivity (Recall): TP / (TP + FN) — of all actual diabetics, how many did we catch?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Specificity: TN / (TN + FP) — of all non-diabetics, how many did we correctly clear?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F1-Score: 2 × (Precision × Recall) / (Precision + Recall) — harmonic mean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AUC-ROC: Area under ROC curve — ability to discriminate classes across all thresholds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t xml:space="preserve">Clinical Metrics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Brier Score: Mean squared error of probability predictions — lower is better (0 = perfect)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Decision Consistency: % of identical outputs when same input is run multiple times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Error Severity: Clinical impact classification of false positives and false negatives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Miriyala · Nanduri · Khan · Reddy  |  Mentor: Dr. Resham Raj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AI Benchmarking — Week 1 Results</w:t>
    </w:r>
    <w:r>
      <w:rPr>
        <w:rFonts w:ascii="Arial" w:cs="Arial" w:eastAsia="Arial" w:hAnsi="Arial"/>
        <w:color w:val="64748B"/>
        <w:sz w:val="17"/>
        <w:szCs w:val="17"/>
      </w:rPr>
      <w:t xml:space="preserve">	PIMA Diabetes Dataset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1B3A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10" w:space="4"/>
      </w:pBdr>
      <w:spacing w:before="40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c455d5b2f7d13bf2ae5388bf9d0c639e30cc0a3.png"/><Relationship Id="rId9" Type="http://schemas.openxmlformats.org/officeDocument/2006/relationships/image" Target="media/86a7728a2a2b7fa1c88a4d15982afe133ce36f69.png"/><Relationship Id="rId10" Type="http://schemas.openxmlformats.org/officeDocument/2006/relationships/image" Target="media/99db3fd1a1afe1f2f80b4572360e9329ecd75f28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2026-02-19T04:56:49.371Z</dcterms:created>
  <dcterms:modified xsi:type="dcterms:W3CDTF">2026-02-19T04:56:49.371Z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