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782CC" w14:textId="77777777" w:rsidR="00DA2074" w:rsidRPr="00031D8C" w:rsidRDefault="00DA2074" w:rsidP="00DA2074">
      <w:pPr>
        <w:pStyle w:val="NormalWeb"/>
        <w:rPr>
          <w:rStyle w:val="Strong"/>
          <w:rFonts w:eastAsiaTheme="majorEastAsia"/>
        </w:rPr>
      </w:pPr>
    </w:p>
    <w:p w14:paraId="67791081" w14:textId="77777777" w:rsidR="00515860" w:rsidRDefault="00515860" w:rsidP="009B2CB7">
      <w:pPr>
        <w:pStyle w:val="NormalWeb"/>
        <w:spacing w:line="360" w:lineRule="auto"/>
        <w:jc w:val="both"/>
      </w:pPr>
    </w:p>
    <w:p w14:paraId="507AD829" w14:textId="77777777" w:rsidR="00515860" w:rsidRDefault="00515860" w:rsidP="009B2CB7">
      <w:pPr>
        <w:pStyle w:val="NormalWeb"/>
        <w:spacing w:line="360" w:lineRule="auto"/>
        <w:jc w:val="both"/>
      </w:pPr>
    </w:p>
    <w:p w14:paraId="4B16AE55" w14:textId="77777777" w:rsidR="00515860" w:rsidRDefault="00515860" w:rsidP="009B2CB7">
      <w:pPr>
        <w:pStyle w:val="NormalWeb"/>
        <w:spacing w:line="360" w:lineRule="auto"/>
        <w:jc w:val="both"/>
      </w:pPr>
    </w:p>
    <w:p w14:paraId="6B293786" w14:textId="77777777" w:rsidR="00515860" w:rsidRDefault="00515860" w:rsidP="009B2CB7">
      <w:pPr>
        <w:pStyle w:val="NormalWeb"/>
        <w:spacing w:line="360" w:lineRule="auto"/>
        <w:jc w:val="both"/>
      </w:pPr>
    </w:p>
    <w:p w14:paraId="74AD01A7" w14:textId="77777777" w:rsidR="00515860" w:rsidRDefault="00515860" w:rsidP="009B2CB7">
      <w:pPr>
        <w:pStyle w:val="NormalWeb"/>
        <w:spacing w:line="360" w:lineRule="auto"/>
        <w:jc w:val="both"/>
      </w:pPr>
    </w:p>
    <w:p w14:paraId="4660F07B" w14:textId="77777777" w:rsidR="00515860" w:rsidRDefault="00515860" w:rsidP="009B2CB7">
      <w:pPr>
        <w:pStyle w:val="NormalWeb"/>
        <w:spacing w:line="360" w:lineRule="auto"/>
        <w:jc w:val="both"/>
      </w:pPr>
    </w:p>
    <w:p w14:paraId="7B91D455" w14:textId="77777777" w:rsidR="00515860" w:rsidRDefault="00515860" w:rsidP="009B2CB7">
      <w:pPr>
        <w:pStyle w:val="NormalWeb"/>
        <w:spacing w:line="360" w:lineRule="auto"/>
        <w:jc w:val="both"/>
      </w:pPr>
    </w:p>
    <w:p w14:paraId="3BB27F26" w14:textId="4BAA91F4" w:rsidR="00515860" w:rsidRPr="00515860" w:rsidRDefault="00515860" w:rsidP="00515860">
      <w:pPr>
        <w:pStyle w:val="Heading1"/>
        <w:shd w:val="clear" w:color="auto" w:fill="FFFFFF"/>
        <w:spacing w:before="90" w:after="90"/>
        <w:jc w:val="center"/>
        <w:rPr>
          <w:rFonts w:ascii="Lato" w:hAnsi="Lato"/>
          <w:color w:val="273540"/>
          <w:sz w:val="43"/>
          <w:szCs w:val="43"/>
        </w:rPr>
      </w:pPr>
      <w:r w:rsidRPr="004A1035">
        <w:rPr>
          <w:b/>
          <w:bCs/>
          <w:sz w:val="24"/>
          <w:szCs w:val="24"/>
        </w:rPr>
        <w:t>Week-</w:t>
      </w:r>
      <w:r>
        <w:rPr>
          <w:b/>
          <w:bCs/>
          <w:sz w:val="24"/>
          <w:szCs w:val="24"/>
        </w:rPr>
        <w:t>3</w:t>
      </w:r>
      <w:r w:rsidRPr="004A1035">
        <w:rPr>
          <w:b/>
          <w:bCs/>
          <w:sz w:val="24"/>
          <w:szCs w:val="24"/>
        </w:rPr>
        <w:t xml:space="preserve">: </w:t>
      </w:r>
      <w:r w:rsidRPr="00515860">
        <w:rPr>
          <w:b/>
          <w:bCs/>
          <w:color w:val="2B2B2B"/>
          <w:sz w:val="24"/>
          <w:szCs w:val="24"/>
          <w:shd w:val="clear" w:color="auto" w:fill="FFFFFF"/>
        </w:rPr>
        <w:t>Research-Informed Product Strategy &amp; Roadmap</w:t>
      </w:r>
    </w:p>
    <w:p w14:paraId="49C4B310" w14:textId="77777777" w:rsidR="00515860" w:rsidRPr="004A1035" w:rsidRDefault="00515860" w:rsidP="00515860">
      <w:pPr>
        <w:pStyle w:val="p2"/>
        <w:spacing w:line="360" w:lineRule="auto"/>
        <w:jc w:val="center"/>
        <w:rPr>
          <w:sz w:val="24"/>
          <w:szCs w:val="24"/>
        </w:rPr>
      </w:pPr>
      <w:r w:rsidRPr="004A1035">
        <w:rPr>
          <w:b/>
          <w:bCs/>
          <w:sz w:val="24"/>
          <w:szCs w:val="24"/>
        </w:rPr>
        <w:t>Group-2</w:t>
      </w:r>
    </w:p>
    <w:p w14:paraId="1A1659FC" w14:textId="77777777" w:rsidR="00515860" w:rsidRPr="004A1035" w:rsidRDefault="00515860" w:rsidP="00515860">
      <w:pPr>
        <w:pStyle w:val="p1"/>
        <w:spacing w:line="360" w:lineRule="auto"/>
        <w:jc w:val="center"/>
        <w:rPr>
          <w:sz w:val="24"/>
          <w:szCs w:val="24"/>
        </w:rPr>
      </w:pPr>
      <w:r w:rsidRPr="004A1035">
        <w:rPr>
          <w:sz w:val="24"/>
          <w:szCs w:val="24"/>
        </w:rPr>
        <w:t>Devaki B, Keerthi A, Sri Lasya G, Harsha Priya C, Sanjeev Kumar B</w:t>
      </w:r>
    </w:p>
    <w:p w14:paraId="6686E4F9" w14:textId="77777777" w:rsidR="00515860" w:rsidRPr="004A1035" w:rsidRDefault="00515860" w:rsidP="00515860">
      <w:pPr>
        <w:pStyle w:val="p1"/>
        <w:spacing w:line="360" w:lineRule="auto"/>
        <w:jc w:val="center"/>
        <w:rPr>
          <w:sz w:val="24"/>
          <w:szCs w:val="24"/>
        </w:rPr>
      </w:pPr>
      <w:r w:rsidRPr="004A1035">
        <w:rPr>
          <w:sz w:val="24"/>
          <w:szCs w:val="24"/>
        </w:rPr>
        <w:t>Saint Louis University</w:t>
      </w:r>
    </w:p>
    <w:p w14:paraId="600B08C9" w14:textId="77777777" w:rsidR="00515860" w:rsidRPr="004A1035" w:rsidRDefault="00515860" w:rsidP="00515860">
      <w:pPr>
        <w:pStyle w:val="p1"/>
        <w:spacing w:line="360" w:lineRule="auto"/>
        <w:jc w:val="center"/>
        <w:rPr>
          <w:sz w:val="24"/>
          <w:szCs w:val="24"/>
        </w:rPr>
      </w:pPr>
      <w:r w:rsidRPr="004A1035">
        <w:rPr>
          <w:sz w:val="24"/>
          <w:szCs w:val="24"/>
        </w:rPr>
        <w:t>IS-5960 – Master Research Project</w:t>
      </w:r>
    </w:p>
    <w:p w14:paraId="225CE92D" w14:textId="77777777" w:rsidR="00515860" w:rsidRPr="004A1035" w:rsidRDefault="00515860" w:rsidP="00515860">
      <w:pPr>
        <w:pStyle w:val="p1"/>
        <w:spacing w:line="360" w:lineRule="auto"/>
        <w:jc w:val="center"/>
        <w:rPr>
          <w:sz w:val="24"/>
          <w:szCs w:val="24"/>
        </w:rPr>
      </w:pPr>
      <w:r w:rsidRPr="004A1035">
        <w:rPr>
          <w:sz w:val="24"/>
          <w:szCs w:val="24"/>
        </w:rPr>
        <w:t>Maria Weber</w:t>
      </w:r>
    </w:p>
    <w:p w14:paraId="616A3B3D" w14:textId="61039B13" w:rsidR="00515860" w:rsidRPr="004A1035" w:rsidRDefault="00515860" w:rsidP="00515860">
      <w:pPr>
        <w:pStyle w:val="p1"/>
        <w:spacing w:line="360" w:lineRule="auto"/>
        <w:jc w:val="center"/>
        <w:rPr>
          <w:sz w:val="24"/>
          <w:szCs w:val="24"/>
        </w:rPr>
      </w:pPr>
      <w:r>
        <w:rPr>
          <w:sz w:val="24"/>
          <w:szCs w:val="24"/>
        </w:rPr>
        <w:t>September</w:t>
      </w:r>
      <w:r w:rsidRPr="004A1035">
        <w:rPr>
          <w:sz w:val="24"/>
          <w:szCs w:val="24"/>
        </w:rPr>
        <w:t xml:space="preserve"> </w:t>
      </w:r>
      <w:r>
        <w:rPr>
          <w:sz w:val="24"/>
          <w:szCs w:val="24"/>
        </w:rPr>
        <w:t>7</w:t>
      </w:r>
      <w:r w:rsidRPr="004A1035">
        <w:rPr>
          <w:sz w:val="24"/>
          <w:szCs w:val="24"/>
        </w:rPr>
        <w:t>, 2025</w:t>
      </w:r>
    </w:p>
    <w:p w14:paraId="21EB03D3" w14:textId="77777777" w:rsidR="00515860" w:rsidRDefault="00515860" w:rsidP="009B2CB7">
      <w:pPr>
        <w:pStyle w:val="NormalWeb"/>
        <w:spacing w:line="360" w:lineRule="auto"/>
        <w:jc w:val="both"/>
      </w:pPr>
    </w:p>
    <w:p w14:paraId="707DECDA" w14:textId="77777777" w:rsidR="00515860" w:rsidRDefault="00515860" w:rsidP="009B2CB7">
      <w:pPr>
        <w:pStyle w:val="NormalWeb"/>
        <w:spacing w:line="360" w:lineRule="auto"/>
        <w:jc w:val="both"/>
      </w:pPr>
    </w:p>
    <w:p w14:paraId="1F916CD7" w14:textId="77777777" w:rsidR="00515860" w:rsidRDefault="00515860" w:rsidP="009B2CB7">
      <w:pPr>
        <w:pStyle w:val="NormalWeb"/>
        <w:spacing w:line="360" w:lineRule="auto"/>
        <w:jc w:val="both"/>
      </w:pPr>
    </w:p>
    <w:p w14:paraId="6467B570" w14:textId="77777777" w:rsidR="00515860" w:rsidRDefault="00515860" w:rsidP="009B2CB7">
      <w:pPr>
        <w:pStyle w:val="NormalWeb"/>
        <w:spacing w:line="360" w:lineRule="auto"/>
        <w:jc w:val="both"/>
      </w:pPr>
    </w:p>
    <w:p w14:paraId="4FEA3694" w14:textId="77777777" w:rsidR="00515860" w:rsidRDefault="00515860" w:rsidP="009B2CB7">
      <w:pPr>
        <w:pStyle w:val="NormalWeb"/>
        <w:spacing w:line="360" w:lineRule="auto"/>
        <w:jc w:val="both"/>
      </w:pPr>
    </w:p>
    <w:p w14:paraId="3A046A28" w14:textId="77777777" w:rsidR="00515860" w:rsidRDefault="00515860" w:rsidP="009B2CB7">
      <w:pPr>
        <w:pStyle w:val="NormalWeb"/>
        <w:spacing w:line="360" w:lineRule="auto"/>
        <w:jc w:val="both"/>
      </w:pPr>
    </w:p>
    <w:p w14:paraId="42076C56" w14:textId="65228148" w:rsidR="00D04AA4" w:rsidRPr="00D04AA4" w:rsidRDefault="00D04AA4" w:rsidP="00D04AA4">
      <w:pPr>
        <w:pStyle w:val="Heading1"/>
        <w:shd w:val="clear" w:color="auto" w:fill="FFFFFF"/>
        <w:spacing w:before="90" w:after="90"/>
        <w:jc w:val="center"/>
        <w:rPr>
          <w:rFonts w:ascii="Times New Roman" w:hAnsi="Times New Roman" w:cs="Times New Roman"/>
          <w:b/>
          <w:bCs/>
          <w:color w:val="273540"/>
          <w:sz w:val="32"/>
          <w:szCs w:val="32"/>
        </w:rPr>
      </w:pPr>
      <w:r w:rsidRPr="00D04AA4">
        <w:rPr>
          <w:rFonts w:ascii="Times New Roman" w:hAnsi="Times New Roman" w:cs="Times New Roman"/>
          <w:b/>
          <w:bCs/>
          <w:color w:val="273540"/>
          <w:sz w:val="32"/>
          <w:szCs w:val="32"/>
        </w:rPr>
        <w:t>Research-Informed Product Strategy &amp; Roadmap</w:t>
      </w:r>
    </w:p>
    <w:p w14:paraId="199C76C8" w14:textId="77777777" w:rsidR="00D04AA4" w:rsidRPr="00D04AA4" w:rsidRDefault="00D04AA4" w:rsidP="00D04AA4"/>
    <w:p w14:paraId="430F07B5" w14:textId="200219E5" w:rsidR="00DA2074" w:rsidRPr="00031D8C" w:rsidRDefault="00515860" w:rsidP="009B2CB7">
      <w:pPr>
        <w:pStyle w:val="NormalWeb"/>
        <w:spacing w:line="360" w:lineRule="auto"/>
        <w:jc w:val="both"/>
        <w:rPr>
          <w:rFonts w:eastAsiaTheme="majorEastAsia"/>
        </w:rPr>
      </w:pPr>
      <w:r>
        <w:t>O</w:t>
      </w:r>
      <w:r w:rsidR="00DA2074" w:rsidRPr="00031D8C">
        <w:t xml:space="preserve">ur idea for </w:t>
      </w:r>
      <w:r w:rsidR="00DA2074" w:rsidRPr="00031D8C">
        <w:rPr>
          <w:rStyle w:val="Strong"/>
          <w:rFonts w:eastAsiaTheme="majorEastAsia"/>
          <w:b w:val="0"/>
          <w:bCs w:val="0"/>
        </w:rPr>
        <w:t>SLU Alumni Connect</w:t>
      </w:r>
      <w:r>
        <w:rPr>
          <w:rStyle w:val="Strong"/>
          <w:rFonts w:eastAsiaTheme="majorEastAsia"/>
          <w:b w:val="0"/>
          <w:bCs w:val="0"/>
        </w:rPr>
        <w:t xml:space="preserve"> – Data </w:t>
      </w:r>
      <w:r w:rsidR="00D04AA4">
        <w:rPr>
          <w:rStyle w:val="Strong"/>
          <w:rFonts w:eastAsiaTheme="majorEastAsia"/>
          <w:b w:val="0"/>
          <w:bCs w:val="0"/>
        </w:rPr>
        <w:t xml:space="preserve">Nexus </w:t>
      </w:r>
      <w:r w:rsidR="00D04AA4" w:rsidRPr="00031D8C">
        <w:t>and</w:t>
      </w:r>
      <w:r w:rsidR="00DA2074" w:rsidRPr="00031D8C">
        <w:t xml:space="preserve"> making it stronger with real research. Instead of just planning features, we’ll use studies and industry reports to back up our choices and design a clear roadmap for how the product should grow. The focus is on creating an MVP (the core features we need to test the idea) and an MMP (the next set of features that make it ready for wider use). Along the way, we’ll also think about ethics</w:t>
      </w:r>
      <w:r w:rsidR="00031D8C" w:rsidRPr="00031D8C">
        <w:t xml:space="preserve"> </w:t>
      </w:r>
      <w:r w:rsidR="00DA2074" w:rsidRPr="00031D8C">
        <w:t>like data privacy, fairness, and inclusivity</w:t>
      </w:r>
      <w:r w:rsidR="00031D8C" w:rsidRPr="00031D8C">
        <w:t xml:space="preserve"> </w:t>
      </w:r>
      <w:r w:rsidR="00DA2074" w:rsidRPr="00031D8C">
        <w:t xml:space="preserve">so the product is not only useful but also responsible. By the end, we’ll put everything together into four deliverables: a </w:t>
      </w:r>
      <w:r w:rsidR="00DA2074" w:rsidRPr="00031D8C">
        <w:rPr>
          <w:rStyle w:val="Strong"/>
          <w:rFonts w:eastAsiaTheme="majorEastAsia"/>
          <w:b w:val="0"/>
          <w:bCs w:val="0"/>
        </w:rPr>
        <w:t>Product Strategy Canvas, a Product Roadmap, a Research Matrix, and an Annotated Bibliography</w:t>
      </w:r>
      <w:r w:rsidR="00DA2074" w:rsidRPr="00031D8C">
        <w:rPr>
          <w:b/>
          <w:bCs/>
        </w:rPr>
        <w:t>.</w:t>
      </w:r>
      <w:r w:rsidR="00DA2074" w:rsidRPr="00031D8C">
        <w:t xml:space="preserve"> These will help show that our strategy is grounded in research and aimed at solving real challenges for SLU.</w:t>
      </w:r>
    </w:p>
    <w:p w14:paraId="22D5310D" w14:textId="3435EFE9" w:rsidR="0024055D" w:rsidRPr="00031D8C" w:rsidRDefault="00321665" w:rsidP="00835960">
      <w:pPr>
        <w:rPr>
          <w:rFonts w:ascii="Times New Roman" w:hAnsi="Times New Roman" w:cs="Times New Roman"/>
          <w:b/>
          <w:bCs/>
        </w:rPr>
      </w:pPr>
      <w:r w:rsidRPr="00031D8C">
        <w:rPr>
          <w:rFonts w:ascii="Times New Roman" w:hAnsi="Times New Roman" w:cs="Times New Roman"/>
          <w:b/>
          <w:bCs/>
        </w:rPr>
        <w:t xml:space="preserve">1. </w:t>
      </w:r>
      <w:r w:rsidR="00835960" w:rsidRPr="00031D8C">
        <w:rPr>
          <w:rFonts w:ascii="Times New Roman" w:hAnsi="Times New Roman" w:cs="Times New Roman"/>
          <w:b/>
          <w:bCs/>
        </w:rPr>
        <w:t xml:space="preserve">Company &amp; Industry Research </w:t>
      </w:r>
      <w:r w:rsidR="00031D8C" w:rsidRPr="00031D8C">
        <w:rPr>
          <w:rFonts w:ascii="Times New Roman" w:hAnsi="Times New Roman" w:cs="Times New Roman"/>
          <w:b/>
          <w:bCs/>
        </w:rPr>
        <w:t xml:space="preserve">- </w:t>
      </w:r>
      <w:r w:rsidR="00835960" w:rsidRPr="00031D8C">
        <w:rPr>
          <w:rFonts w:ascii="Times New Roman" w:hAnsi="Times New Roman" w:cs="Times New Roman"/>
          <w:b/>
          <w:bCs/>
        </w:rPr>
        <w:t>Product Strategy</w:t>
      </w:r>
    </w:p>
    <w:p w14:paraId="40926CAD" w14:textId="6DF1066B" w:rsidR="00835960" w:rsidRPr="00031D8C" w:rsidRDefault="00321665" w:rsidP="009B2CB7">
      <w:pPr>
        <w:ind w:left="720"/>
        <w:rPr>
          <w:rFonts w:ascii="Times New Roman" w:hAnsi="Times New Roman" w:cs="Times New Roman"/>
          <w:b/>
          <w:bCs/>
        </w:rPr>
      </w:pPr>
      <w:r w:rsidRPr="00031D8C">
        <w:rPr>
          <w:rFonts w:ascii="Times New Roman" w:hAnsi="Times New Roman" w:cs="Times New Roman"/>
          <w:b/>
          <w:bCs/>
        </w:rPr>
        <w:t>1.1 SWOT</w:t>
      </w:r>
      <w:r w:rsidR="00031D8C">
        <w:rPr>
          <w:rFonts w:ascii="Times New Roman" w:hAnsi="Times New Roman" w:cs="Times New Roman"/>
          <w:b/>
          <w:bCs/>
        </w:rPr>
        <w:t xml:space="preserve"> Analysis</w:t>
      </w:r>
      <w:r w:rsidR="00835960" w:rsidRPr="00031D8C">
        <w:rPr>
          <w:rFonts w:ascii="Times New Roman" w:hAnsi="Times New Roman" w:cs="Times New Roman"/>
          <w:b/>
          <w:bCs/>
        </w:rPr>
        <w:t xml:space="preserve"> for SLU Alumni Connect</w:t>
      </w:r>
      <w:r w:rsidR="00031D8C">
        <w:rPr>
          <w:rFonts w:ascii="Times New Roman" w:hAnsi="Times New Roman" w:cs="Times New Roman"/>
          <w:b/>
          <w:bCs/>
        </w:rPr>
        <w:t xml:space="preserve">_ Data Nexus </w:t>
      </w:r>
    </w:p>
    <w:p w14:paraId="53AE6A4C" w14:textId="77777777" w:rsidR="007C7CD4" w:rsidRPr="00031D8C" w:rsidRDefault="007C7CD4" w:rsidP="009B2CB7">
      <w:pPr>
        <w:pStyle w:val="Heading3"/>
        <w:ind w:left="720"/>
        <w:rPr>
          <w:rFonts w:ascii="Times New Roman" w:hAnsi="Times New Roman" w:cs="Times New Roman"/>
          <w:b/>
          <w:bCs/>
          <w:color w:val="000000" w:themeColor="text1"/>
          <w:sz w:val="24"/>
          <w:szCs w:val="24"/>
        </w:rPr>
      </w:pPr>
      <w:r w:rsidRPr="00031D8C">
        <w:rPr>
          <w:rFonts w:ascii="Times New Roman" w:hAnsi="Times New Roman" w:cs="Times New Roman"/>
          <w:b/>
          <w:bCs/>
          <w:color w:val="000000" w:themeColor="text1"/>
          <w:sz w:val="24"/>
          <w:szCs w:val="24"/>
        </w:rPr>
        <w:t xml:space="preserve">Strengths – </w:t>
      </w:r>
      <w:r w:rsidRPr="00031D8C">
        <w:rPr>
          <w:rFonts w:ascii="Times New Roman" w:hAnsi="Times New Roman" w:cs="Times New Roman"/>
          <w:color w:val="000000" w:themeColor="text1"/>
          <w:sz w:val="24"/>
          <w:szCs w:val="24"/>
        </w:rPr>
        <w:t>What SLU Already Has</w:t>
      </w:r>
    </w:p>
    <w:p w14:paraId="6530CE82" w14:textId="77777777" w:rsidR="007C7CD4" w:rsidRPr="00031D8C" w:rsidRDefault="007C7CD4" w:rsidP="009B2CB7">
      <w:pPr>
        <w:pStyle w:val="NormalWeb"/>
        <w:spacing w:line="360" w:lineRule="auto"/>
        <w:ind w:left="720"/>
        <w:jc w:val="both"/>
      </w:pPr>
      <w:r w:rsidRPr="00031D8C">
        <w:t>SLU benefits from a large, global alumni network across industries, which provides a rich pool of employment and career data. Its strong academic reputation and Jesuit values emphasize ethics, trust, and community, which build credibility with alumni and employers. The MRP project shows clear institutional backing for data-driven innovation, giving this initiative a solid starting point.</w:t>
      </w:r>
    </w:p>
    <w:p w14:paraId="1C6F3675" w14:textId="77777777" w:rsidR="007C7CD4" w:rsidRPr="00031D8C" w:rsidRDefault="007C7CD4" w:rsidP="009B2CB7">
      <w:pPr>
        <w:pStyle w:val="NormalWeb"/>
        <w:numPr>
          <w:ilvl w:val="0"/>
          <w:numId w:val="33"/>
        </w:numPr>
        <w:tabs>
          <w:tab w:val="clear" w:pos="720"/>
          <w:tab w:val="num" w:pos="1440"/>
        </w:tabs>
        <w:spacing w:line="360" w:lineRule="auto"/>
        <w:ind w:left="1440"/>
      </w:pPr>
      <w:r w:rsidRPr="00031D8C">
        <w:t>Global alumni dataset (BHEF, 2024 – importance of alumni/employer data).</w:t>
      </w:r>
    </w:p>
    <w:p w14:paraId="7188E930" w14:textId="77777777" w:rsidR="007C7CD4" w:rsidRPr="00031D8C" w:rsidRDefault="007C7CD4" w:rsidP="009B2CB7">
      <w:pPr>
        <w:pStyle w:val="NormalWeb"/>
        <w:numPr>
          <w:ilvl w:val="0"/>
          <w:numId w:val="33"/>
        </w:numPr>
        <w:tabs>
          <w:tab w:val="clear" w:pos="720"/>
          <w:tab w:val="num" w:pos="1440"/>
        </w:tabs>
        <w:spacing w:line="360" w:lineRule="auto"/>
        <w:ind w:left="1440"/>
      </w:pPr>
      <w:r w:rsidRPr="00031D8C">
        <w:t>Academic reputation + Jesuit values (align with ethics and cura personalis).</w:t>
      </w:r>
    </w:p>
    <w:p w14:paraId="2C66C99B" w14:textId="0BAD9D48" w:rsidR="007C7CD4" w:rsidRPr="00031D8C" w:rsidRDefault="007C7CD4" w:rsidP="009B2CB7">
      <w:pPr>
        <w:pStyle w:val="NormalWeb"/>
        <w:numPr>
          <w:ilvl w:val="0"/>
          <w:numId w:val="33"/>
        </w:numPr>
        <w:tabs>
          <w:tab w:val="clear" w:pos="720"/>
          <w:tab w:val="num" w:pos="1440"/>
        </w:tabs>
        <w:spacing w:line="360" w:lineRule="auto"/>
        <w:ind w:left="1440"/>
      </w:pPr>
      <w:r w:rsidRPr="00031D8C">
        <w:t>Institutional support for innovation</w:t>
      </w:r>
      <w:r w:rsidR="009B2CB7">
        <w:t>.</w:t>
      </w:r>
    </w:p>
    <w:p w14:paraId="7E50F9D3" w14:textId="77777777" w:rsidR="007C7CD4" w:rsidRPr="00031D8C" w:rsidRDefault="007C7CD4" w:rsidP="009B2CB7">
      <w:pPr>
        <w:pStyle w:val="Heading3"/>
        <w:ind w:left="720"/>
        <w:rPr>
          <w:rFonts w:ascii="Times New Roman" w:hAnsi="Times New Roman" w:cs="Times New Roman"/>
          <w:b/>
          <w:bCs/>
          <w:color w:val="000000" w:themeColor="text1"/>
          <w:sz w:val="24"/>
          <w:szCs w:val="24"/>
        </w:rPr>
      </w:pPr>
      <w:r w:rsidRPr="00031D8C">
        <w:rPr>
          <w:rFonts w:ascii="Times New Roman" w:hAnsi="Times New Roman" w:cs="Times New Roman"/>
          <w:b/>
          <w:bCs/>
          <w:color w:val="000000" w:themeColor="text1"/>
          <w:sz w:val="24"/>
          <w:szCs w:val="24"/>
        </w:rPr>
        <w:t xml:space="preserve">Weaknesses – </w:t>
      </w:r>
      <w:r w:rsidRPr="00031D8C">
        <w:rPr>
          <w:rFonts w:ascii="Times New Roman" w:hAnsi="Times New Roman" w:cs="Times New Roman"/>
          <w:color w:val="000000" w:themeColor="text1"/>
          <w:sz w:val="24"/>
          <w:szCs w:val="24"/>
        </w:rPr>
        <w:t>Current Gaps</w:t>
      </w:r>
    </w:p>
    <w:p w14:paraId="038D0E8A" w14:textId="77777777" w:rsidR="007C7CD4" w:rsidRPr="00031D8C" w:rsidRDefault="007C7CD4" w:rsidP="009B2CB7">
      <w:pPr>
        <w:pStyle w:val="NormalWeb"/>
        <w:spacing w:line="360" w:lineRule="auto"/>
        <w:ind w:left="720"/>
        <w:jc w:val="both"/>
      </w:pPr>
      <w:r w:rsidRPr="00031D8C">
        <w:t>Right now, SLU lacks a centralized system to track alumni employment or employer relationships, leading to fragmented data across LinkedIn, surveys, and university records. This makes it difficult to generate consistent insights. Employer engagement is also shallow, mostly tied to recruitment events rather than ongoing partnerships, meaning the alumni network is underused.</w:t>
      </w:r>
    </w:p>
    <w:p w14:paraId="55737369" w14:textId="1259D9BE" w:rsidR="007C7CD4" w:rsidRPr="00031D8C" w:rsidRDefault="007C7CD4" w:rsidP="009B2CB7">
      <w:pPr>
        <w:pStyle w:val="NormalWeb"/>
        <w:numPr>
          <w:ilvl w:val="0"/>
          <w:numId w:val="34"/>
        </w:numPr>
        <w:tabs>
          <w:tab w:val="clear" w:pos="720"/>
          <w:tab w:val="num" w:pos="1440"/>
        </w:tabs>
        <w:spacing w:line="360" w:lineRule="auto"/>
        <w:ind w:left="1440"/>
        <w:jc w:val="both"/>
      </w:pPr>
      <w:r w:rsidRPr="00031D8C">
        <w:t xml:space="preserve">No integrated alumni tracking (Mpia et al., 2023 </w:t>
      </w:r>
      <w:r w:rsidR="009B2CB7">
        <w:t>-</w:t>
      </w:r>
      <w:r w:rsidRPr="00031D8C">
        <w:t xml:space="preserve"> need for combined data sources).</w:t>
      </w:r>
    </w:p>
    <w:p w14:paraId="491F7496" w14:textId="0CB2075F" w:rsidR="007C7CD4" w:rsidRPr="00031D8C" w:rsidRDefault="007C7CD4" w:rsidP="009B2CB7">
      <w:pPr>
        <w:pStyle w:val="NormalWeb"/>
        <w:numPr>
          <w:ilvl w:val="0"/>
          <w:numId w:val="34"/>
        </w:numPr>
        <w:tabs>
          <w:tab w:val="clear" w:pos="720"/>
          <w:tab w:val="num" w:pos="1440"/>
        </w:tabs>
        <w:spacing w:line="360" w:lineRule="auto"/>
        <w:ind w:left="1440"/>
        <w:jc w:val="both"/>
      </w:pPr>
      <w:r w:rsidRPr="00031D8C">
        <w:t xml:space="preserve">Data scattered, insights inconsistent (Romero &amp; Ventura, 2010 </w:t>
      </w:r>
      <w:r w:rsidR="009B2CB7">
        <w:t>-</w:t>
      </w:r>
      <w:r w:rsidRPr="00031D8C">
        <w:t xml:space="preserve"> data integration challenges).</w:t>
      </w:r>
    </w:p>
    <w:p w14:paraId="56C8787B" w14:textId="4E1FC2BA" w:rsidR="007C7CD4" w:rsidRPr="00031D8C" w:rsidRDefault="007C7CD4" w:rsidP="009B2CB7">
      <w:pPr>
        <w:pStyle w:val="NormalWeb"/>
        <w:numPr>
          <w:ilvl w:val="0"/>
          <w:numId w:val="34"/>
        </w:numPr>
        <w:tabs>
          <w:tab w:val="clear" w:pos="720"/>
          <w:tab w:val="num" w:pos="1440"/>
        </w:tabs>
        <w:spacing w:line="360" w:lineRule="auto"/>
        <w:ind w:left="1440"/>
        <w:jc w:val="both"/>
      </w:pPr>
      <w:r w:rsidRPr="00031D8C">
        <w:t xml:space="preserve">Weak employer engagement (UPCEA &amp; Collegis, 2024 </w:t>
      </w:r>
      <w:r w:rsidR="009B2CB7">
        <w:t xml:space="preserve">- </w:t>
      </w:r>
      <w:r w:rsidRPr="00031D8C">
        <w:t>employers want deeper partnerships).</w:t>
      </w:r>
    </w:p>
    <w:p w14:paraId="63C2E64A" w14:textId="77777777" w:rsidR="007C7CD4" w:rsidRPr="00031D8C" w:rsidRDefault="007C7CD4" w:rsidP="009B2CB7">
      <w:pPr>
        <w:pStyle w:val="Heading3"/>
        <w:ind w:left="720"/>
        <w:rPr>
          <w:rFonts w:ascii="Times New Roman" w:hAnsi="Times New Roman" w:cs="Times New Roman"/>
          <w:b/>
          <w:bCs/>
          <w:color w:val="000000" w:themeColor="text1"/>
          <w:sz w:val="24"/>
          <w:szCs w:val="24"/>
        </w:rPr>
      </w:pPr>
      <w:r w:rsidRPr="00031D8C">
        <w:rPr>
          <w:rFonts w:ascii="Times New Roman" w:hAnsi="Times New Roman" w:cs="Times New Roman"/>
          <w:b/>
          <w:bCs/>
          <w:color w:val="000000" w:themeColor="text1"/>
          <w:sz w:val="24"/>
          <w:szCs w:val="24"/>
        </w:rPr>
        <w:t xml:space="preserve">Opportunities – </w:t>
      </w:r>
      <w:r w:rsidRPr="00031D8C">
        <w:rPr>
          <w:rFonts w:ascii="Times New Roman" w:hAnsi="Times New Roman" w:cs="Times New Roman"/>
          <w:color w:val="000000" w:themeColor="text1"/>
          <w:sz w:val="24"/>
          <w:szCs w:val="24"/>
        </w:rPr>
        <w:t>Where SLU Can Grow</w:t>
      </w:r>
    </w:p>
    <w:p w14:paraId="47099C65" w14:textId="77777777" w:rsidR="007C7CD4" w:rsidRPr="00031D8C" w:rsidRDefault="007C7CD4" w:rsidP="009B2CB7">
      <w:pPr>
        <w:pStyle w:val="NormalWeb"/>
        <w:spacing w:line="360" w:lineRule="auto"/>
        <w:ind w:left="720"/>
        <w:jc w:val="both"/>
      </w:pPr>
      <w:r w:rsidRPr="00031D8C">
        <w:t>There’s strong potential to apply Educational Data Mining (EDM) methods like clustering, classification, and predictive analytics to alumni data, helping uncover career patterns and skill demands (Romero &amp; Ventura, 2024). Employers increasingly need job-ready graduates and real-time talent pipelines (BCG, 2022). By showcasing alumni success stories, SLU can attract new partnerships, secure funding, and improve global rankings.</w:t>
      </w:r>
    </w:p>
    <w:p w14:paraId="56C19DAA" w14:textId="77777777" w:rsidR="007C7CD4" w:rsidRPr="00031D8C" w:rsidRDefault="007C7CD4" w:rsidP="009B2CB7">
      <w:pPr>
        <w:pStyle w:val="NormalWeb"/>
        <w:numPr>
          <w:ilvl w:val="0"/>
          <w:numId w:val="35"/>
        </w:numPr>
        <w:tabs>
          <w:tab w:val="clear" w:pos="720"/>
          <w:tab w:val="num" w:pos="1440"/>
        </w:tabs>
        <w:spacing w:line="360" w:lineRule="auto"/>
        <w:ind w:left="1440"/>
        <w:jc w:val="both"/>
      </w:pPr>
      <w:r w:rsidRPr="00031D8C">
        <w:t>Apply EDM for career insights (Romero &amp; Ventura, 2024).</w:t>
      </w:r>
    </w:p>
    <w:p w14:paraId="5CCA6DD4" w14:textId="77777777" w:rsidR="007C7CD4" w:rsidRPr="00031D8C" w:rsidRDefault="007C7CD4" w:rsidP="009B2CB7">
      <w:pPr>
        <w:pStyle w:val="NormalWeb"/>
        <w:numPr>
          <w:ilvl w:val="0"/>
          <w:numId w:val="35"/>
        </w:numPr>
        <w:tabs>
          <w:tab w:val="clear" w:pos="720"/>
          <w:tab w:val="num" w:pos="1440"/>
        </w:tabs>
        <w:spacing w:line="360" w:lineRule="auto"/>
        <w:ind w:left="1440"/>
        <w:jc w:val="both"/>
      </w:pPr>
      <w:r w:rsidRPr="00031D8C">
        <w:t>Deliver skills-aligned, job-ready graduates (BCG, 2022).</w:t>
      </w:r>
    </w:p>
    <w:p w14:paraId="5CE44D82" w14:textId="77777777" w:rsidR="007C7CD4" w:rsidRPr="00031D8C" w:rsidRDefault="007C7CD4" w:rsidP="009B2CB7">
      <w:pPr>
        <w:pStyle w:val="NormalWeb"/>
        <w:numPr>
          <w:ilvl w:val="0"/>
          <w:numId w:val="35"/>
        </w:numPr>
        <w:tabs>
          <w:tab w:val="clear" w:pos="720"/>
          <w:tab w:val="num" w:pos="1440"/>
        </w:tabs>
        <w:spacing w:line="360" w:lineRule="auto"/>
        <w:ind w:left="1440"/>
        <w:jc w:val="both"/>
      </w:pPr>
      <w:r w:rsidRPr="00031D8C">
        <w:t>Employer partnerships via alumni data (UPCEA, 2024).</w:t>
      </w:r>
    </w:p>
    <w:p w14:paraId="3D7E58DB" w14:textId="77777777" w:rsidR="007C7CD4" w:rsidRPr="00031D8C" w:rsidRDefault="007C7CD4" w:rsidP="009B2CB7">
      <w:pPr>
        <w:pStyle w:val="NormalWeb"/>
        <w:numPr>
          <w:ilvl w:val="0"/>
          <w:numId w:val="35"/>
        </w:numPr>
        <w:tabs>
          <w:tab w:val="clear" w:pos="720"/>
          <w:tab w:val="num" w:pos="1440"/>
        </w:tabs>
        <w:spacing w:line="360" w:lineRule="auto"/>
        <w:ind w:left="1440"/>
        <w:jc w:val="both"/>
      </w:pPr>
      <w:r w:rsidRPr="00031D8C">
        <w:t>Boost reputation + rankings by showcasing outcomes (USHE, 2024).</w:t>
      </w:r>
    </w:p>
    <w:p w14:paraId="3323A13A" w14:textId="77777777" w:rsidR="007C7CD4" w:rsidRPr="00031D8C" w:rsidRDefault="007C7CD4" w:rsidP="009B2CB7">
      <w:pPr>
        <w:pStyle w:val="Heading3"/>
        <w:ind w:left="720"/>
        <w:rPr>
          <w:rFonts w:ascii="Times New Roman" w:hAnsi="Times New Roman" w:cs="Times New Roman"/>
          <w:b/>
          <w:bCs/>
          <w:color w:val="000000" w:themeColor="text1"/>
          <w:sz w:val="24"/>
          <w:szCs w:val="24"/>
        </w:rPr>
      </w:pPr>
      <w:r w:rsidRPr="00031D8C">
        <w:rPr>
          <w:rFonts w:ascii="Times New Roman" w:hAnsi="Times New Roman" w:cs="Times New Roman"/>
          <w:b/>
          <w:bCs/>
          <w:color w:val="000000" w:themeColor="text1"/>
          <w:sz w:val="24"/>
          <w:szCs w:val="24"/>
        </w:rPr>
        <w:t xml:space="preserve">Threats – </w:t>
      </w:r>
      <w:r w:rsidRPr="00031D8C">
        <w:rPr>
          <w:rFonts w:ascii="Times New Roman" w:hAnsi="Times New Roman" w:cs="Times New Roman"/>
          <w:color w:val="000000" w:themeColor="text1"/>
          <w:sz w:val="24"/>
          <w:szCs w:val="24"/>
        </w:rPr>
        <w:t>What Could Hold SLU Back</w:t>
      </w:r>
    </w:p>
    <w:p w14:paraId="78ECF579" w14:textId="77777777" w:rsidR="007C7CD4" w:rsidRPr="00031D8C" w:rsidRDefault="007C7CD4" w:rsidP="009B2CB7">
      <w:pPr>
        <w:pStyle w:val="NormalWeb"/>
        <w:spacing w:line="360" w:lineRule="auto"/>
        <w:ind w:left="720"/>
        <w:jc w:val="both"/>
      </w:pPr>
      <w:r w:rsidRPr="00031D8C">
        <w:t>SLU faces competition from peer universities like CMU and Columbia, which already have advanced alumni dashboards. Skills and technologies evolve quickly, so dashboards risk becoming outdated (Safavi et al., 2018). There are also compliance challenges around data privacy (FERPA, GDPR), and reliance on alumni self-reported data could reduce reliability (</w:t>
      </w:r>
      <w:proofErr w:type="spellStart"/>
      <w:r w:rsidRPr="00031D8C">
        <w:t>Okewu</w:t>
      </w:r>
      <w:proofErr w:type="spellEnd"/>
      <w:r w:rsidRPr="00031D8C">
        <w:t>, 2021 – ANN interpretability and bias concerns).</w:t>
      </w:r>
    </w:p>
    <w:p w14:paraId="35922722" w14:textId="77777777" w:rsidR="007C7CD4" w:rsidRPr="00031D8C" w:rsidRDefault="007C7CD4" w:rsidP="009B2CB7">
      <w:pPr>
        <w:pStyle w:val="NormalWeb"/>
        <w:numPr>
          <w:ilvl w:val="0"/>
          <w:numId w:val="36"/>
        </w:numPr>
        <w:tabs>
          <w:tab w:val="clear" w:pos="720"/>
          <w:tab w:val="num" w:pos="1440"/>
        </w:tabs>
        <w:spacing w:line="360" w:lineRule="auto"/>
        <w:ind w:left="1440"/>
        <w:jc w:val="both"/>
      </w:pPr>
      <w:r w:rsidRPr="00031D8C">
        <w:t>Competition from advanced university platforms.</w:t>
      </w:r>
    </w:p>
    <w:p w14:paraId="42F406B6" w14:textId="77777777" w:rsidR="007C7CD4" w:rsidRPr="00031D8C" w:rsidRDefault="007C7CD4" w:rsidP="009B2CB7">
      <w:pPr>
        <w:pStyle w:val="NormalWeb"/>
        <w:numPr>
          <w:ilvl w:val="0"/>
          <w:numId w:val="36"/>
        </w:numPr>
        <w:tabs>
          <w:tab w:val="clear" w:pos="720"/>
          <w:tab w:val="num" w:pos="1440"/>
        </w:tabs>
        <w:spacing w:line="360" w:lineRule="auto"/>
        <w:ind w:left="1440"/>
        <w:jc w:val="both"/>
      </w:pPr>
      <w:r w:rsidRPr="00031D8C">
        <w:t>Rapidly evolving career skills (Safavi et al., 2018).</w:t>
      </w:r>
    </w:p>
    <w:p w14:paraId="26B25946" w14:textId="77777777" w:rsidR="007C7CD4" w:rsidRPr="00031D8C" w:rsidRDefault="007C7CD4" w:rsidP="009B2CB7">
      <w:pPr>
        <w:pStyle w:val="NormalWeb"/>
        <w:numPr>
          <w:ilvl w:val="0"/>
          <w:numId w:val="36"/>
        </w:numPr>
        <w:tabs>
          <w:tab w:val="clear" w:pos="720"/>
          <w:tab w:val="num" w:pos="1440"/>
        </w:tabs>
        <w:spacing w:line="360" w:lineRule="auto"/>
        <w:ind w:left="1440"/>
        <w:jc w:val="both"/>
      </w:pPr>
      <w:r w:rsidRPr="00031D8C">
        <w:t>Data privacy + compliance (FERPA, GDPR).</w:t>
      </w:r>
    </w:p>
    <w:p w14:paraId="10AA57E0" w14:textId="636FFD4E" w:rsidR="00835960" w:rsidRDefault="007C7CD4" w:rsidP="009B2CB7">
      <w:pPr>
        <w:pStyle w:val="NormalWeb"/>
        <w:numPr>
          <w:ilvl w:val="0"/>
          <w:numId w:val="36"/>
        </w:numPr>
        <w:tabs>
          <w:tab w:val="clear" w:pos="720"/>
          <w:tab w:val="num" w:pos="1440"/>
        </w:tabs>
        <w:spacing w:line="360" w:lineRule="auto"/>
        <w:ind w:left="1440"/>
        <w:jc w:val="both"/>
      </w:pPr>
      <w:r w:rsidRPr="00031D8C">
        <w:t>Reliability issues with self-reported data (</w:t>
      </w:r>
      <w:proofErr w:type="spellStart"/>
      <w:r w:rsidRPr="00031D8C">
        <w:t>Okewu</w:t>
      </w:r>
      <w:proofErr w:type="spellEnd"/>
      <w:r w:rsidRPr="00031D8C">
        <w:t>, 2021).</w:t>
      </w:r>
    </w:p>
    <w:p w14:paraId="73D2479D" w14:textId="77777777" w:rsidR="00417388" w:rsidRDefault="00417388" w:rsidP="00417388">
      <w:pPr>
        <w:pStyle w:val="NormalWeb"/>
        <w:spacing w:line="360" w:lineRule="auto"/>
        <w:jc w:val="both"/>
      </w:pPr>
    </w:p>
    <w:p w14:paraId="0B6DF9F6" w14:textId="77777777" w:rsidR="00417388" w:rsidRDefault="00417388" w:rsidP="00417388">
      <w:pPr>
        <w:pStyle w:val="NormalWeb"/>
        <w:spacing w:line="360" w:lineRule="auto"/>
        <w:jc w:val="both"/>
      </w:pPr>
    </w:p>
    <w:p w14:paraId="4A0C5202" w14:textId="04133678" w:rsidR="00417388" w:rsidRPr="00417388" w:rsidRDefault="00417388" w:rsidP="00417388">
      <w:pPr>
        <w:pStyle w:val="NormalWeb"/>
        <w:spacing w:line="360" w:lineRule="auto"/>
        <w:jc w:val="both"/>
        <w:rPr>
          <w:b/>
          <w:bCs/>
        </w:rPr>
      </w:pPr>
      <w:r w:rsidRPr="00417388">
        <w:rPr>
          <w:b/>
          <w:bCs/>
        </w:rPr>
        <w:t>Slide-1:</w:t>
      </w:r>
    </w:p>
    <w:p w14:paraId="3A30E32A" w14:textId="413FA35A" w:rsidR="00515860" w:rsidRPr="00031D8C" w:rsidRDefault="00417388" w:rsidP="00417388">
      <w:pPr>
        <w:pStyle w:val="NormalWeb"/>
        <w:spacing w:line="360" w:lineRule="auto"/>
        <w:jc w:val="both"/>
      </w:pPr>
      <w:r w:rsidRPr="00417388">
        <w:drawing>
          <wp:inline distT="0" distB="0" distL="0" distR="0" wp14:anchorId="5D649B8A" wp14:editId="48BCC3CB">
            <wp:extent cx="5943600" cy="4457700"/>
            <wp:effectExtent l="0" t="0" r="0" b="0"/>
            <wp:docPr id="204298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86363" name=""/>
                    <pic:cNvPicPr/>
                  </pic:nvPicPr>
                  <pic:blipFill>
                    <a:blip r:embed="rId8"/>
                    <a:stretch>
                      <a:fillRect/>
                    </a:stretch>
                  </pic:blipFill>
                  <pic:spPr>
                    <a:xfrm>
                      <a:off x="0" y="0"/>
                      <a:ext cx="5943600" cy="4457700"/>
                    </a:xfrm>
                    <a:prstGeom prst="rect">
                      <a:avLst/>
                    </a:prstGeom>
                  </pic:spPr>
                </pic:pic>
              </a:graphicData>
            </a:graphic>
          </wp:inline>
        </w:drawing>
      </w:r>
    </w:p>
    <w:p w14:paraId="3141E9D2" w14:textId="437E1A08" w:rsidR="00835960" w:rsidRPr="00031D8C" w:rsidRDefault="00321665" w:rsidP="009103BA">
      <w:pPr>
        <w:spacing w:before="100" w:beforeAutospacing="1" w:after="100" w:afterAutospacing="1" w:line="240" w:lineRule="auto"/>
        <w:rPr>
          <w:rFonts w:ascii="Times New Roman" w:hAnsi="Times New Roman" w:cs="Times New Roman"/>
          <w:b/>
          <w:bCs/>
        </w:rPr>
      </w:pPr>
      <w:r w:rsidRPr="00031D8C">
        <w:rPr>
          <w:rFonts w:ascii="Times New Roman" w:hAnsi="Times New Roman" w:cs="Times New Roman"/>
          <w:b/>
          <w:bCs/>
        </w:rPr>
        <w:t xml:space="preserve">1.2 </w:t>
      </w:r>
      <w:r w:rsidR="00835960" w:rsidRPr="00031D8C">
        <w:rPr>
          <w:rFonts w:ascii="Times New Roman" w:hAnsi="Times New Roman" w:cs="Times New Roman"/>
          <w:b/>
          <w:bCs/>
        </w:rPr>
        <w:t>Product Strategy Statement</w:t>
      </w:r>
      <w:r w:rsidR="008F5311" w:rsidRPr="00031D8C">
        <w:rPr>
          <w:rFonts w:ascii="Times New Roman" w:hAnsi="Times New Roman" w:cs="Times New Roman"/>
          <w:b/>
          <w:bCs/>
        </w:rPr>
        <w:t>:</w:t>
      </w:r>
    </w:p>
    <w:p w14:paraId="075B604E" w14:textId="120C4CAA" w:rsidR="008F5311" w:rsidRPr="00031D8C" w:rsidRDefault="00C811D7" w:rsidP="009B2CB7">
      <w:pPr>
        <w:spacing w:before="100" w:beforeAutospacing="1" w:after="100" w:afterAutospacing="1" w:line="360" w:lineRule="auto"/>
        <w:ind w:left="720"/>
        <w:jc w:val="both"/>
        <w:rPr>
          <w:rFonts w:ascii="Times New Roman" w:eastAsia="Times New Roman" w:hAnsi="Times New Roman" w:cs="Times New Roman"/>
          <w:kern w:val="0"/>
          <w:u w:val="single"/>
          <w14:ligatures w14:val="none"/>
        </w:rPr>
      </w:pPr>
      <w:r w:rsidRPr="00031D8C">
        <w:rPr>
          <w:rStyle w:val="Strong"/>
          <w:rFonts w:ascii="Times New Roman" w:hAnsi="Times New Roman" w:cs="Times New Roman"/>
          <w:b w:val="0"/>
          <w:bCs w:val="0"/>
        </w:rPr>
        <w:t>SLU Alumni Connect</w:t>
      </w:r>
      <w:r w:rsidRPr="00031D8C">
        <w:rPr>
          <w:rFonts w:ascii="Times New Roman" w:hAnsi="Times New Roman" w:cs="Times New Roman"/>
          <w:b/>
          <w:bCs/>
        </w:rPr>
        <w:t xml:space="preserve"> </w:t>
      </w:r>
      <w:r w:rsidRPr="00031D8C">
        <w:rPr>
          <w:rFonts w:ascii="Times New Roman" w:hAnsi="Times New Roman" w:cs="Times New Roman"/>
        </w:rPr>
        <w:t>is a data-driven platform that unites students, alumni, employers, and faculty through mentorship, networking, and career insights—strengthening partnerships and aligning education with real-world skills.</w:t>
      </w:r>
    </w:p>
    <w:tbl>
      <w:tblPr>
        <w:tblW w:w="10165" w:type="dxa"/>
        <w:tblLook w:val="04A0" w:firstRow="1" w:lastRow="0" w:firstColumn="1" w:lastColumn="0" w:noHBand="0" w:noVBand="1"/>
      </w:tblPr>
      <w:tblGrid>
        <w:gridCol w:w="1780"/>
        <w:gridCol w:w="2029"/>
        <w:gridCol w:w="6356"/>
      </w:tblGrid>
      <w:tr w:rsidR="007E7275" w:rsidRPr="007E7275" w14:paraId="04DB92AF" w14:textId="77777777" w:rsidTr="00584AC3">
        <w:trPr>
          <w:trHeight w:val="691"/>
        </w:trPr>
        <w:tc>
          <w:tcPr>
            <w:tcW w:w="10165" w:type="dxa"/>
            <w:gridSpan w:val="3"/>
            <w:tcBorders>
              <w:top w:val="single" w:sz="8" w:space="0" w:color="auto"/>
              <w:left w:val="single" w:sz="8" w:space="0" w:color="auto"/>
              <w:bottom w:val="single" w:sz="8" w:space="0" w:color="auto"/>
              <w:right w:val="single" w:sz="8" w:space="0" w:color="000000"/>
            </w:tcBorders>
            <w:shd w:val="clear" w:color="000000" w:fill="4D93D9"/>
            <w:noWrap/>
            <w:vAlign w:val="bottom"/>
            <w:hideMark/>
          </w:tcPr>
          <w:p w14:paraId="67FA354C" w14:textId="77777777" w:rsidR="007E7275" w:rsidRPr="007E7275" w:rsidRDefault="007E7275" w:rsidP="007E7275">
            <w:pPr>
              <w:spacing w:after="0" w:line="240" w:lineRule="auto"/>
              <w:jc w:val="center"/>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Product Strategy Canvas:</w:t>
            </w:r>
          </w:p>
        </w:tc>
      </w:tr>
      <w:tr w:rsidR="007E7275" w:rsidRPr="007E7275" w14:paraId="34ECD516" w14:textId="77777777" w:rsidTr="00584AC3">
        <w:trPr>
          <w:trHeight w:val="671"/>
        </w:trPr>
        <w:tc>
          <w:tcPr>
            <w:tcW w:w="1780" w:type="dxa"/>
            <w:tcBorders>
              <w:top w:val="nil"/>
              <w:left w:val="single" w:sz="8" w:space="0" w:color="auto"/>
              <w:bottom w:val="single" w:sz="8" w:space="0" w:color="auto"/>
              <w:right w:val="single" w:sz="8" w:space="0" w:color="auto"/>
            </w:tcBorders>
            <w:vAlign w:val="center"/>
            <w:hideMark/>
          </w:tcPr>
          <w:p w14:paraId="7696F087" w14:textId="77777777" w:rsidR="007E7275" w:rsidRPr="007E7275" w:rsidRDefault="007E7275" w:rsidP="007E7275">
            <w:pPr>
              <w:spacing w:after="0" w:line="240" w:lineRule="auto"/>
              <w:jc w:val="center"/>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Section</w:t>
            </w:r>
          </w:p>
        </w:tc>
        <w:tc>
          <w:tcPr>
            <w:tcW w:w="1642" w:type="dxa"/>
            <w:tcBorders>
              <w:top w:val="nil"/>
              <w:left w:val="nil"/>
              <w:bottom w:val="single" w:sz="8" w:space="0" w:color="auto"/>
              <w:right w:val="single" w:sz="8" w:space="0" w:color="auto"/>
            </w:tcBorders>
            <w:vAlign w:val="center"/>
            <w:hideMark/>
          </w:tcPr>
          <w:p w14:paraId="17966AA6" w14:textId="77777777" w:rsidR="007E7275" w:rsidRPr="007E7275" w:rsidRDefault="007E7275" w:rsidP="007E7275">
            <w:pPr>
              <w:spacing w:after="0" w:line="240" w:lineRule="auto"/>
              <w:jc w:val="center"/>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Guiding Question</w:t>
            </w:r>
          </w:p>
        </w:tc>
        <w:tc>
          <w:tcPr>
            <w:tcW w:w="6742" w:type="dxa"/>
            <w:tcBorders>
              <w:top w:val="nil"/>
              <w:left w:val="nil"/>
              <w:bottom w:val="single" w:sz="8" w:space="0" w:color="auto"/>
              <w:right w:val="single" w:sz="8" w:space="0" w:color="auto"/>
            </w:tcBorders>
            <w:vAlign w:val="center"/>
            <w:hideMark/>
          </w:tcPr>
          <w:p w14:paraId="008622AC" w14:textId="77777777" w:rsidR="007E7275" w:rsidRPr="007E7275" w:rsidRDefault="007E7275" w:rsidP="007E7275">
            <w:pPr>
              <w:spacing w:after="0" w:line="240" w:lineRule="auto"/>
              <w:jc w:val="center"/>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Team Notes</w:t>
            </w:r>
          </w:p>
        </w:tc>
      </w:tr>
      <w:tr w:rsidR="007E7275" w:rsidRPr="007E7275" w14:paraId="2B5BE139" w14:textId="77777777" w:rsidTr="00584AC3">
        <w:trPr>
          <w:trHeight w:val="1251"/>
        </w:trPr>
        <w:tc>
          <w:tcPr>
            <w:tcW w:w="1780" w:type="dxa"/>
            <w:tcBorders>
              <w:top w:val="nil"/>
              <w:left w:val="single" w:sz="8" w:space="0" w:color="auto"/>
              <w:bottom w:val="single" w:sz="8" w:space="0" w:color="auto"/>
              <w:right w:val="single" w:sz="8" w:space="0" w:color="auto"/>
            </w:tcBorders>
            <w:vAlign w:val="center"/>
            <w:hideMark/>
          </w:tcPr>
          <w:p w14:paraId="7CB77419"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Vision Statement</w:t>
            </w:r>
          </w:p>
        </w:tc>
        <w:tc>
          <w:tcPr>
            <w:tcW w:w="1642" w:type="dxa"/>
            <w:tcBorders>
              <w:top w:val="nil"/>
              <w:left w:val="nil"/>
              <w:bottom w:val="single" w:sz="8" w:space="0" w:color="auto"/>
              <w:right w:val="nil"/>
            </w:tcBorders>
            <w:vAlign w:val="center"/>
            <w:hideMark/>
          </w:tcPr>
          <w:p w14:paraId="24EDD6E3"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What is your product’s purpose?</w:t>
            </w:r>
          </w:p>
        </w:tc>
        <w:tc>
          <w:tcPr>
            <w:tcW w:w="6742" w:type="dxa"/>
            <w:tcBorders>
              <w:top w:val="nil"/>
              <w:left w:val="single" w:sz="8" w:space="0" w:color="auto"/>
              <w:bottom w:val="single" w:sz="8" w:space="0" w:color="auto"/>
              <w:right w:val="single" w:sz="8" w:space="0" w:color="auto"/>
            </w:tcBorders>
            <w:hideMark/>
          </w:tcPr>
          <w:p w14:paraId="53597EA2"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To create a data-driven alumni engagement and analytics platform that connects SLU graduates with students, faculty, and employers to strengthen mentorship, networking, employer partnerships, and institutional reputation.</w:t>
            </w:r>
          </w:p>
        </w:tc>
      </w:tr>
      <w:tr w:rsidR="007E7275" w:rsidRPr="007E7275" w14:paraId="62EF7243" w14:textId="77777777" w:rsidTr="00584AC3">
        <w:trPr>
          <w:trHeight w:val="522"/>
        </w:trPr>
        <w:tc>
          <w:tcPr>
            <w:tcW w:w="1780" w:type="dxa"/>
            <w:vMerge w:val="restart"/>
            <w:tcBorders>
              <w:top w:val="nil"/>
              <w:left w:val="single" w:sz="8" w:space="0" w:color="auto"/>
              <w:bottom w:val="single" w:sz="8" w:space="0" w:color="000000"/>
              <w:right w:val="single" w:sz="8" w:space="0" w:color="auto"/>
            </w:tcBorders>
            <w:vAlign w:val="center"/>
            <w:hideMark/>
          </w:tcPr>
          <w:p w14:paraId="7EDC0F69"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Target Users</w:t>
            </w:r>
          </w:p>
        </w:tc>
        <w:tc>
          <w:tcPr>
            <w:tcW w:w="1642" w:type="dxa"/>
            <w:vMerge w:val="restart"/>
            <w:tcBorders>
              <w:top w:val="nil"/>
              <w:left w:val="single" w:sz="8" w:space="0" w:color="auto"/>
              <w:bottom w:val="single" w:sz="8" w:space="0" w:color="000000"/>
              <w:right w:val="nil"/>
            </w:tcBorders>
            <w:vAlign w:val="center"/>
            <w:hideMark/>
          </w:tcPr>
          <w:p w14:paraId="5B4828D4"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Who will use this product?</w:t>
            </w:r>
          </w:p>
        </w:tc>
        <w:tc>
          <w:tcPr>
            <w:tcW w:w="6742" w:type="dxa"/>
            <w:tcBorders>
              <w:top w:val="nil"/>
              <w:left w:val="single" w:sz="8" w:space="0" w:color="auto"/>
              <w:bottom w:val="single" w:sz="4" w:space="0" w:color="auto"/>
              <w:right w:val="single" w:sz="8" w:space="0" w:color="auto"/>
            </w:tcBorders>
            <w:hideMark/>
          </w:tcPr>
          <w:p w14:paraId="7A532641"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Students - mentorship, job referrals, career insights</w:t>
            </w:r>
          </w:p>
        </w:tc>
      </w:tr>
      <w:tr w:rsidR="007E7275" w:rsidRPr="007E7275" w14:paraId="6D87AA7F" w14:textId="77777777" w:rsidTr="00584AC3">
        <w:trPr>
          <w:trHeight w:val="504"/>
        </w:trPr>
        <w:tc>
          <w:tcPr>
            <w:tcW w:w="1780" w:type="dxa"/>
            <w:vMerge/>
            <w:tcBorders>
              <w:top w:val="nil"/>
              <w:left w:val="single" w:sz="8" w:space="0" w:color="auto"/>
              <w:bottom w:val="single" w:sz="8" w:space="0" w:color="000000"/>
              <w:right w:val="single" w:sz="8" w:space="0" w:color="auto"/>
            </w:tcBorders>
            <w:vAlign w:val="center"/>
            <w:hideMark/>
          </w:tcPr>
          <w:p w14:paraId="16FF6EB3"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60469441"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4" w:space="0" w:color="auto"/>
              <w:right w:val="single" w:sz="8" w:space="0" w:color="auto"/>
            </w:tcBorders>
            <w:hideMark/>
          </w:tcPr>
          <w:p w14:paraId="0EB2698B"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Alumni- networking, giving back, career storytelling</w:t>
            </w:r>
          </w:p>
        </w:tc>
      </w:tr>
      <w:tr w:rsidR="007E7275" w:rsidRPr="007E7275" w14:paraId="29DB5BB3" w14:textId="77777777" w:rsidTr="00584AC3">
        <w:trPr>
          <w:trHeight w:val="504"/>
        </w:trPr>
        <w:tc>
          <w:tcPr>
            <w:tcW w:w="1780" w:type="dxa"/>
            <w:vMerge/>
            <w:tcBorders>
              <w:top w:val="nil"/>
              <w:left w:val="single" w:sz="8" w:space="0" w:color="auto"/>
              <w:bottom w:val="single" w:sz="8" w:space="0" w:color="000000"/>
              <w:right w:val="single" w:sz="8" w:space="0" w:color="auto"/>
            </w:tcBorders>
            <w:vAlign w:val="center"/>
            <w:hideMark/>
          </w:tcPr>
          <w:p w14:paraId="08A4C266"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33C28B10"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4" w:space="0" w:color="auto"/>
              <w:right w:val="single" w:sz="8" w:space="0" w:color="auto"/>
            </w:tcBorders>
            <w:hideMark/>
          </w:tcPr>
          <w:p w14:paraId="495DADA4"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Employers/Recruiters</w:t>
            </w:r>
            <w:r w:rsidRPr="007E7275">
              <w:rPr>
                <w:rFonts w:ascii="Times New Roman" w:eastAsia="Times New Roman" w:hAnsi="Times New Roman" w:cs="Times New Roman"/>
                <w:b/>
                <w:bCs/>
                <w:color w:val="000000"/>
                <w:kern w:val="0"/>
                <w14:ligatures w14:val="none"/>
              </w:rPr>
              <w:t xml:space="preserve"> </w:t>
            </w:r>
            <w:r w:rsidRPr="007E7275">
              <w:rPr>
                <w:rFonts w:ascii="Times New Roman" w:eastAsia="Times New Roman" w:hAnsi="Times New Roman" w:cs="Times New Roman"/>
                <w:color w:val="000000"/>
                <w:kern w:val="0"/>
                <w14:ligatures w14:val="none"/>
              </w:rPr>
              <w:t>- talent discovery, skills insights</w:t>
            </w:r>
          </w:p>
        </w:tc>
      </w:tr>
      <w:tr w:rsidR="007E7275" w:rsidRPr="007E7275" w14:paraId="6AFCC5D9" w14:textId="77777777" w:rsidTr="00584AC3">
        <w:trPr>
          <w:trHeight w:val="394"/>
        </w:trPr>
        <w:tc>
          <w:tcPr>
            <w:tcW w:w="1780" w:type="dxa"/>
            <w:vMerge/>
            <w:tcBorders>
              <w:top w:val="nil"/>
              <w:left w:val="single" w:sz="8" w:space="0" w:color="auto"/>
              <w:bottom w:val="single" w:sz="8" w:space="0" w:color="000000"/>
              <w:right w:val="single" w:sz="8" w:space="0" w:color="auto"/>
            </w:tcBorders>
            <w:vAlign w:val="center"/>
            <w:hideMark/>
          </w:tcPr>
          <w:p w14:paraId="5F59A3D0"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0CEE4ED6"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8" w:space="0" w:color="auto"/>
              <w:right w:val="single" w:sz="8" w:space="0" w:color="auto"/>
            </w:tcBorders>
            <w:hideMark/>
          </w:tcPr>
          <w:p w14:paraId="2D532D47"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SLU Leadership &amp; Faculty - evidence-based decision-making</w:t>
            </w:r>
          </w:p>
        </w:tc>
      </w:tr>
      <w:tr w:rsidR="007E7275" w:rsidRPr="007E7275" w14:paraId="3BA1242C" w14:textId="77777777" w:rsidTr="00584AC3">
        <w:trPr>
          <w:trHeight w:val="1126"/>
        </w:trPr>
        <w:tc>
          <w:tcPr>
            <w:tcW w:w="1780" w:type="dxa"/>
            <w:tcBorders>
              <w:top w:val="nil"/>
              <w:left w:val="single" w:sz="8" w:space="0" w:color="auto"/>
              <w:bottom w:val="single" w:sz="8" w:space="0" w:color="auto"/>
              <w:right w:val="single" w:sz="8" w:space="0" w:color="auto"/>
            </w:tcBorders>
            <w:vAlign w:val="center"/>
            <w:hideMark/>
          </w:tcPr>
          <w:p w14:paraId="7E3EF37D"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Problem</w:t>
            </w:r>
          </w:p>
        </w:tc>
        <w:tc>
          <w:tcPr>
            <w:tcW w:w="1642" w:type="dxa"/>
            <w:tcBorders>
              <w:top w:val="nil"/>
              <w:left w:val="nil"/>
              <w:bottom w:val="single" w:sz="8" w:space="0" w:color="auto"/>
              <w:right w:val="nil"/>
            </w:tcBorders>
            <w:vAlign w:val="center"/>
            <w:hideMark/>
          </w:tcPr>
          <w:p w14:paraId="5010048F"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What pain point does it solve?</w:t>
            </w:r>
          </w:p>
        </w:tc>
        <w:tc>
          <w:tcPr>
            <w:tcW w:w="6742" w:type="dxa"/>
            <w:tcBorders>
              <w:top w:val="nil"/>
              <w:left w:val="single" w:sz="8" w:space="0" w:color="auto"/>
              <w:bottom w:val="single" w:sz="8" w:space="0" w:color="auto"/>
              <w:right w:val="single" w:sz="8" w:space="0" w:color="auto"/>
            </w:tcBorders>
            <w:hideMark/>
          </w:tcPr>
          <w:p w14:paraId="118BCF6C"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SLU lacks a centralized system to track alumni employment and employer engagement. This creates weak employer partnerships, limited curriculum alignment with industry needs, and missed opportunities to highlight alumni success.</w:t>
            </w:r>
          </w:p>
        </w:tc>
      </w:tr>
      <w:tr w:rsidR="007E7275" w:rsidRPr="007E7275" w14:paraId="3F95A093" w14:textId="77777777" w:rsidTr="00584AC3">
        <w:trPr>
          <w:trHeight w:val="1403"/>
        </w:trPr>
        <w:tc>
          <w:tcPr>
            <w:tcW w:w="1780" w:type="dxa"/>
            <w:tcBorders>
              <w:top w:val="nil"/>
              <w:left w:val="single" w:sz="8" w:space="0" w:color="auto"/>
              <w:bottom w:val="single" w:sz="8" w:space="0" w:color="auto"/>
              <w:right w:val="single" w:sz="8" w:space="0" w:color="auto"/>
            </w:tcBorders>
            <w:vAlign w:val="center"/>
            <w:hideMark/>
          </w:tcPr>
          <w:p w14:paraId="2FF57FD5"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Value Proposition</w:t>
            </w:r>
          </w:p>
        </w:tc>
        <w:tc>
          <w:tcPr>
            <w:tcW w:w="1642" w:type="dxa"/>
            <w:tcBorders>
              <w:top w:val="nil"/>
              <w:left w:val="nil"/>
              <w:bottom w:val="single" w:sz="8" w:space="0" w:color="auto"/>
              <w:right w:val="nil"/>
            </w:tcBorders>
            <w:vAlign w:val="center"/>
            <w:hideMark/>
          </w:tcPr>
          <w:p w14:paraId="7835CBAB"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Why is it valuable/different?</w:t>
            </w:r>
          </w:p>
        </w:tc>
        <w:tc>
          <w:tcPr>
            <w:tcW w:w="6742" w:type="dxa"/>
            <w:tcBorders>
              <w:top w:val="nil"/>
              <w:left w:val="single" w:sz="8" w:space="0" w:color="auto"/>
              <w:bottom w:val="single" w:sz="8" w:space="0" w:color="auto"/>
              <w:right w:val="single" w:sz="8" w:space="0" w:color="auto"/>
            </w:tcBorders>
            <w:hideMark/>
          </w:tcPr>
          <w:p w14:paraId="42D34F4A"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Provides real-time employer and alumni analytics in one platform, enabling stronger partnerships, data-informed curriculum updates, and higher employability outcomes. Differentiates by combining predictive analytics, mentorship features, and ethical compliance.</w:t>
            </w:r>
          </w:p>
        </w:tc>
      </w:tr>
      <w:tr w:rsidR="007E7275" w:rsidRPr="007E7275" w14:paraId="539B123C" w14:textId="77777777" w:rsidTr="00584AC3">
        <w:trPr>
          <w:trHeight w:val="538"/>
        </w:trPr>
        <w:tc>
          <w:tcPr>
            <w:tcW w:w="1780" w:type="dxa"/>
            <w:vMerge w:val="restart"/>
            <w:tcBorders>
              <w:top w:val="nil"/>
              <w:left w:val="single" w:sz="8" w:space="0" w:color="auto"/>
              <w:bottom w:val="single" w:sz="8" w:space="0" w:color="000000"/>
              <w:right w:val="single" w:sz="8" w:space="0" w:color="auto"/>
            </w:tcBorders>
            <w:vAlign w:val="center"/>
            <w:hideMark/>
          </w:tcPr>
          <w:p w14:paraId="6A3E074F"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Business Goals (Top 3)</w:t>
            </w:r>
          </w:p>
        </w:tc>
        <w:tc>
          <w:tcPr>
            <w:tcW w:w="1642" w:type="dxa"/>
            <w:vMerge w:val="restart"/>
            <w:tcBorders>
              <w:top w:val="nil"/>
              <w:left w:val="single" w:sz="8" w:space="0" w:color="auto"/>
              <w:bottom w:val="single" w:sz="8" w:space="0" w:color="000000"/>
              <w:right w:val="nil"/>
            </w:tcBorders>
            <w:vAlign w:val="center"/>
            <w:hideMark/>
          </w:tcPr>
          <w:p w14:paraId="68AB4EB8"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Which goals does it support?</w:t>
            </w:r>
          </w:p>
        </w:tc>
        <w:tc>
          <w:tcPr>
            <w:tcW w:w="6742" w:type="dxa"/>
            <w:tcBorders>
              <w:top w:val="nil"/>
              <w:left w:val="single" w:sz="8" w:space="0" w:color="auto"/>
              <w:bottom w:val="single" w:sz="4" w:space="0" w:color="auto"/>
              <w:right w:val="single" w:sz="8" w:space="0" w:color="auto"/>
            </w:tcBorders>
            <w:hideMark/>
          </w:tcPr>
          <w:p w14:paraId="0EF7CDB3"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1. Strengthen employer partnerships for jobs, internships, and research.</w:t>
            </w:r>
          </w:p>
        </w:tc>
      </w:tr>
      <w:tr w:rsidR="007E7275" w:rsidRPr="007E7275" w14:paraId="00610023" w14:textId="77777777" w:rsidTr="00584AC3">
        <w:trPr>
          <w:trHeight w:val="403"/>
        </w:trPr>
        <w:tc>
          <w:tcPr>
            <w:tcW w:w="1780" w:type="dxa"/>
            <w:vMerge/>
            <w:tcBorders>
              <w:top w:val="nil"/>
              <w:left w:val="single" w:sz="8" w:space="0" w:color="auto"/>
              <w:bottom w:val="single" w:sz="8" w:space="0" w:color="000000"/>
              <w:right w:val="single" w:sz="8" w:space="0" w:color="auto"/>
            </w:tcBorders>
            <w:vAlign w:val="center"/>
            <w:hideMark/>
          </w:tcPr>
          <w:p w14:paraId="7F176933"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402BCED3"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4" w:space="0" w:color="auto"/>
              <w:right w:val="single" w:sz="8" w:space="0" w:color="auto"/>
            </w:tcBorders>
            <w:hideMark/>
          </w:tcPr>
          <w:p w14:paraId="6BAA53E2"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2. Align curriculum with industry trends and in-demand skills.</w:t>
            </w:r>
          </w:p>
        </w:tc>
      </w:tr>
      <w:tr w:rsidR="007E7275" w:rsidRPr="007E7275" w14:paraId="5239E016" w14:textId="77777777" w:rsidTr="00584AC3">
        <w:trPr>
          <w:trHeight w:val="709"/>
        </w:trPr>
        <w:tc>
          <w:tcPr>
            <w:tcW w:w="1780" w:type="dxa"/>
            <w:vMerge/>
            <w:tcBorders>
              <w:top w:val="nil"/>
              <w:left w:val="single" w:sz="8" w:space="0" w:color="auto"/>
              <w:bottom w:val="single" w:sz="8" w:space="0" w:color="000000"/>
              <w:right w:val="single" w:sz="8" w:space="0" w:color="auto"/>
            </w:tcBorders>
            <w:vAlign w:val="center"/>
            <w:hideMark/>
          </w:tcPr>
          <w:p w14:paraId="244EFBEF"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0523C2AA"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nil"/>
              <w:right w:val="single" w:sz="8" w:space="0" w:color="auto"/>
            </w:tcBorders>
            <w:hideMark/>
          </w:tcPr>
          <w:p w14:paraId="47EFB685"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3. Increase alumni engagement in events, mentorship, and philanthropy.</w:t>
            </w:r>
          </w:p>
        </w:tc>
      </w:tr>
      <w:tr w:rsidR="007E7275" w:rsidRPr="007E7275" w14:paraId="0D4F2878" w14:textId="77777777" w:rsidTr="00584AC3">
        <w:trPr>
          <w:trHeight w:val="601"/>
        </w:trPr>
        <w:tc>
          <w:tcPr>
            <w:tcW w:w="1780" w:type="dxa"/>
            <w:vMerge w:val="restart"/>
            <w:tcBorders>
              <w:top w:val="nil"/>
              <w:left w:val="single" w:sz="8" w:space="0" w:color="auto"/>
              <w:bottom w:val="single" w:sz="8" w:space="0" w:color="000000"/>
              <w:right w:val="single" w:sz="8" w:space="0" w:color="auto"/>
            </w:tcBorders>
            <w:vAlign w:val="center"/>
            <w:hideMark/>
          </w:tcPr>
          <w:p w14:paraId="115688AF"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r w:rsidRPr="007E7275">
              <w:rPr>
                <w:rFonts w:ascii="Times New Roman" w:eastAsia="Times New Roman" w:hAnsi="Times New Roman" w:cs="Times New Roman"/>
                <w:b/>
                <w:bCs/>
                <w:color w:val="000000"/>
                <w:kern w:val="0"/>
                <w14:ligatures w14:val="none"/>
              </w:rPr>
              <w:t>Key Differentiators</w:t>
            </w:r>
          </w:p>
        </w:tc>
        <w:tc>
          <w:tcPr>
            <w:tcW w:w="1642" w:type="dxa"/>
            <w:vMerge w:val="restart"/>
            <w:tcBorders>
              <w:top w:val="nil"/>
              <w:left w:val="single" w:sz="8" w:space="0" w:color="auto"/>
              <w:bottom w:val="single" w:sz="8" w:space="0" w:color="000000"/>
              <w:right w:val="nil"/>
            </w:tcBorders>
            <w:vAlign w:val="center"/>
            <w:hideMark/>
          </w:tcPr>
          <w:p w14:paraId="3FC64923"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How is it unique?</w:t>
            </w:r>
          </w:p>
        </w:tc>
        <w:tc>
          <w:tcPr>
            <w:tcW w:w="6742" w:type="dxa"/>
            <w:tcBorders>
              <w:top w:val="single" w:sz="8" w:space="0" w:color="auto"/>
              <w:left w:val="single" w:sz="8" w:space="0" w:color="auto"/>
              <w:bottom w:val="single" w:sz="4" w:space="0" w:color="auto"/>
              <w:right w:val="single" w:sz="8" w:space="0" w:color="auto"/>
            </w:tcBorders>
            <w:hideMark/>
          </w:tcPr>
          <w:p w14:paraId="34F099F5"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Uses Educational Data Mining (EDM) and predictive modeling (career paths, skill forecasts).</w:t>
            </w:r>
          </w:p>
        </w:tc>
      </w:tr>
      <w:tr w:rsidR="007E7275" w:rsidRPr="007E7275" w14:paraId="25298DF5" w14:textId="77777777" w:rsidTr="00584AC3">
        <w:trPr>
          <w:trHeight w:val="504"/>
        </w:trPr>
        <w:tc>
          <w:tcPr>
            <w:tcW w:w="1780" w:type="dxa"/>
            <w:vMerge/>
            <w:tcBorders>
              <w:top w:val="nil"/>
              <w:left w:val="single" w:sz="8" w:space="0" w:color="auto"/>
              <w:bottom w:val="single" w:sz="8" w:space="0" w:color="000000"/>
              <w:right w:val="single" w:sz="8" w:space="0" w:color="auto"/>
            </w:tcBorders>
            <w:vAlign w:val="center"/>
            <w:hideMark/>
          </w:tcPr>
          <w:p w14:paraId="30D03C9E"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3FB235A4"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4" w:space="0" w:color="auto"/>
              <w:right w:val="single" w:sz="8" w:space="0" w:color="auto"/>
            </w:tcBorders>
            <w:hideMark/>
          </w:tcPr>
          <w:p w14:paraId="32C0AFEB"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Integrates alumni + employer data from LinkedIn, surveys, and SLU systems.</w:t>
            </w:r>
          </w:p>
        </w:tc>
      </w:tr>
      <w:tr w:rsidR="007E7275" w:rsidRPr="007E7275" w14:paraId="398B3C31" w14:textId="77777777" w:rsidTr="00584AC3">
        <w:trPr>
          <w:trHeight w:val="632"/>
        </w:trPr>
        <w:tc>
          <w:tcPr>
            <w:tcW w:w="1780" w:type="dxa"/>
            <w:vMerge/>
            <w:tcBorders>
              <w:top w:val="nil"/>
              <w:left w:val="single" w:sz="8" w:space="0" w:color="auto"/>
              <w:bottom w:val="single" w:sz="8" w:space="0" w:color="000000"/>
              <w:right w:val="single" w:sz="8" w:space="0" w:color="auto"/>
            </w:tcBorders>
            <w:vAlign w:val="center"/>
            <w:hideMark/>
          </w:tcPr>
          <w:p w14:paraId="4637C3B3" w14:textId="77777777" w:rsidR="007E7275" w:rsidRPr="007E7275" w:rsidRDefault="007E7275" w:rsidP="007E7275">
            <w:pPr>
              <w:spacing w:after="0" w:line="240" w:lineRule="auto"/>
              <w:rPr>
                <w:rFonts w:ascii="Times New Roman" w:eastAsia="Times New Roman" w:hAnsi="Times New Roman" w:cs="Times New Roman"/>
                <w:b/>
                <w:bCs/>
                <w:color w:val="000000"/>
                <w:kern w:val="0"/>
                <w14:ligatures w14:val="none"/>
              </w:rPr>
            </w:pPr>
          </w:p>
        </w:tc>
        <w:tc>
          <w:tcPr>
            <w:tcW w:w="1642" w:type="dxa"/>
            <w:vMerge/>
            <w:tcBorders>
              <w:top w:val="nil"/>
              <w:left w:val="single" w:sz="8" w:space="0" w:color="auto"/>
              <w:bottom w:val="single" w:sz="8" w:space="0" w:color="000000"/>
              <w:right w:val="nil"/>
            </w:tcBorders>
            <w:vAlign w:val="center"/>
            <w:hideMark/>
          </w:tcPr>
          <w:p w14:paraId="645B7FBE"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p>
        </w:tc>
        <w:tc>
          <w:tcPr>
            <w:tcW w:w="6742" w:type="dxa"/>
            <w:tcBorders>
              <w:top w:val="nil"/>
              <w:left w:val="single" w:sz="8" w:space="0" w:color="auto"/>
              <w:bottom w:val="single" w:sz="8" w:space="0" w:color="auto"/>
              <w:right w:val="single" w:sz="8" w:space="0" w:color="auto"/>
            </w:tcBorders>
            <w:hideMark/>
          </w:tcPr>
          <w:p w14:paraId="2540946F" w14:textId="77777777" w:rsidR="007E7275" w:rsidRPr="007E7275" w:rsidRDefault="007E7275" w:rsidP="007E7275">
            <w:pPr>
              <w:spacing w:after="0" w:line="240" w:lineRule="auto"/>
              <w:rPr>
                <w:rFonts w:ascii="Times New Roman" w:eastAsia="Times New Roman" w:hAnsi="Times New Roman" w:cs="Times New Roman"/>
                <w:color w:val="000000"/>
                <w:kern w:val="0"/>
                <w14:ligatures w14:val="none"/>
              </w:rPr>
            </w:pPr>
            <w:r w:rsidRPr="007E7275">
              <w:rPr>
                <w:rFonts w:ascii="Times New Roman" w:eastAsia="Times New Roman" w:hAnsi="Times New Roman" w:cs="Times New Roman"/>
                <w:color w:val="000000"/>
                <w:kern w:val="0"/>
                <w14:ligatures w14:val="none"/>
              </w:rPr>
              <w:t>Anchored in Jesuit values-promoting ethics, inclusivity, and cura personalis.</w:t>
            </w:r>
          </w:p>
        </w:tc>
      </w:tr>
    </w:tbl>
    <w:p w14:paraId="0C6CB0DA" w14:textId="1A8DB4DA" w:rsidR="00417388" w:rsidRDefault="00417388" w:rsidP="00031D8C">
      <w:pPr>
        <w:pStyle w:val="Heading2"/>
        <w:shd w:val="clear" w:color="auto" w:fill="FFFFFF"/>
        <w:spacing w:before="90" w:after="90"/>
        <w:rPr>
          <w:rFonts w:ascii="Times New Roman" w:eastAsia="Times New Roman" w:hAnsi="Times New Roman" w:cs="Times New Roman"/>
          <w:b/>
          <w:bCs/>
          <w:color w:val="000000" w:themeColor="text1"/>
          <w:kern w:val="36"/>
          <w:sz w:val="24"/>
          <w:szCs w:val="24"/>
          <w14:ligatures w14:val="none"/>
        </w:rPr>
      </w:pPr>
      <w:r>
        <w:rPr>
          <w:rFonts w:ascii="Times New Roman" w:eastAsia="Times New Roman" w:hAnsi="Times New Roman" w:cs="Times New Roman"/>
          <w:b/>
          <w:bCs/>
          <w:color w:val="000000" w:themeColor="text1"/>
          <w:kern w:val="36"/>
          <w:sz w:val="24"/>
          <w:szCs w:val="24"/>
          <w14:ligatures w14:val="none"/>
        </w:rPr>
        <w:t xml:space="preserve">Slide-2: </w:t>
      </w:r>
    </w:p>
    <w:p w14:paraId="03E4E4CB" w14:textId="4AA95A5F" w:rsidR="00417388" w:rsidRPr="00417388" w:rsidRDefault="00417388" w:rsidP="00417388">
      <w:r w:rsidRPr="00417388">
        <w:drawing>
          <wp:inline distT="0" distB="0" distL="0" distR="0" wp14:anchorId="5DFCBB76" wp14:editId="447F62B5">
            <wp:extent cx="5943600" cy="4457700"/>
            <wp:effectExtent l="0" t="0" r="0" b="0"/>
            <wp:docPr id="161757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7590" name=""/>
                    <pic:cNvPicPr/>
                  </pic:nvPicPr>
                  <pic:blipFill>
                    <a:blip r:embed="rId9"/>
                    <a:stretch>
                      <a:fillRect/>
                    </a:stretch>
                  </pic:blipFill>
                  <pic:spPr>
                    <a:xfrm>
                      <a:off x="0" y="0"/>
                      <a:ext cx="5943600" cy="4457700"/>
                    </a:xfrm>
                    <a:prstGeom prst="rect">
                      <a:avLst/>
                    </a:prstGeom>
                  </pic:spPr>
                </pic:pic>
              </a:graphicData>
            </a:graphic>
          </wp:inline>
        </w:drawing>
      </w:r>
    </w:p>
    <w:p w14:paraId="2EB0A10F" w14:textId="4B47614D" w:rsidR="000E3E98" w:rsidRPr="00031D8C" w:rsidRDefault="002467E3" w:rsidP="00031D8C">
      <w:pPr>
        <w:pStyle w:val="Heading2"/>
        <w:shd w:val="clear" w:color="auto" w:fill="FFFFFF"/>
        <w:spacing w:before="90" w:after="90"/>
        <w:rPr>
          <w:rFonts w:ascii="Times New Roman" w:eastAsia="Times New Roman" w:hAnsi="Times New Roman" w:cs="Times New Roman"/>
          <w:b/>
          <w:bCs/>
          <w:color w:val="000000" w:themeColor="text1"/>
          <w:kern w:val="36"/>
          <w:sz w:val="24"/>
          <w:szCs w:val="24"/>
          <w14:ligatures w14:val="none"/>
        </w:rPr>
      </w:pPr>
      <w:r w:rsidRPr="00031D8C">
        <w:rPr>
          <w:rFonts w:ascii="Times New Roman" w:eastAsia="Times New Roman" w:hAnsi="Times New Roman" w:cs="Times New Roman"/>
          <w:b/>
          <w:bCs/>
          <w:color w:val="000000" w:themeColor="text1"/>
          <w:kern w:val="36"/>
          <w:sz w:val="24"/>
          <w:szCs w:val="24"/>
          <w14:ligatures w14:val="none"/>
        </w:rPr>
        <w:t xml:space="preserve">2. </w:t>
      </w:r>
      <w:r w:rsidR="00B30FEB" w:rsidRPr="00031D8C">
        <w:rPr>
          <w:rFonts w:ascii="Times New Roman" w:eastAsia="Times New Roman" w:hAnsi="Times New Roman" w:cs="Times New Roman"/>
          <w:b/>
          <w:bCs/>
          <w:color w:val="000000" w:themeColor="text1"/>
          <w:kern w:val="36"/>
          <w:sz w:val="24"/>
          <w:szCs w:val="24"/>
          <w14:ligatures w14:val="none"/>
        </w:rPr>
        <w:t>Product Roadmap with MVP/MMP</w:t>
      </w:r>
      <w:r w:rsidR="000E3E98" w:rsidRPr="00031D8C">
        <w:rPr>
          <w:rFonts w:ascii="Times New Roman" w:eastAsia="Times New Roman" w:hAnsi="Times New Roman" w:cs="Times New Roman"/>
          <w:b/>
          <w:bCs/>
          <w:color w:val="000000" w:themeColor="text1"/>
          <w:kern w:val="36"/>
          <w:sz w:val="24"/>
          <w:szCs w:val="24"/>
          <w14:ligatures w14:val="none"/>
        </w:rPr>
        <w:t>:</w:t>
      </w:r>
    </w:p>
    <w:p w14:paraId="06BAAE55" w14:textId="2F973DB8" w:rsidR="002467E3" w:rsidRPr="00031D8C" w:rsidRDefault="002467E3" w:rsidP="009B2CB7">
      <w:pPr>
        <w:spacing w:line="360" w:lineRule="auto"/>
        <w:jc w:val="both"/>
        <w:rPr>
          <w:rFonts w:ascii="Times New Roman" w:hAnsi="Times New Roman" w:cs="Times New Roman"/>
          <w:color w:val="000000" w:themeColor="text1"/>
        </w:rPr>
      </w:pPr>
      <w:r w:rsidRPr="00031D8C">
        <w:rPr>
          <w:rFonts w:ascii="Times New Roman" w:hAnsi="Times New Roman" w:cs="Times New Roman"/>
          <w:color w:val="000000" w:themeColor="text1"/>
        </w:rPr>
        <w:t xml:space="preserve">The Product Roadmap for </w:t>
      </w:r>
      <w:r w:rsidRPr="009B2CB7">
        <w:rPr>
          <w:rStyle w:val="Strong"/>
          <w:rFonts w:ascii="Times New Roman" w:hAnsi="Times New Roman" w:cs="Times New Roman"/>
          <w:b w:val="0"/>
          <w:bCs w:val="0"/>
          <w:color w:val="000000" w:themeColor="text1"/>
        </w:rPr>
        <w:t>SLU Alumni Connect</w:t>
      </w:r>
      <w:r w:rsidRPr="00031D8C">
        <w:rPr>
          <w:rFonts w:ascii="Times New Roman" w:hAnsi="Times New Roman" w:cs="Times New Roman"/>
          <w:color w:val="000000" w:themeColor="text1"/>
        </w:rPr>
        <w:t xml:space="preserve"> is designed in two phases</w:t>
      </w:r>
      <w:r w:rsidR="009B2CB7">
        <w:rPr>
          <w:rFonts w:ascii="Times New Roman" w:hAnsi="Times New Roman" w:cs="Times New Roman"/>
          <w:color w:val="000000" w:themeColor="text1"/>
        </w:rPr>
        <w:t xml:space="preserve"> </w:t>
      </w:r>
      <w:r w:rsidRPr="00031D8C">
        <w:rPr>
          <w:rFonts w:ascii="Times New Roman" w:hAnsi="Times New Roman" w:cs="Times New Roman"/>
          <w:color w:val="000000" w:themeColor="text1"/>
        </w:rPr>
        <w:t>MVP to test the core idea and MMP to make it ready for wider use. The MVP focuses on essentials like an Alumni Employment Dashboard, Employer Insights Dashboard, Mentorship Matching, and secure data pipelines to centralize alumni information and build stronger partnerships (Romero &amp; Ventura, 2010; BCG, 2022; UPCEA, 2024). The MMP then adds deeper features such as Skills Demand Analytics, Career Path Modeling, Alumni Engagement Scoring, and Event Management to align with industry needs and encourage ongoing alumni involvement (Romero &amp; Ventura, 2024; Safavi et al., 2018; USHE, 2024). At each step, ethical practices</w:t>
      </w:r>
      <w:r w:rsidR="00031D8C" w:rsidRPr="00031D8C">
        <w:rPr>
          <w:rFonts w:ascii="Times New Roman" w:hAnsi="Times New Roman" w:cs="Times New Roman"/>
          <w:color w:val="000000" w:themeColor="text1"/>
        </w:rPr>
        <w:t xml:space="preserve"> </w:t>
      </w:r>
      <w:r w:rsidRPr="00031D8C">
        <w:rPr>
          <w:rFonts w:ascii="Times New Roman" w:hAnsi="Times New Roman" w:cs="Times New Roman"/>
          <w:color w:val="000000" w:themeColor="text1"/>
        </w:rPr>
        <w:t>privacy, fairness, and inclusivity</w:t>
      </w:r>
      <w:r w:rsidR="00031D8C" w:rsidRPr="00031D8C">
        <w:rPr>
          <w:rFonts w:ascii="Times New Roman" w:hAnsi="Times New Roman" w:cs="Times New Roman"/>
          <w:color w:val="000000" w:themeColor="text1"/>
        </w:rPr>
        <w:t xml:space="preserve"> </w:t>
      </w:r>
      <w:r w:rsidRPr="00031D8C">
        <w:rPr>
          <w:rFonts w:ascii="Times New Roman" w:hAnsi="Times New Roman" w:cs="Times New Roman"/>
          <w:color w:val="000000" w:themeColor="text1"/>
        </w:rPr>
        <w:t>guide design choices (</w:t>
      </w:r>
      <w:proofErr w:type="spellStart"/>
      <w:r w:rsidRPr="00031D8C">
        <w:rPr>
          <w:rFonts w:ascii="Times New Roman" w:hAnsi="Times New Roman" w:cs="Times New Roman"/>
          <w:color w:val="000000" w:themeColor="text1"/>
        </w:rPr>
        <w:t>Okewu</w:t>
      </w:r>
      <w:proofErr w:type="spellEnd"/>
      <w:r w:rsidRPr="00031D8C">
        <w:rPr>
          <w:rFonts w:ascii="Times New Roman" w:hAnsi="Times New Roman" w:cs="Times New Roman"/>
          <w:color w:val="000000" w:themeColor="text1"/>
        </w:rPr>
        <w:t>, 2021), keeping the platform both effective and responsible.</w:t>
      </w:r>
    </w:p>
    <w:p w14:paraId="7852C425" w14:textId="5A1050D7" w:rsidR="009A1D84" w:rsidRPr="00031D8C" w:rsidRDefault="00031D8C" w:rsidP="009B2CB7">
      <w:pPr>
        <w:pStyle w:val="Heading3"/>
        <w:ind w:left="360"/>
        <w:rPr>
          <w:rFonts w:ascii="Times New Roman" w:hAnsi="Times New Roman" w:cs="Times New Roman"/>
          <w:b/>
          <w:bCs/>
          <w:color w:val="000000" w:themeColor="text1"/>
          <w:sz w:val="24"/>
          <w:szCs w:val="24"/>
        </w:rPr>
      </w:pPr>
      <w:r w:rsidRPr="00031D8C">
        <w:rPr>
          <w:rFonts w:ascii="Times New Roman" w:hAnsi="Times New Roman" w:cs="Times New Roman"/>
          <w:b/>
          <w:bCs/>
          <w:color w:val="000000" w:themeColor="text1"/>
          <w:sz w:val="24"/>
          <w:szCs w:val="24"/>
        </w:rPr>
        <w:t xml:space="preserve">2.1 </w:t>
      </w:r>
      <w:r w:rsidR="009A1D84" w:rsidRPr="00031D8C">
        <w:rPr>
          <w:rFonts w:ascii="Times New Roman" w:hAnsi="Times New Roman" w:cs="Times New Roman"/>
          <w:b/>
          <w:bCs/>
          <w:color w:val="000000" w:themeColor="text1"/>
          <w:sz w:val="24"/>
          <w:szCs w:val="24"/>
        </w:rPr>
        <w:t>Goals of SLU Alumni Connect</w:t>
      </w:r>
    </w:p>
    <w:p w14:paraId="1A3BBA2D" w14:textId="77777777" w:rsidR="009A1D84" w:rsidRPr="00031D8C" w:rsidRDefault="009A1D84" w:rsidP="009B2CB7">
      <w:pPr>
        <w:pStyle w:val="NormalWeb"/>
        <w:numPr>
          <w:ilvl w:val="0"/>
          <w:numId w:val="37"/>
        </w:numPr>
        <w:tabs>
          <w:tab w:val="clear" w:pos="720"/>
          <w:tab w:val="num" w:pos="1080"/>
        </w:tabs>
        <w:spacing w:line="360" w:lineRule="auto"/>
        <w:ind w:left="1080"/>
        <w:jc w:val="both"/>
      </w:pPr>
      <w:r w:rsidRPr="00031D8C">
        <w:rPr>
          <w:rStyle w:val="Strong"/>
          <w:rFonts w:eastAsiaTheme="majorEastAsia"/>
        </w:rPr>
        <w:t>Strengthen Employer Partnerships</w:t>
      </w:r>
      <w:r w:rsidRPr="00031D8C">
        <w:t xml:space="preserve"> – Build stronger ties with companies through insights on alumni employment and industry trends.</w:t>
      </w:r>
    </w:p>
    <w:p w14:paraId="0062180F" w14:textId="77777777" w:rsidR="009A1D84" w:rsidRPr="00031D8C" w:rsidRDefault="009A1D84" w:rsidP="009B2CB7">
      <w:pPr>
        <w:pStyle w:val="NormalWeb"/>
        <w:numPr>
          <w:ilvl w:val="0"/>
          <w:numId w:val="37"/>
        </w:numPr>
        <w:tabs>
          <w:tab w:val="clear" w:pos="720"/>
          <w:tab w:val="num" w:pos="1080"/>
        </w:tabs>
        <w:spacing w:line="360" w:lineRule="auto"/>
        <w:ind w:left="1080"/>
        <w:jc w:val="both"/>
      </w:pPr>
      <w:r w:rsidRPr="00031D8C">
        <w:rPr>
          <w:rStyle w:val="Strong"/>
          <w:rFonts w:eastAsiaTheme="majorEastAsia"/>
        </w:rPr>
        <w:t>Align Curriculum with Industry Needs</w:t>
      </w:r>
      <w:r w:rsidRPr="00031D8C">
        <w:t xml:space="preserve"> – Use alumni and employer data to identify in-demand skills and update courses accordingly.</w:t>
      </w:r>
    </w:p>
    <w:p w14:paraId="4E41A468" w14:textId="77777777" w:rsidR="009A1D84" w:rsidRPr="00031D8C" w:rsidRDefault="009A1D84" w:rsidP="009B2CB7">
      <w:pPr>
        <w:pStyle w:val="NormalWeb"/>
        <w:numPr>
          <w:ilvl w:val="0"/>
          <w:numId w:val="37"/>
        </w:numPr>
        <w:tabs>
          <w:tab w:val="clear" w:pos="720"/>
          <w:tab w:val="num" w:pos="1080"/>
        </w:tabs>
        <w:spacing w:line="360" w:lineRule="auto"/>
        <w:ind w:left="1080"/>
        <w:jc w:val="both"/>
      </w:pPr>
      <w:r w:rsidRPr="00031D8C">
        <w:rPr>
          <w:rStyle w:val="Strong"/>
          <w:rFonts w:eastAsiaTheme="majorEastAsia"/>
        </w:rPr>
        <w:t>Increase Alumni Engagement</w:t>
      </w:r>
      <w:r w:rsidRPr="00031D8C">
        <w:t xml:space="preserve"> – Connect alumni with students, encourage mentoring, event participation, and long-term involvement.</w:t>
      </w:r>
    </w:p>
    <w:p w14:paraId="30542465" w14:textId="4B73A676" w:rsidR="00D7251B" w:rsidRPr="00031D8C" w:rsidRDefault="00BB2659" w:rsidP="00D7251B">
      <w:pPr>
        <w:pStyle w:val="NormalWeb"/>
        <w:jc w:val="center"/>
      </w:pPr>
      <w:r w:rsidRPr="00031D8C">
        <w:drawing>
          <wp:inline distT="0" distB="0" distL="0" distR="0" wp14:anchorId="2DAB1D0C" wp14:editId="59EEC305">
            <wp:extent cx="5135525" cy="3176928"/>
            <wp:effectExtent l="0" t="0" r="0" b="0"/>
            <wp:docPr id="1259169825" name="Picture 1" descr="A diagram of a product go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9825" name="Picture 1" descr="A diagram of a product goals&#10;&#10;AI-generated content may be incorrect."/>
                    <pic:cNvPicPr/>
                  </pic:nvPicPr>
                  <pic:blipFill>
                    <a:blip r:embed="rId10"/>
                    <a:stretch>
                      <a:fillRect/>
                    </a:stretch>
                  </pic:blipFill>
                  <pic:spPr>
                    <a:xfrm>
                      <a:off x="0" y="0"/>
                      <a:ext cx="5179698" cy="3204254"/>
                    </a:xfrm>
                    <a:prstGeom prst="rect">
                      <a:avLst/>
                    </a:prstGeom>
                  </pic:spPr>
                </pic:pic>
              </a:graphicData>
            </a:graphic>
          </wp:inline>
        </w:drawing>
      </w:r>
    </w:p>
    <w:p w14:paraId="070FAF99" w14:textId="3E923362" w:rsidR="004B3576" w:rsidRPr="00031D8C" w:rsidRDefault="00031D8C" w:rsidP="009B2CB7">
      <w:pPr>
        <w:ind w:left="720"/>
        <w:jc w:val="both"/>
        <w:rPr>
          <w:rFonts w:ascii="Times New Roman" w:hAnsi="Times New Roman" w:cs="Times New Roman"/>
          <w:b/>
          <w:bCs/>
          <w:color w:val="000000" w:themeColor="text1"/>
        </w:rPr>
      </w:pPr>
      <w:r w:rsidRPr="00031D8C">
        <w:rPr>
          <w:rFonts w:ascii="Times New Roman" w:hAnsi="Times New Roman" w:cs="Times New Roman"/>
          <w:b/>
          <w:bCs/>
          <w:color w:val="000000" w:themeColor="text1"/>
        </w:rPr>
        <w:t>2.2 MoSCoW Prioritization</w:t>
      </w:r>
    </w:p>
    <w:tbl>
      <w:tblPr>
        <w:tblW w:w="10430" w:type="dxa"/>
        <w:tblLook w:val="04A0" w:firstRow="1" w:lastRow="0" w:firstColumn="1" w:lastColumn="0" w:noHBand="0" w:noVBand="1"/>
      </w:tblPr>
      <w:tblGrid>
        <w:gridCol w:w="2600"/>
        <w:gridCol w:w="3150"/>
        <w:gridCol w:w="2250"/>
        <w:gridCol w:w="2430"/>
      </w:tblGrid>
      <w:tr w:rsidR="008747B0" w:rsidRPr="008747B0" w14:paraId="6930CA94" w14:textId="77777777" w:rsidTr="0035391F">
        <w:trPr>
          <w:trHeight w:val="678"/>
        </w:trPr>
        <w:tc>
          <w:tcPr>
            <w:tcW w:w="10430" w:type="dxa"/>
            <w:gridSpan w:val="4"/>
            <w:tcBorders>
              <w:top w:val="single" w:sz="8" w:space="0" w:color="auto"/>
              <w:left w:val="single" w:sz="8" w:space="0" w:color="auto"/>
              <w:bottom w:val="single" w:sz="8" w:space="0" w:color="auto"/>
              <w:right w:val="single" w:sz="8" w:space="0" w:color="000000"/>
            </w:tcBorders>
            <w:shd w:val="clear" w:color="000000" w:fill="4D93D9"/>
            <w:noWrap/>
            <w:vAlign w:val="center"/>
            <w:hideMark/>
          </w:tcPr>
          <w:p w14:paraId="450197FE" w14:textId="77777777" w:rsidR="008747B0" w:rsidRPr="008747B0" w:rsidRDefault="008747B0" w:rsidP="008747B0">
            <w:pPr>
              <w:spacing w:after="0" w:line="240" w:lineRule="auto"/>
              <w:jc w:val="center"/>
              <w:rPr>
                <w:rFonts w:ascii="Times New Roman" w:eastAsia="Times New Roman" w:hAnsi="Times New Roman" w:cs="Times New Roman"/>
                <w:b/>
                <w:bCs/>
                <w:color w:val="000000"/>
                <w:kern w:val="0"/>
                <w14:ligatures w14:val="none"/>
              </w:rPr>
            </w:pPr>
            <w:r w:rsidRPr="008747B0">
              <w:rPr>
                <w:rFonts w:ascii="Times New Roman" w:eastAsia="Times New Roman" w:hAnsi="Times New Roman" w:cs="Times New Roman"/>
                <w:b/>
                <w:bCs/>
                <w:color w:val="000000"/>
                <w:kern w:val="0"/>
                <w14:ligatures w14:val="none"/>
              </w:rPr>
              <w:t>MoSCoW Prioritization</w:t>
            </w:r>
          </w:p>
        </w:tc>
      </w:tr>
      <w:tr w:rsidR="008747B0" w:rsidRPr="008747B0" w14:paraId="0C22E807" w14:textId="77777777" w:rsidTr="0035391F">
        <w:trPr>
          <w:trHeight w:val="742"/>
        </w:trPr>
        <w:tc>
          <w:tcPr>
            <w:tcW w:w="2600" w:type="dxa"/>
            <w:tcBorders>
              <w:top w:val="nil"/>
              <w:left w:val="single" w:sz="8" w:space="0" w:color="auto"/>
              <w:bottom w:val="nil"/>
              <w:right w:val="single" w:sz="8" w:space="0" w:color="auto"/>
            </w:tcBorders>
            <w:vAlign w:val="center"/>
            <w:hideMark/>
          </w:tcPr>
          <w:p w14:paraId="0FD891C5" w14:textId="77777777" w:rsidR="008747B0" w:rsidRPr="008747B0" w:rsidRDefault="008747B0" w:rsidP="008747B0">
            <w:pPr>
              <w:spacing w:after="0" w:line="240" w:lineRule="auto"/>
              <w:jc w:val="center"/>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 xml:space="preserve">Must-Have </w:t>
            </w:r>
            <w:r w:rsidRPr="008747B0">
              <w:rPr>
                <w:rFonts w:ascii="Times New Roman" w:eastAsia="Times New Roman" w:hAnsi="Times New Roman" w:cs="Times New Roman"/>
                <w:color w:val="000000"/>
                <w:kern w:val="0"/>
                <w14:ligatures w14:val="none"/>
              </w:rPr>
              <w:br/>
              <w:t>(MVP – Critical to Launch)</w:t>
            </w:r>
          </w:p>
        </w:tc>
        <w:tc>
          <w:tcPr>
            <w:tcW w:w="3150" w:type="dxa"/>
            <w:tcBorders>
              <w:top w:val="nil"/>
              <w:left w:val="nil"/>
              <w:bottom w:val="nil"/>
              <w:right w:val="single" w:sz="8" w:space="0" w:color="auto"/>
            </w:tcBorders>
            <w:vAlign w:val="center"/>
            <w:hideMark/>
          </w:tcPr>
          <w:p w14:paraId="025CEBAA" w14:textId="77777777" w:rsidR="008747B0" w:rsidRPr="008747B0" w:rsidRDefault="008747B0" w:rsidP="008747B0">
            <w:pPr>
              <w:spacing w:after="0" w:line="240" w:lineRule="auto"/>
              <w:jc w:val="center"/>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 xml:space="preserve">Should-Have </w:t>
            </w:r>
            <w:r w:rsidRPr="008747B0">
              <w:rPr>
                <w:rFonts w:ascii="Times New Roman" w:eastAsia="Times New Roman" w:hAnsi="Times New Roman" w:cs="Times New Roman"/>
                <w:color w:val="000000"/>
                <w:kern w:val="0"/>
                <w14:ligatures w14:val="none"/>
              </w:rPr>
              <w:br/>
              <w:t>(MMP – Important Next Phase)</w:t>
            </w:r>
          </w:p>
        </w:tc>
        <w:tc>
          <w:tcPr>
            <w:tcW w:w="2250" w:type="dxa"/>
            <w:tcBorders>
              <w:top w:val="nil"/>
              <w:left w:val="nil"/>
              <w:bottom w:val="nil"/>
              <w:right w:val="single" w:sz="8" w:space="0" w:color="auto"/>
            </w:tcBorders>
            <w:vAlign w:val="center"/>
            <w:hideMark/>
          </w:tcPr>
          <w:p w14:paraId="41C99BF8" w14:textId="77777777" w:rsidR="008747B0" w:rsidRPr="008747B0" w:rsidRDefault="008747B0" w:rsidP="008747B0">
            <w:pPr>
              <w:spacing w:after="0" w:line="240" w:lineRule="auto"/>
              <w:jc w:val="center"/>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 xml:space="preserve">Could-Have </w:t>
            </w:r>
            <w:r w:rsidRPr="008747B0">
              <w:rPr>
                <w:rFonts w:ascii="Times New Roman" w:eastAsia="Times New Roman" w:hAnsi="Times New Roman" w:cs="Times New Roman"/>
                <w:color w:val="000000"/>
                <w:kern w:val="0"/>
                <w14:ligatures w14:val="none"/>
              </w:rPr>
              <w:br/>
              <w:t>(Future Enhancements)</w:t>
            </w:r>
          </w:p>
        </w:tc>
        <w:tc>
          <w:tcPr>
            <w:tcW w:w="2430" w:type="dxa"/>
            <w:tcBorders>
              <w:top w:val="nil"/>
              <w:left w:val="nil"/>
              <w:bottom w:val="nil"/>
              <w:right w:val="single" w:sz="8" w:space="0" w:color="auto"/>
            </w:tcBorders>
            <w:vAlign w:val="center"/>
            <w:hideMark/>
          </w:tcPr>
          <w:p w14:paraId="6E71504F" w14:textId="77777777" w:rsidR="008747B0" w:rsidRPr="008747B0" w:rsidRDefault="008747B0" w:rsidP="008747B0">
            <w:pPr>
              <w:spacing w:after="0" w:line="240" w:lineRule="auto"/>
              <w:jc w:val="center"/>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 xml:space="preserve">Won’t-Have </w:t>
            </w:r>
            <w:r w:rsidRPr="008747B0">
              <w:rPr>
                <w:rFonts w:ascii="Times New Roman" w:eastAsia="Times New Roman" w:hAnsi="Times New Roman" w:cs="Times New Roman"/>
                <w:color w:val="000000"/>
                <w:kern w:val="0"/>
                <w14:ligatures w14:val="none"/>
              </w:rPr>
              <w:br/>
              <w:t>(At this stage, future roadmap)</w:t>
            </w:r>
          </w:p>
        </w:tc>
      </w:tr>
      <w:tr w:rsidR="008747B0" w:rsidRPr="008747B0" w14:paraId="113D4876" w14:textId="77777777" w:rsidTr="0035391F">
        <w:trPr>
          <w:trHeight w:val="3499"/>
        </w:trPr>
        <w:tc>
          <w:tcPr>
            <w:tcW w:w="2600" w:type="dxa"/>
            <w:tcBorders>
              <w:top w:val="single" w:sz="8" w:space="0" w:color="auto"/>
              <w:left w:val="single" w:sz="8" w:space="0" w:color="auto"/>
              <w:bottom w:val="single" w:sz="4" w:space="0" w:color="auto"/>
              <w:right w:val="single" w:sz="8" w:space="0" w:color="auto"/>
            </w:tcBorders>
            <w:hideMark/>
          </w:tcPr>
          <w:p w14:paraId="322C1BA7" w14:textId="29CAE74B" w:rsidR="008747B0" w:rsidRPr="008747B0" w:rsidRDefault="008747B0" w:rsidP="0035391F">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color w:val="000000"/>
                <w:kern w:val="0"/>
                <w14:ligatures w14:val="none"/>
              </w:rPr>
              <w:t xml:space="preserve">• Alumni Employment </w:t>
            </w:r>
            <w:r w:rsidRPr="00031D8C">
              <w:rPr>
                <w:rFonts w:ascii="Times New Roman" w:eastAsia="Times New Roman" w:hAnsi="Times New Roman" w:cs="Times New Roman"/>
                <w:color w:val="000000"/>
                <w:kern w:val="0"/>
                <w14:ligatures w14:val="none"/>
              </w:rPr>
              <w:t>Dashboard baseline</w:t>
            </w:r>
            <w:r w:rsidRPr="008747B0">
              <w:rPr>
                <w:rFonts w:ascii="Times New Roman" w:eastAsia="Times New Roman" w:hAnsi="Times New Roman" w:cs="Times New Roman"/>
                <w:color w:val="000000"/>
                <w:kern w:val="0"/>
                <w14:ligatures w14:val="none"/>
              </w:rPr>
              <w:t xml:space="preserve"> alumni outcomes by company, industry, geography.</w:t>
            </w:r>
            <w:r w:rsidRPr="008747B0">
              <w:rPr>
                <w:rFonts w:ascii="Times New Roman" w:eastAsia="Times New Roman" w:hAnsi="Times New Roman" w:cs="Times New Roman"/>
                <w:color w:val="000000"/>
                <w:kern w:val="0"/>
                <w14:ligatures w14:val="none"/>
              </w:rPr>
              <w:br/>
              <w:t xml:space="preserve">• Employer Insights </w:t>
            </w:r>
            <w:r w:rsidRPr="00031D8C">
              <w:rPr>
                <w:rFonts w:ascii="Times New Roman" w:eastAsia="Times New Roman" w:hAnsi="Times New Roman" w:cs="Times New Roman"/>
                <w:color w:val="000000"/>
                <w:kern w:val="0"/>
                <w14:ligatures w14:val="none"/>
              </w:rPr>
              <w:t>Dashboard shows</w:t>
            </w:r>
            <w:r w:rsidRPr="008747B0">
              <w:rPr>
                <w:rFonts w:ascii="Times New Roman" w:eastAsia="Times New Roman" w:hAnsi="Times New Roman" w:cs="Times New Roman"/>
                <w:color w:val="000000"/>
                <w:kern w:val="0"/>
                <w14:ligatures w14:val="none"/>
              </w:rPr>
              <w:t xml:space="preserve"> top recruiters, industries, skills demand.</w:t>
            </w:r>
            <w:r w:rsidRPr="008747B0">
              <w:rPr>
                <w:rFonts w:ascii="Times New Roman" w:eastAsia="Times New Roman" w:hAnsi="Times New Roman" w:cs="Times New Roman"/>
                <w:color w:val="000000"/>
                <w:kern w:val="0"/>
                <w14:ligatures w14:val="none"/>
              </w:rPr>
              <w:br/>
              <w:t xml:space="preserve">• Alumni–Student Mentorship </w:t>
            </w:r>
            <w:r w:rsidRPr="00031D8C">
              <w:rPr>
                <w:rFonts w:ascii="Times New Roman" w:eastAsia="Times New Roman" w:hAnsi="Times New Roman" w:cs="Times New Roman"/>
                <w:color w:val="000000"/>
                <w:kern w:val="0"/>
                <w14:ligatures w14:val="none"/>
              </w:rPr>
              <w:t>Matching core</w:t>
            </w:r>
            <w:r w:rsidRPr="008747B0">
              <w:rPr>
                <w:rFonts w:ascii="Times New Roman" w:eastAsia="Times New Roman" w:hAnsi="Times New Roman" w:cs="Times New Roman"/>
                <w:color w:val="000000"/>
                <w:kern w:val="0"/>
                <w14:ligatures w14:val="none"/>
              </w:rPr>
              <w:t xml:space="preserve"> engagement feature for students.</w:t>
            </w:r>
            <w:r w:rsidRPr="008747B0">
              <w:rPr>
                <w:rFonts w:ascii="Times New Roman" w:eastAsia="Times New Roman" w:hAnsi="Times New Roman" w:cs="Times New Roman"/>
                <w:color w:val="000000"/>
                <w:kern w:val="0"/>
                <w14:ligatures w14:val="none"/>
              </w:rPr>
              <w:br/>
              <w:t xml:space="preserve">• Secure Data Integration </w:t>
            </w:r>
            <w:r w:rsidR="00031D8C" w:rsidRPr="00031D8C">
              <w:rPr>
                <w:rFonts w:ascii="Times New Roman" w:eastAsia="Times New Roman" w:hAnsi="Times New Roman" w:cs="Times New Roman"/>
                <w:color w:val="000000"/>
                <w:kern w:val="0"/>
                <w14:ligatures w14:val="none"/>
              </w:rPr>
              <w:t>Pipelines:</w:t>
            </w:r>
            <w:r w:rsidRPr="008747B0">
              <w:rPr>
                <w:rFonts w:ascii="Times New Roman" w:eastAsia="Times New Roman" w:hAnsi="Times New Roman" w:cs="Times New Roman"/>
                <w:color w:val="000000"/>
                <w:kern w:val="0"/>
                <w14:ligatures w14:val="none"/>
              </w:rPr>
              <w:t xml:space="preserve">  ETL (MySQL + LinkedIn + survey data) to power dashboards</w:t>
            </w:r>
          </w:p>
        </w:tc>
        <w:tc>
          <w:tcPr>
            <w:tcW w:w="3150" w:type="dxa"/>
            <w:tcBorders>
              <w:top w:val="single" w:sz="8" w:space="0" w:color="auto"/>
              <w:left w:val="nil"/>
              <w:bottom w:val="single" w:sz="4" w:space="0" w:color="auto"/>
              <w:right w:val="single" w:sz="8" w:space="0" w:color="auto"/>
            </w:tcBorders>
            <w:hideMark/>
          </w:tcPr>
          <w:p w14:paraId="612D979A" w14:textId="3D825E64" w:rsidR="008747B0" w:rsidRPr="008747B0" w:rsidRDefault="008747B0" w:rsidP="0035391F">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color w:val="000000"/>
                <w:kern w:val="0"/>
                <w14:ligatures w14:val="none"/>
              </w:rPr>
              <w:t>• Skills Demand Analytics:  identify trending skills from alumni career data.</w:t>
            </w:r>
            <w:r w:rsidRPr="008747B0">
              <w:rPr>
                <w:rFonts w:ascii="Times New Roman" w:eastAsia="Times New Roman" w:hAnsi="Times New Roman" w:cs="Times New Roman"/>
                <w:color w:val="000000"/>
                <w:kern w:val="0"/>
                <w14:ligatures w14:val="none"/>
              </w:rPr>
              <w:br/>
              <w:t xml:space="preserve">• Alumni Engagement Scoring </w:t>
            </w:r>
            <w:r w:rsidRPr="00031D8C">
              <w:rPr>
                <w:rFonts w:ascii="Times New Roman" w:eastAsia="Times New Roman" w:hAnsi="Times New Roman" w:cs="Times New Roman"/>
                <w:color w:val="000000"/>
                <w:kern w:val="0"/>
                <w14:ligatures w14:val="none"/>
              </w:rPr>
              <w:t>System:</w:t>
            </w:r>
            <w:r w:rsidRPr="008747B0">
              <w:rPr>
                <w:rFonts w:ascii="Times New Roman" w:eastAsia="Times New Roman" w:hAnsi="Times New Roman" w:cs="Times New Roman"/>
                <w:color w:val="000000"/>
                <w:kern w:val="0"/>
                <w14:ligatures w14:val="none"/>
              </w:rPr>
              <w:t xml:space="preserve"> track contributions (mentorship, events, donations).</w:t>
            </w:r>
            <w:r w:rsidRPr="008747B0">
              <w:rPr>
                <w:rFonts w:ascii="Times New Roman" w:eastAsia="Times New Roman" w:hAnsi="Times New Roman" w:cs="Times New Roman"/>
                <w:color w:val="000000"/>
                <w:kern w:val="0"/>
                <w14:ligatures w14:val="none"/>
              </w:rPr>
              <w:br/>
              <w:t>• Event Management &amp; Tracking: alumni/student participation and feedback.</w:t>
            </w:r>
            <w:r w:rsidRPr="008747B0">
              <w:rPr>
                <w:rFonts w:ascii="Times New Roman" w:eastAsia="Times New Roman" w:hAnsi="Times New Roman" w:cs="Times New Roman"/>
                <w:color w:val="000000"/>
                <w:kern w:val="0"/>
                <w14:ligatures w14:val="none"/>
              </w:rPr>
              <w:br/>
              <w:t>• Predictive Career Trajectory Modeling: visualize alumni growth pathways for advising.</w:t>
            </w:r>
          </w:p>
        </w:tc>
        <w:tc>
          <w:tcPr>
            <w:tcW w:w="2250" w:type="dxa"/>
            <w:tcBorders>
              <w:top w:val="single" w:sz="8" w:space="0" w:color="auto"/>
              <w:left w:val="nil"/>
              <w:bottom w:val="single" w:sz="4" w:space="0" w:color="auto"/>
              <w:right w:val="single" w:sz="8" w:space="0" w:color="auto"/>
            </w:tcBorders>
            <w:hideMark/>
          </w:tcPr>
          <w:p w14:paraId="2D1DE928" w14:textId="1BCA0124" w:rsidR="008747B0" w:rsidRPr="008747B0" w:rsidRDefault="008747B0" w:rsidP="0035391F">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color w:val="000000"/>
                <w:kern w:val="0"/>
                <w14:ligatures w14:val="none"/>
              </w:rPr>
              <w:t>• Gamification Features:  badges, leaderboards for active alumni contributors.</w:t>
            </w:r>
            <w:r w:rsidRPr="008747B0">
              <w:rPr>
                <w:rFonts w:ascii="Times New Roman" w:eastAsia="Times New Roman" w:hAnsi="Times New Roman" w:cs="Times New Roman"/>
                <w:color w:val="000000"/>
                <w:kern w:val="0"/>
                <w14:ligatures w14:val="none"/>
              </w:rPr>
              <w:br/>
              <w:t xml:space="preserve">• Mobile App </w:t>
            </w:r>
            <w:r w:rsidRPr="00031D8C">
              <w:rPr>
                <w:rFonts w:ascii="Times New Roman" w:eastAsia="Times New Roman" w:hAnsi="Times New Roman" w:cs="Times New Roman"/>
                <w:color w:val="000000"/>
                <w:kern w:val="0"/>
                <w14:ligatures w14:val="none"/>
              </w:rPr>
              <w:t>Version:</w:t>
            </w:r>
            <w:r w:rsidRPr="008747B0">
              <w:rPr>
                <w:rFonts w:ascii="Times New Roman" w:eastAsia="Times New Roman" w:hAnsi="Times New Roman" w:cs="Times New Roman"/>
                <w:color w:val="000000"/>
                <w:kern w:val="0"/>
                <w14:ligatures w14:val="none"/>
              </w:rPr>
              <w:t xml:space="preserve">  expands access, improves usability for global alumni.</w:t>
            </w:r>
            <w:r w:rsidRPr="008747B0">
              <w:rPr>
                <w:rFonts w:ascii="Times New Roman" w:eastAsia="Times New Roman" w:hAnsi="Times New Roman" w:cs="Times New Roman"/>
                <w:color w:val="000000"/>
                <w:kern w:val="0"/>
                <w14:ligatures w14:val="none"/>
              </w:rPr>
              <w:br/>
              <w:t xml:space="preserve">• Job Board </w:t>
            </w:r>
            <w:r w:rsidRPr="00031D8C">
              <w:rPr>
                <w:rFonts w:ascii="Times New Roman" w:eastAsia="Times New Roman" w:hAnsi="Times New Roman" w:cs="Times New Roman"/>
                <w:color w:val="000000"/>
                <w:kern w:val="0"/>
                <w14:ligatures w14:val="none"/>
              </w:rPr>
              <w:t>Integrations:</w:t>
            </w:r>
            <w:r w:rsidRPr="008747B0">
              <w:rPr>
                <w:rFonts w:ascii="Times New Roman" w:eastAsia="Times New Roman" w:hAnsi="Times New Roman" w:cs="Times New Roman"/>
                <w:color w:val="000000"/>
                <w:kern w:val="0"/>
                <w14:ligatures w14:val="none"/>
              </w:rPr>
              <w:t xml:space="preserve">  connect with Indeed, Glassdoor, LinkedIn.</w:t>
            </w:r>
          </w:p>
        </w:tc>
        <w:tc>
          <w:tcPr>
            <w:tcW w:w="2430" w:type="dxa"/>
            <w:tcBorders>
              <w:top w:val="single" w:sz="8" w:space="0" w:color="auto"/>
              <w:left w:val="nil"/>
              <w:bottom w:val="single" w:sz="4" w:space="0" w:color="auto"/>
              <w:right w:val="single" w:sz="8" w:space="0" w:color="auto"/>
            </w:tcBorders>
            <w:hideMark/>
          </w:tcPr>
          <w:p w14:paraId="6F8660D2" w14:textId="52DA0B3F" w:rsidR="008747B0" w:rsidRPr="008747B0" w:rsidRDefault="008747B0" w:rsidP="0035391F">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color w:val="000000"/>
                <w:kern w:val="0"/>
                <w14:ligatures w14:val="none"/>
              </w:rPr>
              <w:t xml:space="preserve">• AI Chatbot for Career </w:t>
            </w:r>
            <w:r w:rsidRPr="00031D8C">
              <w:rPr>
                <w:rFonts w:ascii="Times New Roman" w:eastAsia="Times New Roman" w:hAnsi="Times New Roman" w:cs="Times New Roman"/>
                <w:color w:val="000000"/>
                <w:kern w:val="0"/>
                <w14:ligatures w14:val="none"/>
              </w:rPr>
              <w:t>Counseling:</w:t>
            </w:r>
            <w:r w:rsidRPr="008747B0">
              <w:rPr>
                <w:rFonts w:ascii="Times New Roman" w:eastAsia="Times New Roman" w:hAnsi="Times New Roman" w:cs="Times New Roman"/>
                <w:color w:val="000000"/>
                <w:kern w:val="0"/>
                <w14:ligatures w14:val="none"/>
              </w:rPr>
              <w:t xml:space="preserve"> advanced functionality for later phases.</w:t>
            </w:r>
            <w:r w:rsidRPr="008747B0">
              <w:rPr>
                <w:rFonts w:ascii="Times New Roman" w:eastAsia="Times New Roman" w:hAnsi="Times New Roman" w:cs="Times New Roman"/>
                <w:color w:val="000000"/>
                <w:kern w:val="0"/>
                <w14:ligatures w14:val="none"/>
              </w:rPr>
              <w:br/>
              <w:t>• Blockchain Credential Verification:  long-term innovation for trust/security.</w:t>
            </w:r>
          </w:p>
        </w:tc>
      </w:tr>
      <w:tr w:rsidR="008747B0" w:rsidRPr="008747B0" w14:paraId="04EF32EB" w14:textId="77777777" w:rsidTr="0035391F">
        <w:trPr>
          <w:trHeight w:val="1463"/>
        </w:trPr>
        <w:tc>
          <w:tcPr>
            <w:tcW w:w="2600" w:type="dxa"/>
            <w:tcBorders>
              <w:top w:val="nil"/>
              <w:left w:val="single" w:sz="8" w:space="0" w:color="auto"/>
              <w:bottom w:val="single" w:sz="8" w:space="0" w:color="auto"/>
              <w:right w:val="single" w:sz="8" w:space="0" w:color="auto"/>
            </w:tcBorders>
            <w:hideMark/>
          </w:tcPr>
          <w:p w14:paraId="77118731" w14:textId="77777777" w:rsidR="008747B0" w:rsidRPr="008747B0" w:rsidRDefault="008747B0" w:rsidP="008747B0">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Reason:</w:t>
            </w:r>
            <w:r w:rsidRPr="008747B0">
              <w:rPr>
                <w:rFonts w:ascii="Times New Roman" w:eastAsia="Times New Roman" w:hAnsi="Times New Roman" w:cs="Times New Roman"/>
                <w:color w:val="000000"/>
                <w:kern w:val="0"/>
                <w14:ligatures w14:val="none"/>
              </w:rPr>
              <w:t xml:space="preserve"> These are foundational to proving value quickly and achieving all 3 goals (partnerships, curriculum alignment, engagement).</w:t>
            </w:r>
          </w:p>
        </w:tc>
        <w:tc>
          <w:tcPr>
            <w:tcW w:w="3150" w:type="dxa"/>
            <w:tcBorders>
              <w:top w:val="nil"/>
              <w:left w:val="nil"/>
              <w:bottom w:val="single" w:sz="8" w:space="0" w:color="auto"/>
              <w:right w:val="single" w:sz="8" w:space="0" w:color="auto"/>
            </w:tcBorders>
            <w:hideMark/>
          </w:tcPr>
          <w:p w14:paraId="767C6912" w14:textId="77777777" w:rsidR="008747B0" w:rsidRPr="008747B0" w:rsidRDefault="008747B0" w:rsidP="008747B0">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Reason:</w:t>
            </w:r>
            <w:r w:rsidRPr="008747B0">
              <w:rPr>
                <w:rFonts w:ascii="Times New Roman" w:eastAsia="Times New Roman" w:hAnsi="Times New Roman" w:cs="Times New Roman"/>
                <w:color w:val="000000"/>
                <w:kern w:val="0"/>
                <w14:ligatures w14:val="none"/>
              </w:rPr>
              <w:t xml:space="preserve"> These add depth and long-term value once MVP adoption is proven</w:t>
            </w:r>
          </w:p>
        </w:tc>
        <w:tc>
          <w:tcPr>
            <w:tcW w:w="2250" w:type="dxa"/>
            <w:tcBorders>
              <w:top w:val="nil"/>
              <w:left w:val="nil"/>
              <w:bottom w:val="single" w:sz="8" w:space="0" w:color="auto"/>
              <w:right w:val="single" w:sz="8" w:space="0" w:color="auto"/>
            </w:tcBorders>
            <w:hideMark/>
          </w:tcPr>
          <w:p w14:paraId="1DD7C490" w14:textId="77777777" w:rsidR="008747B0" w:rsidRPr="008747B0" w:rsidRDefault="008747B0" w:rsidP="008747B0">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Reason:</w:t>
            </w:r>
            <w:r w:rsidRPr="008747B0">
              <w:rPr>
                <w:rFonts w:ascii="Times New Roman" w:eastAsia="Times New Roman" w:hAnsi="Times New Roman" w:cs="Times New Roman"/>
                <w:color w:val="000000"/>
                <w:kern w:val="0"/>
                <w14:ligatures w14:val="none"/>
              </w:rPr>
              <w:t xml:space="preserve"> Enhances user experience but not essential for MVP/MMP rollout.</w:t>
            </w:r>
          </w:p>
        </w:tc>
        <w:tc>
          <w:tcPr>
            <w:tcW w:w="2430" w:type="dxa"/>
            <w:tcBorders>
              <w:top w:val="nil"/>
              <w:left w:val="nil"/>
              <w:bottom w:val="single" w:sz="8" w:space="0" w:color="auto"/>
              <w:right w:val="single" w:sz="8" w:space="0" w:color="auto"/>
            </w:tcBorders>
            <w:hideMark/>
          </w:tcPr>
          <w:p w14:paraId="799C86E0" w14:textId="77777777" w:rsidR="008747B0" w:rsidRPr="008747B0" w:rsidRDefault="008747B0" w:rsidP="00031D8C">
            <w:pPr>
              <w:spacing w:after="0" w:line="240" w:lineRule="auto"/>
              <w:rPr>
                <w:rFonts w:ascii="Times New Roman" w:eastAsia="Times New Roman" w:hAnsi="Times New Roman" w:cs="Times New Roman"/>
                <w:color w:val="000000"/>
                <w:kern w:val="0"/>
                <w14:ligatures w14:val="none"/>
              </w:rPr>
            </w:pPr>
            <w:r w:rsidRPr="008747B0">
              <w:rPr>
                <w:rFonts w:ascii="Times New Roman" w:eastAsia="Times New Roman" w:hAnsi="Times New Roman" w:cs="Times New Roman"/>
                <w:b/>
                <w:bCs/>
                <w:color w:val="000000"/>
                <w:kern w:val="0"/>
                <w14:ligatures w14:val="none"/>
              </w:rPr>
              <w:t>Reason:</w:t>
            </w:r>
            <w:r w:rsidRPr="008747B0">
              <w:rPr>
                <w:rFonts w:ascii="Times New Roman" w:eastAsia="Times New Roman" w:hAnsi="Times New Roman" w:cs="Times New Roman"/>
                <w:color w:val="000000"/>
                <w:kern w:val="0"/>
                <w14:ligatures w14:val="none"/>
              </w:rPr>
              <w:t xml:space="preserve"> Requires heavy investment and is not critical in first 2 phases.</w:t>
            </w:r>
          </w:p>
        </w:tc>
      </w:tr>
    </w:tbl>
    <w:p w14:paraId="6C7BD548" w14:textId="53D233AD" w:rsidR="00022EFC" w:rsidRPr="00031D8C" w:rsidRDefault="00022EFC" w:rsidP="007A41A1">
      <w:pPr>
        <w:rPr>
          <w:rFonts w:ascii="Times New Roman" w:hAnsi="Times New Roman" w:cs="Times New Roman"/>
          <w:b/>
          <w:bCs/>
        </w:rPr>
      </w:pPr>
    </w:p>
    <w:p w14:paraId="16EA0FEF" w14:textId="43F48DB1" w:rsidR="00031D8C" w:rsidRPr="00031D8C" w:rsidRDefault="00031D8C" w:rsidP="009B2CB7">
      <w:pPr>
        <w:ind w:left="720"/>
        <w:rPr>
          <w:rFonts w:ascii="Times New Roman" w:hAnsi="Times New Roman" w:cs="Times New Roman"/>
          <w:b/>
          <w:bCs/>
        </w:rPr>
      </w:pPr>
      <w:r w:rsidRPr="00031D8C">
        <w:rPr>
          <w:rFonts w:ascii="Times New Roman" w:hAnsi="Times New Roman" w:cs="Times New Roman"/>
          <w:b/>
          <w:bCs/>
        </w:rPr>
        <w:t xml:space="preserve">2.3 Product RoadMap: </w:t>
      </w:r>
    </w:p>
    <w:tbl>
      <w:tblPr>
        <w:tblW w:w="10542" w:type="dxa"/>
        <w:tblLook w:val="04A0" w:firstRow="1" w:lastRow="0" w:firstColumn="1" w:lastColumn="0" w:noHBand="0" w:noVBand="1"/>
      </w:tblPr>
      <w:tblGrid>
        <w:gridCol w:w="1160"/>
        <w:gridCol w:w="2790"/>
        <w:gridCol w:w="3534"/>
        <w:gridCol w:w="3058"/>
      </w:tblGrid>
      <w:tr w:rsidR="00AE4789" w:rsidRPr="00420F66" w14:paraId="1B633BE4" w14:textId="77777777" w:rsidTr="00CD6D8A">
        <w:trPr>
          <w:trHeight w:val="697"/>
        </w:trPr>
        <w:tc>
          <w:tcPr>
            <w:tcW w:w="10542" w:type="dxa"/>
            <w:gridSpan w:val="4"/>
            <w:tcBorders>
              <w:top w:val="single" w:sz="8" w:space="0" w:color="auto"/>
              <w:left w:val="single" w:sz="8" w:space="0" w:color="auto"/>
              <w:bottom w:val="single" w:sz="8" w:space="0" w:color="auto"/>
              <w:right w:val="single" w:sz="8" w:space="0" w:color="000000"/>
            </w:tcBorders>
            <w:shd w:val="clear" w:color="000000" w:fill="4D93D9"/>
            <w:noWrap/>
            <w:vAlign w:val="center"/>
            <w:hideMark/>
          </w:tcPr>
          <w:p w14:paraId="1F9E6A5D"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Product RoadMap</w:t>
            </w:r>
          </w:p>
        </w:tc>
      </w:tr>
      <w:tr w:rsidR="00AE4789" w:rsidRPr="00420F66" w14:paraId="46AF95C7" w14:textId="77777777" w:rsidTr="00CD6D8A">
        <w:trPr>
          <w:trHeight w:val="577"/>
        </w:trPr>
        <w:tc>
          <w:tcPr>
            <w:tcW w:w="1160" w:type="dxa"/>
            <w:tcBorders>
              <w:top w:val="nil"/>
              <w:left w:val="single" w:sz="8" w:space="0" w:color="auto"/>
              <w:bottom w:val="single" w:sz="8" w:space="0" w:color="auto"/>
              <w:right w:val="nil"/>
            </w:tcBorders>
            <w:vAlign w:val="center"/>
            <w:hideMark/>
          </w:tcPr>
          <w:p w14:paraId="48FD65F4"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Phase</w:t>
            </w:r>
          </w:p>
        </w:tc>
        <w:tc>
          <w:tcPr>
            <w:tcW w:w="2790" w:type="dxa"/>
            <w:tcBorders>
              <w:top w:val="nil"/>
              <w:left w:val="single" w:sz="8" w:space="0" w:color="auto"/>
              <w:bottom w:val="single" w:sz="8" w:space="0" w:color="auto"/>
              <w:right w:val="single" w:sz="8" w:space="0" w:color="auto"/>
            </w:tcBorders>
            <w:vAlign w:val="center"/>
            <w:hideMark/>
          </w:tcPr>
          <w:p w14:paraId="3C3D3076"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Features</w:t>
            </w:r>
          </w:p>
        </w:tc>
        <w:tc>
          <w:tcPr>
            <w:tcW w:w="3534" w:type="dxa"/>
            <w:tcBorders>
              <w:top w:val="nil"/>
              <w:left w:val="nil"/>
              <w:bottom w:val="single" w:sz="8" w:space="0" w:color="auto"/>
              <w:right w:val="single" w:sz="4" w:space="0" w:color="auto"/>
            </w:tcBorders>
            <w:vAlign w:val="center"/>
            <w:hideMark/>
          </w:tcPr>
          <w:p w14:paraId="1278EB26"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Description</w:t>
            </w:r>
          </w:p>
        </w:tc>
        <w:tc>
          <w:tcPr>
            <w:tcW w:w="3058" w:type="dxa"/>
            <w:tcBorders>
              <w:top w:val="nil"/>
              <w:left w:val="nil"/>
              <w:bottom w:val="single" w:sz="8" w:space="0" w:color="auto"/>
              <w:right w:val="single" w:sz="8" w:space="0" w:color="auto"/>
            </w:tcBorders>
            <w:vAlign w:val="center"/>
            <w:hideMark/>
          </w:tcPr>
          <w:p w14:paraId="43E1C0D5"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Ethical Considerations</w:t>
            </w:r>
          </w:p>
        </w:tc>
      </w:tr>
      <w:tr w:rsidR="00AE4789" w:rsidRPr="00420F66" w14:paraId="78072C2B" w14:textId="77777777" w:rsidTr="00CD6D8A">
        <w:trPr>
          <w:trHeight w:val="677"/>
        </w:trPr>
        <w:tc>
          <w:tcPr>
            <w:tcW w:w="1160" w:type="dxa"/>
            <w:vMerge w:val="restart"/>
            <w:tcBorders>
              <w:top w:val="nil"/>
              <w:left w:val="single" w:sz="8" w:space="0" w:color="auto"/>
              <w:bottom w:val="single" w:sz="4" w:space="0" w:color="auto"/>
              <w:right w:val="nil"/>
            </w:tcBorders>
            <w:vAlign w:val="center"/>
            <w:hideMark/>
          </w:tcPr>
          <w:p w14:paraId="5911CA6F"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MVP (Phase 1)</w:t>
            </w:r>
          </w:p>
        </w:tc>
        <w:tc>
          <w:tcPr>
            <w:tcW w:w="2790" w:type="dxa"/>
            <w:tcBorders>
              <w:top w:val="nil"/>
              <w:left w:val="single" w:sz="8" w:space="0" w:color="auto"/>
              <w:bottom w:val="single" w:sz="4" w:space="0" w:color="auto"/>
              <w:right w:val="single" w:sz="8" w:space="0" w:color="auto"/>
            </w:tcBorders>
            <w:vAlign w:val="bottom"/>
            <w:hideMark/>
          </w:tcPr>
          <w:p w14:paraId="1A8FE7AF"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Alumni Employment Dashboard </w:t>
            </w:r>
            <w:r w:rsidRPr="00420F66">
              <w:rPr>
                <w:rFonts w:ascii="Times New Roman" w:eastAsia="Times New Roman" w:hAnsi="Times New Roman" w:cs="Times New Roman"/>
                <w:i/>
                <w:iCs/>
                <w:color w:val="000000"/>
                <w:kern w:val="0"/>
                <w14:ligatures w14:val="none"/>
              </w:rPr>
              <w:t>(Devaki)</w:t>
            </w:r>
          </w:p>
        </w:tc>
        <w:tc>
          <w:tcPr>
            <w:tcW w:w="3534" w:type="dxa"/>
            <w:tcBorders>
              <w:top w:val="nil"/>
              <w:left w:val="nil"/>
              <w:bottom w:val="single" w:sz="4" w:space="0" w:color="auto"/>
              <w:right w:val="single" w:sz="8" w:space="0" w:color="auto"/>
            </w:tcBorders>
            <w:vAlign w:val="bottom"/>
            <w:hideMark/>
          </w:tcPr>
          <w:p w14:paraId="1DB7D282"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Shows alumni outcomes by company, industry, and geography.</w:t>
            </w:r>
          </w:p>
        </w:tc>
        <w:tc>
          <w:tcPr>
            <w:tcW w:w="3058" w:type="dxa"/>
            <w:tcBorders>
              <w:top w:val="nil"/>
              <w:left w:val="nil"/>
              <w:bottom w:val="single" w:sz="4" w:space="0" w:color="auto"/>
              <w:right w:val="single" w:sz="8" w:space="0" w:color="auto"/>
            </w:tcBorders>
            <w:vAlign w:val="bottom"/>
            <w:hideMark/>
          </w:tcPr>
          <w:p w14:paraId="301385F7"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Privacy – ensure FERPA/GDPR compliance.</w:t>
            </w:r>
          </w:p>
        </w:tc>
      </w:tr>
      <w:tr w:rsidR="00AE4789" w:rsidRPr="00420F66" w14:paraId="6EA8ED29" w14:textId="77777777" w:rsidTr="00CD6D8A">
        <w:trPr>
          <w:trHeight w:val="677"/>
        </w:trPr>
        <w:tc>
          <w:tcPr>
            <w:tcW w:w="1160" w:type="dxa"/>
            <w:vMerge/>
            <w:tcBorders>
              <w:top w:val="nil"/>
              <w:left w:val="single" w:sz="8" w:space="0" w:color="auto"/>
              <w:bottom w:val="single" w:sz="4" w:space="0" w:color="auto"/>
              <w:right w:val="nil"/>
            </w:tcBorders>
            <w:vAlign w:val="center"/>
            <w:hideMark/>
          </w:tcPr>
          <w:p w14:paraId="46366CD9"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4" w:space="0" w:color="auto"/>
              <w:right w:val="single" w:sz="8" w:space="0" w:color="auto"/>
            </w:tcBorders>
            <w:vAlign w:val="bottom"/>
            <w:hideMark/>
          </w:tcPr>
          <w:p w14:paraId="30FAAB02"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Employer Insights Dashboard </w:t>
            </w:r>
            <w:r w:rsidRPr="00420F66">
              <w:rPr>
                <w:rFonts w:ascii="Times New Roman" w:eastAsia="Times New Roman" w:hAnsi="Times New Roman" w:cs="Times New Roman"/>
                <w:i/>
                <w:iCs/>
                <w:color w:val="000000"/>
                <w:kern w:val="0"/>
                <w14:ligatures w14:val="none"/>
              </w:rPr>
              <w:t>(Keerthi)</w:t>
            </w:r>
          </w:p>
        </w:tc>
        <w:tc>
          <w:tcPr>
            <w:tcW w:w="3534" w:type="dxa"/>
            <w:tcBorders>
              <w:top w:val="nil"/>
              <w:left w:val="nil"/>
              <w:bottom w:val="single" w:sz="4" w:space="0" w:color="auto"/>
              <w:right w:val="single" w:sz="8" w:space="0" w:color="auto"/>
            </w:tcBorders>
            <w:vAlign w:val="bottom"/>
            <w:hideMark/>
          </w:tcPr>
          <w:p w14:paraId="1B7F2DF7"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Highlights top recruiters, industries, and in-demand skills.</w:t>
            </w:r>
          </w:p>
        </w:tc>
        <w:tc>
          <w:tcPr>
            <w:tcW w:w="3058" w:type="dxa"/>
            <w:tcBorders>
              <w:top w:val="nil"/>
              <w:left w:val="nil"/>
              <w:bottom w:val="single" w:sz="4" w:space="0" w:color="auto"/>
              <w:right w:val="single" w:sz="8" w:space="0" w:color="auto"/>
            </w:tcBorders>
            <w:vAlign w:val="bottom"/>
            <w:hideMark/>
          </w:tcPr>
          <w:p w14:paraId="79132615"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Transparency – avoid biased or misleading data.</w:t>
            </w:r>
          </w:p>
        </w:tc>
      </w:tr>
      <w:tr w:rsidR="00AE4789" w:rsidRPr="00420F66" w14:paraId="0A5B2ABB" w14:textId="77777777" w:rsidTr="00CD6D8A">
        <w:trPr>
          <w:trHeight w:val="677"/>
        </w:trPr>
        <w:tc>
          <w:tcPr>
            <w:tcW w:w="1160" w:type="dxa"/>
            <w:vMerge/>
            <w:tcBorders>
              <w:top w:val="nil"/>
              <w:left w:val="single" w:sz="8" w:space="0" w:color="auto"/>
              <w:bottom w:val="single" w:sz="4" w:space="0" w:color="auto"/>
              <w:right w:val="nil"/>
            </w:tcBorders>
            <w:vAlign w:val="center"/>
            <w:hideMark/>
          </w:tcPr>
          <w:p w14:paraId="619F2F8F"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4" w:space="0" w:color="auto"/>
              <w:right w:val="single" w:sz="8" w:space="0" w:color="auto"/>
            </w:tcBorders>
            <w:vAlign w:val="bottom"/>
            <w:hideMark/>
          </w:tcPr>
          <w:p w14:paraId="32F06FEB"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Alumni–Student Mentorship Matching </w:t>
            </w:r>
            <w:r w:rsidRPr="00420F66">
              <w:rPr>
                <w:rFonts w:ascii="Times New Roman" w:eastAsia="Times New Roman" w:hAnsi="Times New Roman" w:cs="Times New Roman"/>
                <w:i/>
                <w:iCs/>
                <w:color w:val="000000"/>
                <w:kern w:val="0"/>
                <w14:ligatures w14:val="none"/>
              </w:rPr>
              <w:t>(Sanjeev)</w:t>
            </w:r>
          </w:p>
        </w:tc>
        <w:tc>
          <w:tcPr>
            <w:tcW w:w="3534" w:type="dxa"/>
            <w:tcBorders>
              <w:top w:val="nil"/>
              <w:left w:val="nil"/>
              <w:bottom w:val="single" w:sz="4" w:space="0" w:color="auto"/>
              <w:right w:val="single" w:sz="8" w:space="0" w:color="auto"/>
            </w:tcBorders>
            <w:vAlign w:val="bottom"/>
            <w:hideMark/>
          </w:tcPr>
          <w:p w14:paraId="4D026496"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Connects students with alumni mentors by skills, branch, and goals.</w:t>
            </w:r>
          </w:p>
        </w:tc>
        <w:tc>
          <w:tcPr>
            <w:tcW w:w="3058" w:type="dxa"/>
            <w:tcBorders>
              <w:top w:val="nil"/>
              <w:left w:val="nil"/>
              <w:bottom w:val="single" w:sz="4" w:space="0" w:color="auto"/>
              <w:right w:val="single" w:sz="8" w:space="0" w:color="auto"/>
            </w:tcBorders>
            <w:vAlign w:val="bottom"/>
            <w:hideMark/>
          </w:tcPr>
          <w:p w14:paraId="6FD99CA4"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Inclusivity – fair matching across demographics.</w:t>
            </w:r>
          </w:p>
        </w:tc>
      </w:tr>
      <w:tr w:rsidR="00AE4789" w:rsidRPr="00420F66" w14:paraId="205D7074" w14:textId="77777777" w:rsidTr="00CD6D8A">
        <w:trPr>
          <w:trHeight w:val="677"/>
        </w:trPr>
        <w:tc>
          <w:tcPr>
            <w:tcW w:w="1160" w:type="dxa"/>
            <w:vMerge/>
            <w:tcBorders>
              <w:top w:val="nil"/>
              <w:left w:val="single" w:sz="8" w:space="0" w:color="auto"/>
              <w:bottom w:val="single" w:sz="4" w:space="0" w:color="auto"/>
              <w:right w:val="nil"/>
            </w:tcBorders>
            <w:vAlign w:val="center"/>
            <w:hideMark/>
          </w:tcPr>
          <w:p w14:paraId="6682F1AB"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4" w:space="0" w:color="auto"/>
              <w:right w:val="single" w:sz="8" w:space="0" w:color="auto"/>
            </w:tcBorders>
            <w:vAlign w:val="bottom"/>
            <w:hideMark/>
          </w:tcPr>
          <w:p w14:paraId="487E0DA1"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Secure Data Integration Pipelines </w:t>
            </w:r>
            <w:r w:rsidRPr="00420F66">
              <w:rPr>
                <w:rFonts w:ascii="Times New Roman" w:eastAsia="Times New Roman" w:hAnsi="Times New Roman" w:cs="Times New Roman"/>
                <w:i/>
                <w:iCs/>
                <w:color w:val="000000"/>
                <w:kern w:val="0"/>
                <w14:ligatures w14:val="none"/>
              </w:rPr>
              <w:t>(Harsha)</w:t>
            </w:r>
          </w:p>
        </w:tc>
        <w:tc>
          <w:tcPr>
            <w:tcW w:w="3534" w:type="dxa"/>
            <w:tcBorders>
              <w:top w:val="nil"/>
              <w:left w:val="nil"/>
              <w:bottom w:val="single" w:sz="4" w:space="0" w:color="auto"/>
              <w:right w:val="single" w:sz="8" w:space="0" w:color="auto"/>
            </w:tcBorders>
            <w:vAlign w:val="bottom"/>
            <w:hideMark/>
          </w:tcPr>
          <w:p w14:paraId="26DDB188"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Collects and unifies data from LinkedIn, surveys, and SLU systems.</w:t>
            </w:r>
          </w:p>
        </w:tc>
        <w:tc>
          <w:tcPr>
            <w:tcW w:w="3058" w:type="dxa"/>
            <w:tcBorders>
              <w:top w:val="nil"/>
              <w:left w:val="nil"/>
              <w:bottom w:val="single" w:sz="4" w:space="0" w:color="auto"/>
              <w:right w:val="single" w:sz="8" w:space="0" w:color="auto"/>
            </w:tcBorders>
            <w:vAlign w:val="bottom"/>
            <w:hideMark/>
          </w:tcPr>
          <w:p w14:paraId="21F0724B"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Security – encryption, consent, and restricted access.</w:t>
            </w:r>
          </w:p>
        </w:tc>
      </w:tr>
      <w:tr w:rsidR="00AE4789" w:rsidRPr="00420F66" w14:paraId="08FE9925" w14:textId="77777777" w:rsidTr="00CD6D8A">
        <w:trPr>
          <w:trHeight w:val="697"/>
        </w:trPr>
        <w:tc>
          <w:tcPr>
            <w:tcW w:w="1160" w:type="dxa"/>
            <w:vMerge/>
            <w:tcBorders>
              <w:top w:val="nil"/>
              <w:left w:val="single" w:sz="8" w:space="0" w:color="auto"/>
              <w:bottom w:val="single" w:sz="4" w:space="0" w:color="auto"/>
              <w:right w:val="nil"/>
            </w:tcBorders>
            <w:vAlign w:val="center"/>
            <w:hideMark/>
          </w:tcPr>
          <w:p w14:paraId="3BAFD760"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8" w:space="0" w:color="auto"/>
              <w:right w:val="single" w:sz="8" w:space="0" w:color="auto"/>
            </w:tcBorders>
            <w:vAlign w:val="bottom"/>
            <w:hideMark/>
          </w:tcPr>
          <w:p w14:paraId="63E6516B"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Basic Reporting &amp; Visualization </w:t>
            </w:r>
            <w:r w:rsidRPr="00420F66">
              <w:rPr>
                <w:rFonts w:ascii="Times New Roman" w:eastAsia="Times New Roman" w:hAnsi="Times New Roman" w:cs="Times New Roman"/>
                <w:i/>
                <w:iCs/>
                <w:color w:val="000000"/>
                <w:kern w:val="0"/>
                <w14:ligatures w14:val="none"/>
              </w:rPr>
              <w:t>(Lasya)</w:t>
            </w:r>
          </w:p>
        </w:tc>
        <w:tc>
          <w:tcPr>
            <w:tcW w:w="3534" w:type="dxa"/>
            <w:tcBorders>
              <w:top w:val="nil"/>
              <w:left w:val="nil"/>
              <w:bottom w:val="single" w:sz="8" w:space="0" w:color="auto"/>
              <w:right w:val="single" w:sz="8" w:space="0" w:color="auto"/>
            </w:tcBorders>
            <w:vAlign w:val="bottom"/>
            <w:hideMark/>
          </w:tcPr>
          <w:p w14:paraId="15CE6405"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Provides simple reports for leadership and faculty.</w:t>
            </w:r>
          </w:p>
        </w:tc>
        <w:tc>
          <w:tcPr>
            <w:tcW w:w="3058" w:type="dxa"/>
            <w:tcBorders>
              <w:top w:val="nil"/>
              <w:left w:val="nil"/>
              <w:bottom w:val="single" w:sz="8" w:space="0" w:color="auto"/>
              <w:right w:val="single" w:sz="8" w:space="0" w:color="auto"/>
            </w:tcBorders>
            <w:vAlign w:val="bottom"/>
            <w:hideMark/>
          </w:tcPr>
          <w:p w14:paraId="29DFC7BE"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Accessibility – clear, easy-to-read dashboards.</w:t>
            </w:r>
          </w:p>
        </w:tc>
      </w:tr>
      <w:tr w:rsidR="00AE4789" w:rsidRPr="00420F66" w14:paraId="55D99948" w14:textId="77777777" w:rsidTr="00CD6D8A">
        <w:trPr>
          <w:trHeight w:val="338"/>
        </w:trPr>
        <w:tc>
          <w:tcPr>
            <w:tcW w:w="10542" w:type="dxa"/>
            <w:gridSpan w:val="4"/>
            <w:tcBorders>
              <w:top w:val="single" w:sz="8" w:space="0" w:color="auto"/>
              <w:left w:val="single" w:sz="8" w:space="0" w:color="auto"/>
              <w:bottom w:val="single" w:sz="8" w:space="0" w:color="auto"/>
              <w:right w:val="single" w:sz="8" w:space="0" w:color="000000"/>
            </w:tcBorders>
            <w:shd w:val="clear" w:color="000000" w:fill="DAE9F8"/>
            <w:noWrap/>
            <w:vAlign w:val="bottom"/>
            <w:hideMark/>
          </w:tcPr>
          <w:p w14:paraId="2A45E11B" w14:textId="77777777" w:rsidR="00AE4789" w:rsidRPr="00420F66" w:rsidRDefault="00AE4789" w:rsidP="00CD6D8A">
            <w:pPr>
              <w:spacing w:after="0" w:line="240" w:lineRule="auto"/>
              <w:jc w:val="center"/>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w:t>
            </w:r>
          </w:p>
        </w:tc>
      </w:tr>
      <w:tr w:rsidR="00AE4789" w:rsidRPr="00420F66" w14:paraId="042EC562" w14:textId="77777777" w:rsidTr="00CD6D8A">
        <w:trPr>
          <w:trHeight w:val="677"/>
        </w:trPr>
        <w:tc>
          <w:tcPr>
            <w:tcW w:w="1160" w:type="dxa"/>
            <w:vMerge w:val="restart"/>
            <w:tcBorders>
              <w:top w:val="nil"/>
              <w:left w:val="single" w:sz="8" w:space="0" w:color="auto"/>
              <w:bottom w:val="single" w:sz="8" w:space="0" w:color="000000"/>
              <w:right w:val="nil"/>
            </w:tcBorders>
            <w:vAlign w:val="center"/>
            <w:hideMark/>
          </w:tcPr>
          <w:p w14:paraId="17DA3C25" w14:textId="77777777" w:rsidR="00AE4789" w:rsidRPr="00420F66" w:rsidRDefault="00AE4789" w:rsidP="00CD6D8A">
            <w:pPr>
              <w:spacing w:after="0" w:line="240" w:lineRule="auto"/>
              <w:jc w:val="center"/>
              <w:rPr>
                <w:rFonts w:ascii="Times New Roman" w:eastAsia="Times New Roman" w:hAnsi="Times New Roman" w:cs="Times New Roman"/>
                <w:b/>
                <w:bCs/>
                <w:color w:val="000000"/>
                <w:kern w:val="0"/>
                <w14:ligatures w14:val="none"/>
              </w:rPr>
            </w:pPr>
            <w:r w:rsidRPr="00420F66">
              <w:rPr>
                <w:rFonts w:ascii="Times New Roman" w:eastAsia="Times New Roman" w:hAnsi="Times New Roman" w:cs="Times New Roman"/>
                <w:b/>
                <w:bCs/>
                <w:color w:val="000000"/>
                <w:kern w:val="0"/>
                <w14:ligatures w14:val="none"/>
              </w:rPr>
              <w:t>MMP (Phase 2)</w:t>
            </w:r>
          </w:p>
        </w:tc>
        <w:tc>
          <w:tcPr>
            <w:tcW w:w="2790" w:type="dxa"/>
            <w:tcBorders>
              <w:top w:val="nil"/>
              <w:left w:val="single" w:sz="8" w:space="0" w:color="auto"/>
              <w:bottom w:val="single" w:sz="4" w:space="0" w:color="auto"/>
              <w:right w:val="single" w:sz="8" w:space="0" w:color="auto"/>
            </w:tcBorders>
            <w:vAlign w:val="bottom"/>
            <w:hideMark/>
          </w:tcPr>
          <w:p w14:paraId="2A421AE1"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Skills Demand Analytics </w:t>
            </w:r>
            <w:r w:rsidRPr="00420F66">
              <w:rPr>
                <w:rFonts w:ascii="Times New Roman" w:eastAsia="Times New Roman" w:hAnsi="Times New Roman" w:cs="Times New Roman"/>
                <w:i/>
                <w:iCs/>
                <w:color w:val="000000"/>
                <w:kern w:val="0"/>
                <w14:ligatures w14:val="none"/>
              </w:rPr>
              <w:t>(Devaki)</w:t>
            </w:r>
          </w:p>
        </w:tc>
        <w:tc>
          <w:tcPr>
            <w:tcW w:w="3534" w:type="dxa"/>
            <w:tcBorders>
              <w:top w:val="nil"/>
              <w:left w:val="nil"/>
              <w:bottom w:val="single" w:sz="4" w:space="0" w:color="auto"/>
              <w:right w:val="single" w:sz="8" w:space="0" w:color="auto"/>
            </w:tcBorders>
            <w:vAlign w:val="bottom"/>
            <w:hideMark/>
          </w:tcPr>
          <w:p w14:paraId="450DEF7F"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Identifies trending skills and technologies from alumni career data.</w:t>
            </w:r>
          </w:p>
        </w:tc>
        <w:tc>
          <w:tcPr>
            <w:tcW w:w="3058" w:type="dxa"/>
            <w:tcBorders>
              <w:top w:val="nil"/>
              <w:left w:val="nil"/>
              <w:bottom w:val="single" w:sz="4" w:space="0" w:color="auto"/>
              <w:right w:val="single" w:sz="8" w:space="0" w:color="auto"/>
            </w:tcBorders>
            <w:vAlign w:val="bottom"/>
            <w:hideMark/>
          </w:tcPr>
          <w:p w14:paraId="42A9B919"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Fairness – keep models updated to prevent bias.</w:t>
            </w:r>
          </w:p>
        </w:tc>
      </w:tr>
      <w:tr w:rsidR="00AE4789" w:rsidRPr="00420F66" w14:paraId="40C81D28" w14:textId="77777777" w:rsidTr="00CD6D8A">
        <w:trPr>
          <w:trHeight w:val="677"/>
        </w:trPr>
        <w:tc>
          <w:tcPr>
            <w:tcW w:w="1160" w:type="dxa"/>
            <w:vMerge/>
            <w:tcBorders>
              <w:top w:val="nil"/>
              <w:left w:val="single" w:sz="8" w:space="0" w:color="auto"/>
              <w:bottom w:val="single" w:sz="8" w:space="0" w:color="000000"/>
              <w:right w:val="nil"/>
            </w:tcBorders>
            <w:vAlign w:val="center"/>
            <w:hideMark/>
          </w:tcPr>
          <w:p w14:paraId="1156F727"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4" w:space="0" w:color="auto"/>
              <w:right w:val="single" w:sz="8" w:space="0" w:color="auto"/>
            </w:tcBorders>
            <w:vAlign w:val="bottom"/>
            <w:hideMark/>
          </w:tcPr>
          <w:p w14:paraId="50544FA2"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Alumni Engagement Scoring System </w:t>
            </w:r>
            <w:r w:rsidRPr="00420F66">
              <w:rPr>
                <w:rFonts w:ascii="Times New Roman" w:eastAsia="Times New Roman" w:hAnsi="Times New Roman" w:cs="Times New Roman"/>
                <w:i/>
                <w:iCs/>
                <w:color w:val="000000"/>
                <w:kern w:val="0"/>
                <w14:ligatures w14:val="none"/>
              </w:rPr>
              <w:t>(Keerthi)</w:t>
            </w:r>
          </w:p>
        </w:tc>
        <w:tc>
          <w:tcPr>
            <w:tcW w:w="3534" w:type="dxa"/>
            <w:tcBorders>
              <w:top w:val="nil"/>
              <w:left w:val="nil"/>
              <w:bottom w:val="single" w:sz="4" w:space="0" w:color="auto"/>
              <w:right w:val="single" w:sz="8" w:space="0" w:color="auto"/>
            </w:tcBorders>
            <w:vAlign w:val="bottom"/>
            <w:hideMark/>
          </w:tcPr>
          <w:p w14:paraId="4D7FEA18"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Tracks alumni contributions in mentoring, events, and donations.</w:t>
            </w:r>
          </w:p>
        </w:tc>
        <w:tc>
          <w:tcPr>
            <w:tcW w:w="3058" w:type="dxa"/>
            <w:tcBorders>
              <w:top w:val="nil"/>
              <w:left w:val="nil"/>
              <w:bottom w:val="single" w:sz="4" w:space="0" w:color="auto"/>
              <w:right w:val="single" w:sz="8" w:space="0" w:color="auto"/>
            </w:tcBorders>
            <w:vAlign w:val="bottom"/>
            <w:hideMark/>
          </w:tcPr>
          <w:p w14:paraId="3F44784E"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Transparency – use clear, open scoring logic.</w:t>
            </w:r>
          </w:p>
        </w:tc>
      </w:tr>
      <w:tr w:rsidR="00AE4789" w:rsidRPr="00420F66" w14:paraId="049201CF" w14:textId="77777777" w:rsidTr="00CD6D8A">
        <w:trPr>
          <w:trHeight w:val="677"/>
        </w:trPr>
        <w:tc>
          <w:tcPr>
            <w:tcW w:w="1160" w:type="dxa"/>
            <w:vMerge/>
            <w:tcBorders>
              <w:top w:val="nil"/>
              <w:left w:val="single" w:sz="8" w:space="0" w:color="auto"/>
              <w:bottom w:val="single" w:sz="8" w:space="0" w:color="000000"/>
              <w:right w:val="nil"/>
            </w:tcBorders>
            <w:vAlign w:val="center"/>
            <w:hideMark/>
          </w:tcPr>
          <w:p w14:paraId="581352AF"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4" w:space="0" w:color="auto"/>
              <w:right w:val="single" w:sz="8" w:space="0" w:color="auto"/>
            </w:tcBorders>
            <w:vAlign w:val="bottom"/>
            <w:hideMark/>
          </w:tcPr>
          <w:p w14:paraId="7857E487"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Event Management &amp; Tracking </w:t>
            </w:r>
            <w:r w:rsidRPr="00420F66">
              <w:rPr>
                <w:rFonts w:ascii="Times New Roman" w:eastAsia="Times New Roman" w:hAnsi="Times New Roman" w:cs="Times New Roman"/>
                <w:i/>
                <w:iCs/>
                <w:color w:val="000000"/>
                <w:kern w:val="0"/>
                <w14:ligatures w14:val="none"/>
              </w:rPr>
              <w:t>(Sanjeev)</w:t>
            </w:r>
          </w:p>
        </w:tc>
        <w:tc>
          <w:tcPr>
            <w:tcW w:w="3534" w:type="dxa"/>
            <w:tcBorders>
              <w:top w:val="nil"/>
              <w:left w:val="nil"/>
              <w:bottom w:val="single" w:sz="4" w:space="0" w:color="auto"/>
              <w:right w:val="single" w:sz="8" w:space="0" w:color="auto"/>
            </w:tcBorders>
            <w:vAlign w:val="bottom"/>
            <w:hideMark/>
          </w:tcPr>
          <w:p w14:paraId="5EE710E4"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Supports registrations, attendance, and feedback for alumni/student events.</w:t>
            </w:r>
          </w:p>
        </w:tc>
        <w:tc>
          <w:tcPr>
            <w:tcW w:w="3058" w:type="dxa"/>
            <w:tcBorders>
              <w:top w:val="nil"/>
              <w:left w:val="nil"/>
              <w:bottom w:val="single" w:sz="4" w:space="0" w:color="auto"/>
              <w:right w:val="single" w:sz="8" w:space="0" w:color="auto"/>
            </w:tcBorders>
            <w:vAlign w:val="bottom"/>
            <w:hideMark/>
          </w:tcPr>
          <w:p w14:paraId="617FF2C9"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Accessibility – ensure ADA compliance &amp; inclusivity.</w:t>
            </w:r>
          </w:p>
        </w:tc>
      </w:tr>
      <w:tr w:rsidR="00AE4789" w:rsidRPr="00420F66" w14:paraId="15867B0A" w14:textId="77777777" w:rsidTr="00CD6D8A">
        <w:trPr>
          <w:trHeight w:val="677"/>
        </w:trPr>
        <w:tc>
          <w:tcPr>
            <w:tcW w:w="1160" w:type="dxa"/>
            <w:vMerge/>
            <w:tcBorders>
              <w:top w:val="nil"/>
              <w:left w:val="single" w:sz="8" w:space="0" w:color="auto"/>
              <w:bottom w:val="single" w:sz="8" w:space="0" w:color="000000"/>
              <w:right w:val="nil"/>
            </w:tcBorders>
            <w:vAlign w:val="center"/>
            <w:hideMark/>
          </w:tcPr>
          <w:p w14:paraId="705C0E2E"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nil"/>
              <w:right w:val="single" w:sz="8" w:space="0" w:color="auto"/>
            </w:tcBorders>
            <w:vAlign w:val="bottom"/>
            <w:hideMark/>
          </w:tcPr>
          <w:p w14:paraId="1698EC74"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Gamification Features </w:t>
            </w:r>
            <w:r w:rsidRPr="00420F66">
              <w:rPr>
                <w:rFonts w:ascii="Times New Roman" w:eastAsia="Times New Roman" w:hAnsi="Times New Roman" w:cs="Times New Roman"/>
                <w:i/>
                <w:iCs/>
                <w:color w:val="000000"/>
                <w:kern w:val="0"/>
                <w14:ligatures w14:val="none"/>
              </w:rPr>
              <w:t>(Future)</w:t>
            </w:r>
          </w:p>
        </w:tc>
        <w:tc>
          <w:tcPr>
            <w:tcW w:w="3534" w:type="dxa"/>
            <w:tcBorders>
              <w:top w:val="nil"/>
              <w:left w:val="nil"/>
              <w:bottom w:val="nil"/>
              <w:right w:val="single" w:sz="8" w:space="0" w:color="auto"/>
            </w:tcBorders>
            <w:vAlign w:val="bottom"/>
            <w:hideMark/>
          </w:tcPr>
          <w:p w14:paraId="03B3EDA5"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Adds badges and leaderboards to motivate alumni engagement.</w:t>
            </w:r>
          </w:p>
        </w:tc>
        <w:tc>
          <w:tcPr>
            <w:tcW w:w="3058" w:type="dxa"/>
            <w:tcBorders>
              <w:top w:val="nil"/>
              <w:left w:val="nil"/>
              <w:bottom w:val="nil"/>
              <w:right w:val="single" w:sz="8" w:space="0" w:color="auto"/>
            </w:tcBorders>
            <w:vAlign w:val="bottom"/>
            <w:hideMark/>
          </w:tcPr>
          <w:p w14:paraId="28B07BB4"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Inclusivity – ensure rewards are fair across groups.</w:t>
            </w:r>
          </w:p>
        </w:tc>
      </w:tr>
      <w:tr w:rsidR="00AE4789" w:rsidRPr="00420F66" w14:paraId="6B46CE12" w14:textId="77777777" w:rsidTr="00CD6D8A">
        <w:trPr>
          <w:trHeight w:val="677"/>
        </w:trPr>
        <w:tc>
          <w:tcPr>
            <w:tcW w:w="1160" w:type="dxa"/>
            <w:vMerge/>
            <w:tcBorders>
              <w:top w:val="nil"/>
              <w:left w:val="single" w:sz="8" w:space="0" w:color="auto"/>
              <w:bottom w:val="single" w:sz="8" w:space="0" w:color="000000"/>
              <w:right w:val="nil"/>
            </w:tcBorders>
            <w:vAlign w:val="center"/>
            <w:hideMark/>
          </w:tcPr>
          <w:p w14:paraId="632AEF85"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single" w:sz="4" w:space="0" w:color="auto"/>
              <w:left w:val="single" w:sz="8" w:space="0" w:color="auto"/>
              <w:bottom w:val="single" w:sz="4" w:space="0" w:color="auto"/>
              <w:right w:val="single" w:sz="8" w:space="0" w:color="auto"/>
            </w:tcBorders>
            <w:vAlign w:val="bottom"/>
            <w:hideMark/>
          </w:tcPr>
          <w:p w14:paraId="0133A6B3"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Predictive Career Trajectory Modeling </w:t>
            </w:r>
            <w:r w:rsidRPr="00420F66">
              <w:rPr>
                <w:rFonts w:ascii="Times New Roman" w:eastAsia="Times New Roman" w:hAnsi="Times New Roman" w:cs="Times New Roman"/>
                <w:i/>
                <w:iCs/>
                <w:color w:val="000000"/>
                <w:kern w:val="0"/>
                <w14:ligatures w14:val="none"/>
              </w:rPr>
              <w:t>(Harsha)</w:t>
            </w:r>
          </w:p>
        </w:tc>
        <w:tc>
          <w:tcPr>
            <w:tcW w:w="3534" w:type="dxa"/>
            <w:tcBorders>
              <w:top w:val="single" w:sz="4" w:space="0" w:color="auto"/>
              <w:left w:val="nil"/>
              <w:bottom w:val="single" w:sz="4" w:space="0" w:color="auto"/>
              <w:right w:val="single" w:sz="8" w:space="0" w:color="auto"/>
            </w:tcBorders>
            <w:vAlign w:val="bottom"/>
            <w:hideMark/>
          </w:tcPr>
          <w:p w14:paraId="358ECB4A"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Forecasts alumni career paths from entry to leadership roles.</w:t>
            </w:r>
          </w:p>
        </w:tc>
        <w:tc>
          <w:tcPr>
            <w:tcW w:w="3058" w:type="dxa"/>
            <w:tcBorders>
              <w:top w:val="single" w:sz="4" w:space="0" w:color="auto"/>
              <w:left w:val="nil"/>
              <w:bottom w:val="single" w:sz="4" w:space="0" w:color="auto"/>
              <w:right w:val="single" w:sz="8" w:space="0" w:color="auto"/>
            </w:tcBorders>
            <w:vAlign w:val="bottom"/>
            <w:hideMark/>
          </w:tcPr>
          <w:p w14:paraId="42199A72"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Explainable AI – results must be clear &amp; bias-free.</w:t>
            </w:r>
          </w:p>
        </w:tc>
      </w:tr>
      <w:tr w:rsidR="00AE4789" w:rsidRPr="00420F66" w14:paraId="70515221" w14:textId="77777777" w:rsidTr="00CD6D8A">
        <w:trPr>
          <w:trHeight w:val="697"/>
        </w:trPr>
        <w:tc>
          <w:tcPr>
            <w:tcW w:w="1160" w:type="dxa"/>
            <w:vMerge/>
            <w:tcBorders>
              <w:top w:val="nil"/>
              <w:left w:val="single" w:sz="8" w:space="0" w:color="auto"/>
              <w:bottom w:val="single" w:sz="8" w:space="0" w:color="000000"/>
              <w:right w:val="nil"/>
            </w:tcBorders>
            <w:vAlign w:val="center"/>
            <w:hideMark/>
          </w:tcPr>
          <w:p w14:paraId="165C6D65" w14:textId="77777777" w:rsidR="00AE4789" w:rsidRPr="00420F66" w:rsidRDefault="00AE4789" w:rsidP="00CD6D8A">
            <w:pPr>
              <w:spacing w:after="0" w:line="240" w:lineRule="auto"/>
              <w:rPr>
                <w:rFonts w:ascii="Times New Roman" w:eastAsia="Times New Roman" w:hAnsi="Times New Roman" w:cs="Times New Roman"/>
                <w:b/>
                <w:bCs/>
                <w:color w:val="000000"/>
                <w:kern w:val="0"/>
                <w14:ligatures w14:val="none"/>
              </w:rPr>
            </w:pPr>
          </w:p>
        </w:tc>
        <w:tc>
          <w:tcPr>
            <w:tcW w:w="2790" w:type="dxa"/>
            <w:tcBorders>
              <w:top w:val="nil"/>
              <w:left w:val="single" w:sz="8" w:space="0" w:color="auto"/>
              <w:bottom w:val="single" w:sz="8" w:space="0" w:color="auto"/>
              <w:right w:val="single" w:sz="8" w:space="0" w:color="auto"/>
            </w:tcBorders>
            <w:vAlign w:val="bottom"/>
            <w:hideMark/>
          </w:tcPr>
          <w:p w14:paraId="72DD81E5"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 xml:space="preserve">Advanced Employer Reports </w:t>
            </w:r>
            <w:r w:rsidRPr="00420F66">
              <w:rPr>
                <w:rFonts w:ascii="Times New Roman" w:eastAsia="Times New Roman" w:hAnsi="Times New Roman" w:cs="Times New Roman"/>
                <w:i/>
                <w:iCs/>
                <w:color w:val="000000"/>
                <w:kern w:val="0"/>
                <w14:ligatures w14:val="none"/>
              </w:rPr>
              <w:t>(Lasya)</w:t>
            </w:r>
          </w:p>
        </w:tc>
        <w:tc>
          <w:tcPr>
            <w:tcW w:w="3534" w:type="dxa"/>
            <w:tcBorders>
              <w:top w:val="nil"/>
              <w:left w:val="nil"/>
              <w:bottom w:val="single" w:sz="8" w:space="0" w:color="auto"/>
              <w:right w:val="single" w:sz="8" w:space="0" w:color="auto"/>
            </w:tcBorders>
            <w:vAlign w:val="bottom"/>
            <w:hideMark/>
          </w:tcPr>
          <w:p w14:paraId="36CD35F6"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Provides tailored insights to strengthen employer partnerships.</w:t>
            </w:r>
          </w:p>
        </w:tc>
        <w:tc>
          <w:tcPr>
            <w:tcW w:w="3058" w:type="dxa"/>
            <w:tcBorders>
              <w:top w:val="nil"/>
              <w:left w:val="nil"/>
              <w:bottom w:val="single" w:sz="8" w:space="0" w:color="auto"/>
              <w:right w:val="single" w:sz="8" w:space="0" w:color="auto"/>
            </w:tcBorders>
            <w:vAlign w:val="bottom"/>
            <w:hideMark/>
          </w:tcPr>
          <w:p w14:paraId="799BFD4C" w14:textId="77777777" w:rsidR="00AE4789" w:rsidRPr="00420F66" w:rsidRDefault="00AE4789" w:rsidP="00CD6D8A">
            <w:pPr>
              <w:spacing w:after="0" w:line="240" w:lineRule="auto"/>
              <w:rPr>
                <w:rFonts w:ascii="Times New Roman" w:eastAsia="Times New Roman" w:hAnsi="Times New Roman" w:cs="Times New Roman"/>
                <w:color w:val="000000"/>
                <w:kern w:val="0"/>
                <w14:ligatures w14:val="none"/>
              </w:rPr>
            </w:pPr>
            <w:r w:rsidRPr="00420F66">
              <w:rPr>
                <w:rFonts w:ascii="Times New Roman" w:eastAsia="Times New Roman" w:hAnsi="Times New Roman" w:cs="Times New Roman"/>
                <w:color w:val="000000"/>
                <w:kern w:val="0"/>
                <w14:ligatures w14:val="none"/>
              </w:rPr>
              <w:t>Compliance – data sharing only with consent.</w:t>
            </w:r>
          </w:p>
        </w:tc>
      </w:tr>
    </w:tbl>
    <w:p w14:paraId="39C38B90" w14:textId="77777777" w:rsidR="006A7E85" w:rsidRDefault="006A7E85" w:rsidP="006A7E85">
      <w:pPr>
        <w:rPr>
          <w:rFonts w:ascii="Times New Roman" w:hAnsi="Times New Roman" w:cs="Times New Roman"/>
          <w:b/>
          <w:bCs/>
        </w:rPr>
      </w:pPr>
    </w:p>
    <w:p w14:paraId="7765E870" w14:textId="41C3832B" w:rsidR="00D7251B" w:rsidRPr="00031D8C" w:rsidRDefault="00D7251B" w:rsidP="006A7E85">
      <w:pPr>
        <w:rPr>
          <w:rFonts w:ascii="Times New Roman" w:hAnsi="Times New Roman" w:cs="Times New Roman"/>
          <w:b/>
          <w:bCs/>
        </w:rPr>
      </w:pPr>
      <w:r>
        <w:rPr>
          <w:rFonts w:ascii="Times New Roman" w:hAnsi="Times New Roman" w:cs="Times New Roman"/>
          <w:b/>
          <w:bCs/>
        </w:rPr>
        <w:t xml:space="preserve">Slide: </w:t>
      </w:r>
      <w:r w:rsidR="00417388" w:rsidRPr="00417388">
        <w:rPr>
          <w:rFonts w:ascii="Times New Roman" w:hAnsi="Times New Roman" w:cs="Times New Roman"/>
          <w:b/>
          <w:bCs/>
        </w:rPr>
        <w:drawing>
          <wp:inline distT="0" distB="0" distL="0" distR="0" wp14:anchorId="048BDC8B" wp14:editId="1E059ADE">
            <wp:extent cx="5167423" cy="3875567"/>
            <wp:effectExtent l="0" t="0" r="1905" b="0"/>
            <wp:docPr id="138385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1116" name=""/>
                    <pic:cNvPicPr/>
                  </pic:nvPicPr>
                  <pic:blipFill>
                    <a:blip r:embed="rId11"/>
                    <a:stretch>
                      <a:fillRect/>
                    </a:stretch>
                  </pic:blipFill>
                  <pic:spPr>
                    <a:xfrm>
                      <a:off x="0" y="0"/>
                      <a:ext cx="5169831" cy="3877373"/>
                    </a:xfrm>
                    <a:prstGeom prst="rect">
                      <a:avLst/>
                    </a:prstGeom>
                  </pic:spPr>
                </pic:pic>
              </a:graphicData>
            </a:graphic>
          </wp:inline>
        </w:drawing>
      </w:r>
    </w:p>
    <w:p w14:paraId="6476A056" w14:textId="6148DF56" w:rsidR="006A7E85" w:rsidRPr="00031D8C" w:rsidRDefault="006A7E85" w:rsidP="006A7E85">
      <w:pPr>
        <w:pStyle w:val="NormalWeb"/>
        <w:rPr>
          <w:b/>
          <w:bCs/>
        </w:rPr>
      </w:pPr>
      <w:r w:rsidRPr="00031D8C">
        <w:rPr>
          <w:b/>
          <w:bCs/>
        </w:rPr>
        <w:t>Part 3: Research Integration</w:t>
      </w:r>
      <w:r w:rsidR="00031D8C" w:rsidRPr="00031D8C">
        <w:rPr>
          <w:b/>
          <w:bCs/>
        </w:rPr>
        <w:t>:</w:t>
      </w:r>
    </w:p>
    <w:p w14:paraId="317239D4" w14:textId="4FBE0458" w:rsidR="00031D8C" w:rsidRPr="00515860" w:rsidRDefault="00031D8C" w:rsidP="00031D8C">
      <w:pPr>
        <w:pStyle w:val="NormalWeb"/>
        <w:numPr>
          <w:ilvl w:val="1"/>
          <w:numId w:val="41"/>
        </w:numPr>
        <w:rPr>
          <w:rStyle w:val="Strong"/>
          <w:color w:val="000000" w:themeColor="text1"/>
        </w:rPr>
      </w:pPr>
      <w:r w:rsidRPr="00515860">
        <w:rPr>
          <w:rStyle w:val="Strong"/>
          <w:rFonts w:eastAsiaTheme="majorEastAsia"/>
          <w:color w:val="000000" w:themeColor="text1"/>
          <w:shd w:val="clear" w:color="auto" w:fill="FFFFFF"/>
        </w:rPr>
        <w:t>Source Collection:</w:t>
      </w:r>
    </w:p>
    <w:p w14:paraId="633B3E93" w14:textId="656760A0" w:rsidR="0035391F" w:rsidRPr="00515860" w:rsidRDefault="0035391F" w:rsidP="0035391F">
      <w:pPr>
        <w:pStyle w:val="NormalWeb"/>
        <w:rPr>
          <w:b/>
          <w:bCs/>
          <w:color w:val="004E9A"/>
        </w:rPr>
      </w:pPr>
      <w:r w:rsidRPr="00515860">
        <w:rPr>
          <w:b/>
          <w:bCs/>
          <w:color w:val="004E9A"/>
        </w:rPr>
        <w:t xml:space="preserve">Devaki </w:t>
      </w:r>
      <w:r w:rsidR="00A87917" w:rsidRPr="00515860">
        <w:rPr>
          <w:b/>
          <w:bCs/>
          <w:color w:val="004E9A"/>
        </w:rPr>
        <w:t>(Academic- EDM Foundations)</w:t>
      </w:r>
    </w:p>
    <w:p w14:paraId="6823A42F" w14:textId="6215F09E" w:rsidR="0035391F" w:rsidRPr="00515860" w:rsidRDefault="0035391F" w:rsidP="0035391F">
      <w:pPr>
        <w:pStyle w:val="NormalWeb"/>
        <w:numPr>
          <w:ilvl w:val="0"/>
          <w:numId w:val="42"/>
        </w:numPr>
        <w:rPr>
          <w:b/>
          <w:bCs/>
          <w:color w:val="000000"/>
        </w:rPr>
      </w:pPr>
      <w:r w:rsidRPr="00515860">
        <w:rPr>
          <w:b/>
          <w:bCs/>
          <w:color w:val="000000"/>
        </w:rPr>
        <w:t>Educational data mining: A review of the state of the art.</w:t>
      </w:r>
    </w:p>
    <w:p w14:paraId="3A5E9A7B" w14:textId="77777777" w:rsidR="0035391F" w:rsidRPr="00515860" w:rsidRDefault="0035391F" w:rsidP="0035391F">
      <w:pPr>
        <w:pStyle w:val="NormalWeb"/>
        <w:rPr>
          <w:color w:val="000000"/>
        </w:rPr>
      </w:pPr>
      <w:r w:rsidRPr="00515860">
        <w:rPr>
          <w:color w:val="000000"/>
        </w:rPr>
        <w:t>Foundational IEEE paper on EDM that discusses classification, clustering, and predictive modeling. Pertinent to SLU's employer insights dashboard design.</w:t>
      </w:r>
    </w:p>
    <w:p w14:paraId="5A5940BE" w14:textId="77777777" w:rsidR="0035391F" w:rsidRPr="00515860" w:rsidRDefault="0035391F" w:rsidP="0035391F">
      <w:pPr>
        <w:pStyle w:val="NormalWeb"/>
        <w:rPr>
          <w:b/>
          <w:bCs/>
          <w:color w:val="000000"/>
        </w:rPr>
      </w:pPr>
      <w:r w:rsidRPr="00515860">
        <w:rPr>
          <w:b/>
          <w:bCs/>
          <w:color w:val="000000"/>
        </w:rPr>
        <w:t>Reference:</w:t>
      </w:r>
    </w:p>
    <w:p w14:paraId="2D158D9E" w14:textId="77777777" w:rsidR="0035391F" w:rsidRPr="00515860" w:rsidRDefault="0035391F" w:rsidP="0035391F">
      <w:pPr>
        <w:pStyle w:val="NormalWeb"/>
        <w:rPr>
          <w:color w:val="000000"/>
        </w:rPr>
      </w:pPr>
      <w:r w:rsidRPr="00515860">
        <w:rPr>
          <w:color w:val="000000"/>
        </w:rPr>
        <w:t>Romero, C., &amp; Ventura, S. (2010). Educational data mining: A review of the state of the art. IEEE Transactions on Systems, Man, and Cybernetics, Part C (Applications and Reviews), 40(6), 601–618.</w:t>
      </w:r>
    </w:p>
    <w:p w14:paraId="2EE6C303" w14:textId="201E3BF0" w:rsidR="0035391F" w:rsidRPr="00515860" w:rsidRDefault="00A87917" w:rsidP="00A87917">
      <w:pPr>
        <w:pStyle w:val="NormalWeb"/>
        <w:ind w:left="720"/>
        <w:rPr>
          <w:color w:val="000000"/>
        </w:rPr>
      </w:pPr>
      <w:r w:rsidRPr="00515860">
        <w:rPr>
          <w:color w:val="000000"/>
        </w:rPr>
        <w:fldChar w:fldCharType="begin"/>
      </w:r>
      <w:r w:rsidRPr="00515860">
        <w:rPr>
          <w:color w:val="000000"/>
        </w:rPr>
        <w:instrText>HYPERLINK "</w:instrText>
      </w:r>
      <w:r w:rsidRPr="00515860">
        <w:rPr>
          <w:color w:val="000000"/>
        </w:rPr>
        <w:instrText>https://doi.org/10.1109/TSMCC.2010.2053532</w:instrText>
      </w:r>
      <w:r w:rsidRPr="00515860">
        <w:rPr>
          <w:color w:val="000000"/>
        </w:rPr>
        <w:instrText>"</w:instrText>
      </w:r>
      <w:r w:rsidRPr="00515860">
        <w:rPr>
          <w:color w:val="000000"/>
        </w:rPr>
        <w:fldChar w:fldCharType="separate"/>
      </w:r>
      <w:r w:rsidRPr="00515860">
        <w:rPr>
          <w:rStyle w:val="Hyperlink"/>
        </w:rPr>
        <w:t>https://doi.org/10.1109/TSMCC.2010.2053532</w:t>
      </w:r>
      <w:r w:rsidRPr="00515860">
        <w:rPr>
          <w:color w:val="000000"/>
        </w:rPr>
        <w:fldChar w:fldCharType="end"/>
      </w:r>
    </w:p>
    <w:p w14:paraId="65D4110C" w14:textId="77777777" w:rsidR="0035391F" w:rsidRPr="00515860" w:rsidRDefault="0035391F" w:rsidP="0035391F">
      <w:pPr>
        <w:pStyle w:val="NormalWeb"/>
        <w:rPr>
          <w:b/>
          <w:bCs/>
          <w:color w:val="000000"/>
        </w:rPr>
      </w:pPr>
      <w:r w:rsidRPr="00515860">
        <w:rPr>
          <w:b/>
          <w:bCs/>
          <w:color w:val="000000"/>
        </w:rPr>
        <w:t>Annotated Bibliography:</w:t>
      </w:r>
    </w:p>
    <w:p w14:paraId="139ED3BA" w14:textId="77777777" w:rsidR="0035391F" w:rsidRPr="00515860" w:rsidRDefault="0035391F" w:rsidP="0035391F">
      <w:pPr>
        <w:pStyle w:val="NormalWeb"/>
        <w:rPr>
          <w:color w:val="000000"/>
        </w:rPr>
      </w:pPr>
      <w:r w:rsidRPr="00515860">
        <w:rPr>
          <w:color w:val="000000"/>
        </w:rPr>
        <w:t>Summary: The paper examines EDM methods for performance prediction, decision support, and ethical matters.</w:t>
      </w:r>
    </w:p>
    <w:p w14:paraId="4F2D3C4B" w14:textId="77777777" w:rsidR="0035391F" w:rsidRPr="00515860" w:rsidRDefault="0035391F" w:rsidP="0035391F">
      <w:pPr>
        <w:pStyle w:val="NormalWeb"/>
        <w:rPr>
          <w:color w:val="000000"/>
        </w:rPr>
      </w:pPr>
      <w:r w:rsidRPr="00515860">
        <w:rPr>
          <w:color w:val="000000"/>
        </w:rPr>
        <w:t>Relevance: It forms the basis of alumni/employer analytics and career modeling functionality.</w:t>
      </w:r>
    </w:p>
    <w:p w14:paraId="156EEC28" w14:textId="3ECB3D5F" w:rsidR="0035391F" w:rsidRPr="00515860" w:rsidRDefault="0035391F" w:rsidP="0035391F">
      <w:pPr>
        <w:pStyle w:val="NormalWeb"/>
        <w:numPr>
          <w:ilvl w:val="0"/>
          <w:numId w:val="42"/>
        </w:numPr>
        <w:rPr>
          <w:b/>
          <w:bCs/>
          <w:color w:val="000000"/>
        </w:rPr>
      </w:pPr>
      <w:r w:rsidRPr="00515860">
        <w:rPr>
          <w:b/>
          <w:bCs/>
          <w:color w:val="000000"/>
        </w:rPr>
        <w:t>Educational data mining and learning analytics: An updated survey.</w:t>
      </w:r>
    </w:p>
    <w:p w14:paraId="5B666504" w14:textId="77777777" w:rsidR="0035391F" w:rsidRPr="00515860" w:rsidRDefault="0035391F" w:rsidP="0035391F">
      <w:pPr>
        <w:pStyle w:val="NormalWeb"/>
        <w:rPr>
          <w:color w:val="000000"/>
        </w:rPr>
      </w:pPr>
      <w:r w:rsidRPr="00515860">
        <w:rPr>
          <w:color w:val="000000"/>
        </w:rPr>
        <w:t>Current survey on EDM/learning analytics trends and tools. Will help to justify predictive analytics in MVP/MMP.</w:t>
      </w:r>
    </w:p>
    <w:p w14:paraId="023E23EC" w14:textId="77777777" w:rsidR="0035391F" w:rsidRPr="00515860" w:rsidRDefault="0035391F" w:rsidP="0035391F">
      <w:pPr>
        <w:pStyle w:val="NormalWeb"/>
        <w:rPr>
          <w:b/>
          <w:bCs/>
          <w:color w:val="000000"/>
        </w:rPr>
      </w:pPr>
      <w:r w:rsidRPr="00515860">
        <w:rPr>
          <w:b/>
          <w:bCs/>
          <w:color w:val="000000"/>
        </w:rPr>
        <w:t>Reference:</w:t>
      </w:r>
    </w:p>
    <w:p w14:paraId="24F4C391" w14:textId="77777777" w:rsidR="0035391F" w:rsidRPr="00515860" w:rsidRDefault="0035391F" w:rsidP="0035391F">
      <w:pPr>
        <w:pStyle w:val="NormalWeb"/>
        <w:rPr>
          <w:color w:val="000000"/>
        </w:rPr>
      </w:pPr>
      <w:r w:rsidRPr="00515860">
        <w:rPr>
          <w:color w:val="000000"/>
        </w:rPr>
        <w:t>Romero, C., &amp; Ventura, S. (2020). Educational data mining and learning analytics: An updated survey. Wiley Interdisciplinary Reviews Data Mining and Knowledge Discovery, 10(3).</w:t>
      </w:r>
    </w:p>
    <w:p w14:paraId="5CFF594F" w14:textId="77777777" w:rsidR="0035391F" w:rsidRPr="00515860" w:rsidRDefault="0035391F" w:rsidP="0035391F">
      <w:pPr>
        <w:pStyle w:val="NormalWeb"/>
        <w:rPr>
          <w:color w:val="000000"/>
        </w:rPr>
      </w:pPr>
      <w:r w:rsidRPr="00515860">
        <w:rPr>
          <w:color w:val="000000"/>
        </w:rPr>
        <w:t>https://arxiv.org/pdf/2402.07956</w:t>
      </w:r>
    </w:p>
    <w:p w14:paraId="4B120F0E" w14:textId="77777777" w:rsidR="0035391F" w:rsidRPr="00515860" w:rsidRDefault="0035391F" w:rsidP="0035391F">
      <w:pPr>
        <w:pStyle w:val="NormalWeb"/>
        <w:rPr>
          <w:b/>
          <w:bCs/>
          <w:color w:val="000000"/>
        </w:rPr>
      </w:pPr>
      <w:r w:rsidRPr="00515860">
        <w:rPr>
          <w:b/>
          <w:bCs/>
          <w:color w:val="000000"/>
        </w:rPr>
        <w:t>Annotated Bibliography:</w:t>
      </w:r>
    </w:p>
    <w:p w14:paraId="0ED86062" w14:textId="77777777" w:rsidR="0035391F" w:rsidRPr="00515860" w:rsidRDefault="0035391F" w:rsidP="0035391F">
      <w:pPr>
        <w:pStyle w:val="NormalWeb"/>
        <w:rPr>
          <w:color w:val="000000"/>
        </w:rPr>
      </w:pPr>
      <w:r w:rsidRPr="00515860">
        <w:rPr>
          <w:color w:val="000000"/>
        </w:rPr>
        <w:t>Summary: The survey discusses EDM developments with emphasis on AI utilization and ethical challenges.</w:t>
      </w:r>
    </w:p>
    <w:p w14:paraId="1DF65058" w14:textId="77777777" w:rsidR="0035391F" w:rsidRPr="00515860" w:rsidRDefault="0035391F" w:rsidP="0035391F">
      <w:pPr>
        <w:pStyle w:val="NormalWeb"/>
        <w:rPr>
          <w:color w:val="000000"/>
        </w:rPr>
      </w:pPr>
      <w:r w:rsidRPr="00515860">
        <w:rPr>
          <w:color w:val="000000"/>
        </w:rPr>
        <w:t>Relevance: It enables skills demand and career modeling functionalities.</w:t>
      </w:r>
    </w:p>
    <w:p w14:paraId="0D74F10D" w14:textId="77777777" w:rsidR="0035391F" w:rsidRPr="00515860" w:rsidRDefault="0035391F" w:rsidP="0035391F">
      <w:pPr>
        <w:pStyle w:val="NormalWeb"/>
        <w:rPr>
          <w:b/>
          <w:bCs/>
          <w:color w:val="004E9A"/>
        </w:rPr>
      </w:pPr>
      <w:r w:rsidRPr="00515860">
        <w:rPr>
          <w:b/>
          <w:bCs/>
          <w:color w:val="004E9A"/>
        </w:rPr>
        <w:t>Keerthi (Academic – AI &amp; Career Trajectories)</w:t>
      </w:r>
    </w:p>
    <w:p w14:paraId="5A503239" w14:textId="51CF1C46" w:rsidR="0035391F" w:rsidRPr="00515860" w:rsidRDefault="0035391F" w:rsidP="0035391F">
      <w:pPr>
        <w:pStyle w:val="NormalWeb"/>
        <w:numPr>
          <w:ilvl w:val="0"/>
          <w:numId w:val="42"/>
        </w:numPr>
        <w:rPr>
          <w:b/>
          <w:bCs/>
          <w:color w:val="000000"/>
        </w:rPr>
      </w:pPr>
      <w:r w:rsidRPr="00515860">
        <w:rPr>
          <w:b/>
          <w:bCs/>
          <w:color w:val="000000"/>
        </w:rPr>
        <w:t>Artificial neural networks for educational data mining in higher education: A systematic literature review.</w:t>
      </w:r>
    </w:p>
    <w:p w14:paraId="51A39EE1" w14:textId="77777777" w:rsidR="0035391F" w:rsidRPr="00515860" w:rsidRDefault="0035391F" w:rsidP="0035391F">
      <w:pPr>
        <w:pStyle w:val="NormalWeb"/>
        <w:rPr>
          <w:color w:val="000000"/>
        </w:rPr>
      </w:pPr>
      <w:r w:rsidRPr="00515860">
        <w:rPr>
          <w:color w:val="000000"/>
        </w:rPr>
        <w:t>Systematic review of ANN applications in higher education analytics. Aids the application of AI in career prediction features.</w:t>
      </w:r>
    </w:p>
    <w:p w14:paraId="0D130657" w14:textId="77777777" w:rsidR="0035391F" w:rsidRPr="00515860" w:rsidRDefault="0035391F" w:rsidP="0035391F">
      <w:pPr>
        <w:pStyle w:val="NormalWeb"/>
        <w:rPr>
          <w:b/>
          <w:bCs/>
          <w:color w:val="000000"/>
        </w:rPr>
      </w:pPr>
      <w:r w:rsidRPr="00515860">
        <w:rPr>
          <w:b/>
          <w:bCs/>
          <w:color w:val="000000"/>
        </w:rPr>
        <w:t>Reference:</w:t>
      </w:r>
    </w:p>
    <w:p w14:paraId="2DE700F6" w14:textId="77777777" w:rsidR="0035391F" w:rsidRPr="00515860" w:rsidRDefault="0035391F" w:rsidP="0035391F">
      <w:pPr>
        <w:pStyle w:val="NormalWeb"/>
        <w:rPr>
          <w:color w:val="000000"/>
        </w:rPr>
      </w:pPr>
      <w:proofErr w:type="spellStart"/>
      <w:r w:rsidRPr="00515860">
        <w:rPr>
          <w:color w:val="000000"/>
        </w:rPr>
        <w:t>Okewu</w:t>
      </w:r>
      <w:proofErr w:type="spellEnd"/>
      <w:r w:rsidRPr="00515860">
        <w:rPr>
          <w:color w:val="000000"/>
        </w:rPr>
        <w:t>, E. (2021). Artificial neural networks for educational data mining in higher education: A systematic literature review. Applied Artificial Intelligence, 35(9), 737–765.</w:t>
      </w:r>
    </w:p>
    <w:p w14:paraId="614911E2" w14:textId="04A8C04E" w:rsidR="0035391F" w:rsidRPr="00515860" w:rsidRDefault="0035391F" w:rsidP="0035391F">
      <w:pPr>
        <w:pStyle w:val="NormalWeb"/>
        <w:ind w:left="720"/>
        <w:rPr>
          <w:color w:val="000000"/>
        </w:rPr>
      </w:pPr>
      <w:hyperlink r:id="rId12" w:history="1">
        <w:r w:rsidRPr="00515860">
          <w:rPr>
            <w:rStyle w:val="Hyperlink"/>
          </w:rPr>
          <w:t>h</w:t>
        </w:r>
        <w:r w:rsidRPr="00515860">
          <w:rPr>
            <w:rStyle w:val="Hyperlink"/>
          </w:rPr>
          <w:t>t</w:t>
        </w:r>
        <w:r w:rsidRPr="00515860">
          <w:rPr>
            <w:rStyle w:val="Hyperlink"/>
          </w:rPr>
          <w:t>tps://www.tandfonline.com/doi/epdf/10.1080/08839514.2021.1922847?needAccess=true</w:t>
        </w:r>
      </w:hyperlink>
    </w:p>
    <w:p w14:paraId="71AD696F" w14:textId="77777777" w:rsidR="0035391F" w:rsidRPr="00515860" w:rsidRDefault="0035391F" w:rsidP="0035391F">
      <w:pPr>
        <w:pStyle w:val="NormalWeb"/>
        <w:rPr>
          <w:b/>
          <w:bCs/>
          <w:color w:val="000000"/>
        </w:rPr>
      </w:pPr>
      <w:r w:rsidRPr="00515860">
        <w:rPr>
          <w:b/>
          <w:bCs/>
          <w:color w:val="000000"/>
        </w:rPr>
        <w:t>Annotated Bibliography:</w:t>
      </w:r>
    </w:p>
    <w:p w14:paraId="24B2B638" w14:textId="77777777" w:rsidR="0035391F" w:rsidRPr="00515860" w:rsidRDefault="0035391F" w:rsidP="0035391F">
      <w:pPr>
        <w:pStyle w:val="NormalWeb"/>
        <w:rPr>
          <w:color w:val="000000"/>
        </w:rPr>
      </w:pPr>
      <w:r w:rsidRPr="00515860">
        <w:rPr>
          <w:color w:val="000000"/>
        </w:rPr>
        <w:t>Summary: The review emphasizes ANN's place in education with robust prediction versus transparency issues.</w:t>
      </w:r>
    </w:p>
    <w:p w14:paraId="77055596" w14:textId="77777777" w:rsidR="0035391F" w:rsidRPr="00515860" w:rsidRDefault="0035391F" w:rsidP="0035391F">
      <w:pPr>
        <w:pStyle w:val="NormalWeb"/>
        <w:rPr>
          <w:color w:val="000000"/>
        </w:rPr>
      </w:pPr>
      <w:r w:rsidRPr="00515860">
        <w:rPr>
          <w:color w:val="000000"/>
        </w:rPr>
        <w:t>Relevance: It enables AI-based career and skills analytics in SLU Alumni Connect.</w:t>
      </w:r>
    </w:p>
    <w:p w14:paraId="22B15421" w14:textId="444A1ED5" w:rsidR="0035391F" w:rsidRPr="00515860" w:rsidRDefault="0035391F" w:rsidP="00A87917">
      <w:pPr>
        <w:pStyle w:val="NormalWeb"/>
        <w:numPr>
          <w:ilvl w:val="0"/>
          <w:numId w:val="42"/>
        </w:numPr>
        <w:rPr>
          <w:b/>
          <w:bCs/>
          <w:color w:val="000000"/>
        </w:rPr>
      </w:pPr>
      <w:r w:rsidRPr="00515860">
        <w:rPr>
          <w:b/>
          <w:bCs/>
          <w:color w:val="000000"/>
        </w:rPr>
        <w:t>Career transitions and trajectories: A case study in computing.</w:t>
      </w:r>
    </w:p>
    <w:p w14:paraId="07F53A67" w14:textId="77777777" w:rsidR="0035391F" w:rsidRPr="00515860" w:rsidRDefault="0035391F" w:rsidP="0035391F">
      <w:pPr>
        <w:pStyle w:val="NormalWeb"/>
        <w:rPr>
          <w:color w:val="000000"/>
        </w:rPr>
      </w:pPr>
      <w:r w:rsidRPr="00515860">
        <w:rPr>
          <w:color w:val="000000"/>
        </w:rPr>
        <w:t>Evaluates career trajectory modeling using network analysis. Establishes proof of SLU's predictive career path modeling feature.</w:t>
      </w:r>
    </w:p>
    <w:p w14:paraId="65CE2EAC" w14:textId="77777777" w:rsidR="0035391F" w:rsidRPr="00515860" w:rsidRDefault="0035391F" w:rsidP="0035391F">
      <w:pPr>
        <w:pStyle w:val="NormalWeb"/>
        <w:rPr>
          <w:b/>
          <w:bCs/>
          <w:color w:val="000000"/>
        </w:rPr>
      </w:pPr>
      <w:r w:rsidRPr="00515860">
        <w:rPr>
          <w:b/>
          <w:bCs/>
          <w:color w:val="000000"/>
        </w:rPr>
        <w:t>Reference:</w:t>
      </w:r>
    </w:p>
    <w:p w14:paraId="2A1745EC" w14:textId="77777777" w:rsidR="0035391F" w:rsidRPr="00515860" w:rsidRDefault="0035391F" w:rsidP="0035391F">
      <w:pPr>
        <w:pStyle w:val="NormalWeb"/>
        <w:rPr>
          <w:color w:val="000000"/>
        </w:rPr>
      </w:pPr>
      <w:r w:rsidRPr="00515860">
        <w:rPr>
          <w:color w:val="000000"/>
        </w:rPr>
        <w:t xml:space="preserve">Safavi, T., Davoodi, M., &amp; Koutra, D. (2018). Career transitions and trajectories: A case study in computing. </w:t>
      </w:r>
      <w:proofErr w:type="spellStart"/>
      <w:r w:rsidRPr="00515860">
        <w:rPr>
          <w:color w:val="000000"/>
        </w:rPr>
        <w:t>arXiv</w:t>
      </w:r>
      <w:proofErr w:type="spellEnd"/>
      <w:r w:rsidRPr="00515860">
        <w:rPr>
          <w:color w:val="000000"/>
        </w:rPr>
        <w:t xml:space="preserve"> preprint arXiv:1805.06534. </w:t>
      </w:r>
    </w:p>
    <w:p w14:paraId="31E17199" w14:textId="04F2CCFE" w:rsidR="0035391F" w:rsidRPr="00515860" w:rsidRDefault="0035391F" w:rsidP="0035391F">
      <w:pPr>
        <w:pStyle w:val="NormalWeb"/>
        <w:ind w:left="720"/>
        <w:rPr>
          <w:color w:val="000000"/>
        </w:rPr>
      </w:pPr>
      <w:hyperlink r:id="rId13" w:history="1">
        <w:r w:rsidRPr="00515860">
          <w:rPr>
            <w:rStyle w:val="Hyperlink"/>
          </w:rPr>
          <w:t>https://arxiv.org/abs/1805.06534</w:t>
        </w:r>
      </w:hyperlink>
    </w:p>
    <w:p w14:paraId="30CFD0C0" w14:textId="77777777" w:rsidR="0035391F" w:rsidRPr="00515860" w:rsidRDefault="0035391F" w:rsidP="0035391F">
      <w:pPr>
        <w:pStyle w:val="NormalWeb"/>
        <w:rPr>
          <w:b/>
          <w:bCs/>
          <w:color w:val="000000"/>
        </w:rPr>
      </w:pPr>
      <w:r w:rsidRPr="00515860">
        <w:rPr>
          <w:b/>
          <w:bCs/>
          <w:color w:val="000000"/>
        </w:rPr>
        <w:t>Annotated Bibliography:</w:t>
      </w:r>
    </w:p>
    <w:p w14:paraId="2F882B3F" w14:textId="77777777" w:rsidR="0035391F" w:rsidRPr="00515860" w:rsidRDefault="0035391F" w:rsidP="0035391F">
      <w:pPr>
        <w:pStyle w:val="NormalWeb"/>
        <w:rPr>
          <w:color w:val="000000"/>
        </w:rPr>
      </w:pPr>
      <w:r w:rsidRPr="00515860">
        <w:rPr>
          <w:color w:val="000000"/>
        </w:rPr>
        <w:t>Summary: The study utilizes career network modeling to predict role transition and establish promotion and job change patterns.</w:t>
      </w:r>
    </w:p>
    <w:p w14:paraId="15EFCD08" w14:textId="77777777" w:rsidR="0035391F" w:rsidRPr="00515860" w:rsidRDefault="0035391F" w:rsidP="0035391F">
      <w:pPr>
        <w:pStyle w:val="NormalWeb"/>
        <w:rPr>
          <w:color w:val="000000"/>
        </w:rPr>
      </w:pPr>
      <w:r w:rsidRPr="00515860">
        <w:rPr>
          <w:color w:val="000000"/>
        </w:rPr>
        <w:t>Relevance: It is used to inform SLU's predictive career path function and employer collaboration.</w:t>
      </w:r>
    </w:p>
    <w:p w14:paraId="2B9967C7" w14:textId="77777777" w:rsidR="0035391F" w:rsidRPr="00515860" w:rsidRDefault="0035391F" w:rsidP="0035391F">
      <w:pPr>
        <w:pStyle w:val="NormalWeb"/>
        <w:rPr>
          <w:b/>
          <w:bCs/>
          <w:color w:val="004E9A"/>
        </w:rPr>
      </w:pPr>
      <w:r w:rsidRPr="00515860">
        <w:rPr>
          <w:b/>
          <w:bCs/>
          <w:color w:val="004E9A"/>
        </w:rPr>
        <w:t>Sanjeev (Academic – Employability Models)</w:t>
      </w:r>
    </w:p>
    <w:p w14:paraId="372EF5CA" w14:textId="1C606214" w:rsidR="0035391F" w:rsidRPr="00515860" w:rsidRDefault="0035391F" w:rsidP="00A87917">
      <w:pPr>
        <w:pStyle w:val="NormalWeb"/>
        <w:numPr>
          <w:ilvl w:val="0"/>
          <w:numId w:val="42"/>
        </w:numPr>
        <w:rPr>
          <w:b/>
          <w:bCs/>
          <w:color w:val="000000"/>
        </w:rPr>
      </w:pPr>
      <w:r w:rsidRPr="00515860">
        <w:rPr>
          <w:b/>
          <w:bCs/>
          <w:color w:val="000000"/>
        </w:rPr>
        <w:t>Employability Prediction of Information Technology Graduates using Machine Learning Algorithms</w:t>
      </w:r>
    </w:p>
    <w:p w14:paraId="1F981E93" w14:textId="77777777" w:rsidR="0035391F" w:rsidRPr="00515860" w:rsidRDefault="0035391F" w:rsidP="0035391F">
      <w:pPr>
        <w:pStyle w:val="NormalWeb"/>
        <w:rPr>
          <w:color w:val="000000"/>
        </w:rPr>
      </w:pPr>
      <w:r w:rsidRPr="00515860">
        <w:rPr>
          <w:color w:val="000000"/>
        </w:rPr>
        <w:t>Examines data mining methods used to approximate graduate employability. Supports SLU's mission for skills-demand analytics.</w:t>
      </w:r>
    </w:p>
    <w:p w14:paraId="29D9BF3A" w14:textId="77777777" w:rsidR="0035391F" w:rsidRPr="00515860" w:rsidRDefault="0035391F" w:rsidP="0035391F">
      <w:pPr>
        <w:pStyle w:val="NormalWeb"/>
        <w:rPr>
          <w:b/>
          <w:bCs/>
          <w:color w:val="000000"/>
        </w:rPr>
      </w:pPr>
      <w:r w:rsidRPr="00515860">
        <w:rPr>
          <w:b/>
          <w:bCs/>
          <w:color w:val="000000"/>
        </w:rPr>
        <w:t>Reference:</w:t>
      </w:r>
    </w:p>
    <w:p w14:paraId="1A0B316C" w14:textId="77777777" w:rsidR="00A87917" w:rsidRPr="00515860" w:rsidRDefault="0035391F" w:rsidP="00A87917">
      <w:pPr>
        <w:pStyle w:val="NormalWeb"/>
        <w:rPr>
          <w:color w:val="000000"/>
        </w:rPr>
      </w:pPr>
      <w:r w:rsidRPr="00515860">
        <w:rPr>
          <w:color w:val="000000"/>
        </w:rPr>
        <w:t xml:space="preserve">Mpia, C., Mburu, B., &amp; Mwendia, P. (2023). Applying data mining in graduates’ employability: A systematic literature review. International Journal of Engineering Pedagogy, 13(2), 121–138. </w:t>
      </w:r>
    </w:p>
    <w:p w14:paraId="2189D509" w14:textId="05700339" w:rsidR="0035391F" w:rsidRPr="00515860" w:rsidRDefault="00A87917" w:rsidP="00A87917">
      <w:pPr>
        <w:pStyle w:val="NormalWeb"/>
        <w:ind w:left="720"/>
        <w:rPr>
          <w:color w:val="000000"/>
        </w:rPr>
      </w:pPr>
      <w:hyperlink r:id="rId14" w:history="1">
        <w:r w:rsidRPr="00515860">
          <w:rPr>
            <w:rStyle w:val="Hyperlink"/>
          </w:rPr>
          <w:t>https://www.academia.edu/118703381/Employability_Prediction_of_Information_Technology_Graduates_usi</w:t>
        </w:r>
      </w:hyperlink>
    </w:p>
    <w:p w14:paraId="3FBE8041" w14:textId="77777777" w:rsidR="0035391F" w:rsidRPr="00515860" w:rsidRDefault="0035391F" w:rsidP="0035391F">
      <w:pPr>
        <w:pStyle w:val="NormalWeb"/>
        <w:rPr>
          <w:b/>
          <w:bCs/>
          <w:color w:val="000000"/>
        </w:rPr>
      </w:pPr>
      <w:r w:rsidRPr="00515860">
        <w:rPr>
          <w:b/>
          <w:bCs/>
          <w:color w:val="000000"/>
        </w:rPr>
        <w:t>Annotated Bibliography:</w:t>
      </w:r>
    </w:p>
    <w:p w14:paraId="0A4B0A1E" w14:textId="77777777" w:rsidR="0035391F" w:rsidRPr="00515860" w:rsidRDefault="0035391F" w:rsidP="0035391F">
      <w:pPr>
        <w:pStyle w:val="NormalWeb"/>
        <w:rPr>
          <w:color w:val="000000"/>
        </w:rPr>
      </w:pPr>
      <w:r w:rsidRPr="00515860">
        <w:rPr>
          <w:color w:val="000000"/>
        </w:rPr>
        <w:t>Summary: The critique explores the employability prediction with data mining methods in which it determines the key factors including academics, qualifications, and internship.</w:t>
      </w:r>
    </w:p>
    <w:p w14:paraId="7BCFE5D4" w14:textId="77777777" w:rsidR="0035391F" w:rsidRPr="00515860" w:rsidRDefault="0035391F" w:rsidP="0035391F">
      <w:pPr>
        <w:pStyle w:val="NormalWeb"/>
        <w:rPr>
          <w:color w:val="000000"/>
        </w:rPr>
      </w:pPr>
      <w:r w:rsidRPr="00515860">
        <w:rPr>
          <w:color w:val="000000"/>
        </w:rPr>
        <w:t>Relevance: It supports SLU's skills demand analysis by relating graduate data with labor market needs.</w:t>
      </w:r>
    </w:p>
    <w:p w14:paraId="045C0984" w14:textId="77777777" w:rsidR="00370DCA" w:rsidRPr="00515860" w:rsidRDefault="00370DCA" w:rsidP="00031D8C">
      <w:pPr>
        <w:pStyle w:val="NormalWeb"/>
        <w:ind w:left="720"/>
      </w:pPr>
    </w:p>
    <w:p w14:paraId="2070A1C7" w14:textId="5C704E4B" w:rsidR="00370DCA" w:rsidRPr="00515860" w:rsidRDefault="00370DCA" w:rsidP="00370DCA">
      <w:pPr>
        <w:pStyle w:val="NormalWeb"/>
        <w:numPr>
          <w:ilvl w:val="0"/>
          <w:numId w:val="29"/>
        </w:numPr>
        <w:rPr>
          <w:b/>
          <w:bCs/>
          <w:color w:val="000000"/>
        </w:rPr>
      </w:pPr>
      <w:r w:rsidRPr="00515860">
        <w:rPr>
          <w:b/>
          <w:bCs/>
          <w:color w:val="000000"/>
        </w:rPr>
        <w:t>University-industry research collaboration: a model to assess university capability:</w:t>
      </w:r>
    </w:p>
    <w:p w14:paraId="1BFB06E4" w14:textId="77777777" w:rsidR="00370DCA" w:rsidRPr="00515860" w:rsidRDefault="00370DCA" w:rsidP="00370DCA">
      <w:pPr>
        <w:pStyle w:val="NormalWeb"/>
        <w:rPr>
          <w:color w:val="000000"/>
        </w:rPr>
      </w:pPr>
      <w:r w:rsidRPr="00515860">
        <w:rPr>
          <w:color w:val="000000"/>
        </w:rPr>
        <w:t>Assesses the impact of research excellence on industry partnership. Relevant to creating SLU's employer partnership strategy.</w:t>
      </w:r>
    </w:p>
    <w:p w14:paraId="08442A21" w14:textId="77777777" w:rsidR="00370DCA" w:rsidRPr="00515860" w:rsidRDefault="00370DCA" w:rsidP="00370DCA">
      <w:pPr>
        <w:pStyle w:val="NormalWeb"/>
        <w:rPr>
          <w:b/>
          <w:bCs/>
          <w:color w:val="000000"/>
        </w:rPr>
      </w:pPr>
      <w:r w:rsidRPr="00515860">
        <w:rPr>
          <w:b/>
          <w:bCs/>
          <w:color w:val="000000"/>
        </w:rPr>
        <w:t>Reference:</w:t>
      </w:r>
    </w:p>
    <w:p w14:paraId="459ECA7E" w14:textId="77777777" w:rsidR="00370DCA" w:rsidRPr="00515860" w:rsidRDefault="00370DCA" w:rsidP="00370DCA">
      <w:pPr>
        <w:pStyle w:val="NormalWeb"/>
        <w:rPr>
          <w:color w:val="000000"/>
        </w:rPr>
      </w:pPr>
      <w:r w:rsidRPr="00515860">
        <w:rPr>
          <w:color w:val="000000"/>
        </w:rPr>
        <w:t xml:space="preserve">Abramo, G., D’Angelo, C. A., &amp; Di Costa, F. (2010). University-industry research collaboration: a model to assess university capability. Higher Education, 62(2), 163–181. </w:t>
      </w:r>
    </w:p>
    <w:p w14:paraId="3A10EA89" w14:textId="11FC27C6" w:rsidR="00370DCA" w:rsidRPr="00515860" w:rsidRDefault="00370DCA" w:rsidP="00370DCA">
      <w:pPr>
        <w:pStyle w:val="NormalWeb"/>
        <w:ind w:left="720"/>
        <w:rPr>
          <w:color w:val="000000"/>
        </w:rPr>
      </w:pPr>
      <w:hyperlink r:id="rId15" w:history="1">
        <w:r w:rsidRPr="00515860">
          <w:rPr>
            <w:rStyle w:val="Hyperlink"/>
          </w:rPr>
          <w:t>https://doi.org/10.1007/s10734-010-9372-0</w:t>
        </w:r>
      </w:hyperlink>
    </w:p>
    <w:p w14:paraId="36026C9A" w14:textId="77777777" w:rsidR="00370DCA" w:rsidRPr="00515860" w:rsidRDefault="00370DCA" w:rsidP="00370DCA">
      <w:pPr>
        <w:pStyle w:val="NormalWeb"/>
        <w:rPr>
          <w:b/>
          <w:bCs/>
          <w:color w:val="000000"/>
        </w:rPr>
      </w:pPr>
      <w:r w:rsidRPr="00515860">
        <w:rPr>
          <w:b/>
          <w:bCs/>
          <w:color w:val="000000"/>
        </w:rPr>
        <w:t>Annotated Bibliography:</w:t>
      </w:r>
    </w:p>
    <w:p w14:paraId="160D19D4" w14:textId="77777777" w:rsidR="00370DCA" w:rsidRPr="00515860" w:rsidRDefault="00370DCA" w:rsidP="00370DCA">
      <w:pPr>
        <w:pStyle w:val="NormalWeb"/>
        <w:rPr>
          <w:color w:val="000000"/>
        </w:rPr>
      </w:pPr>
      <w:r w:rsidRPr="00515860">
        <w:rPr>
          <w:color w:val="000000"/>
        </w:rPr>
        <w:t>Summary: The study suggests that good quality research enhances universities' ability for industry collaboration.</w:t>
      </w:r>
    </w:p>
    <w:p w14:paraId="0FA4913E" w14:textId="77777777" w:rsidR="00370DCA" w:rsidRPr="00515860" w:rsidRDefault="00370DCA" w:rsidP="00370DCA">
      <w:pPr>
        <w:pStyle w:val="NormalWeb"/>
        <w:rPr>
          <w:color w:val="000000"/>
        </w:rPr>
      </w:pPr>
      <w:r w:rsidRPr="00515860">
        <w:rPr>
          <w:color w:val="000000"/>
        </w:rPr>
        <w:t>Relevance: It enables SLU's employer partnership strategy through alumni and employer insights.</w:t>
      </w:r>
    </w:p>
    <w:p w14:paraId="3764A5FB" w14:textId="77777777" w:rsidR="00370DCA" w:rsidRPr="00515860" w:rsidRDefault="00370DCA" w:rsidP="00370DCA">
      <w:pPr>
        <w:pStyle w:val="NormalWeb"/>
        <w:rPr>
          <w:b/>
          <w:bCs/>
          <w:color w:val="004E9A"/>
        </w:rPr>
      </w:pPr>
      <w:r w:rsidRPr="00515860">
        <w:rPr>
          <w:b/>
          <w:bCs/>
          <w:color w:val="004E9A"/>
        </w:rPr>
        <w:t>Harsha (Industry – Employer Partnerships &amp; Pipelines)</w:t>
      </w:r>
    </w:p>
    <w:p w14:paraId="2B405957" w14:textId="53823D2D" w:rsidR="00370DCA" w:rsidRPr="00515860" w:rsidRDefault="00370DCA" w:rsidP="00370DCA">
      <w:pPr>
        <w:pStyle w:val="NormalWeb"/>
        <w:numPr>
          <w:ilvl w:val="0"/>
          <w:numId w:val="29"/>
        </w:numPr>
        <w:rPr>
          <w:b/>
          <w:bCs/>
          <w:color w:val="000000"/>
        </w:rPr>
      </w:pPr>
      <w:r w:rsidRPr="00515860">
        <w:rPr>
          <w:b/>
          <w:bCs/>
          <w:color w:val="000000"/>
        </w:rPr>
        <w:t xml:space="preserve"> How higher ed and employers can partner to power talent pipelines.</w:t>
      </w:r>
    </w:p>
    <w:p w14:paraId="5EB01933" w14:textId="77777777" w:rsidR="00370DCA" w:rsidRPr="00515860" w:rsidRDefault="00370DCA" w:rsidP="00370DCA">
      <w:pPr>
        <w:pStyle w:val="NormalWeb"/>
        <w:rPr>
          <w:color w:val="000000"/>
        </w:rPr>
      </w:pPr>
      <w:r w:rsidRPr="00515860">
        <w:rPr>
          <w:color w:val="000000"/>
        </w:rPr>
        <w:t>Examines university–employer partnerships for workforce readiness. Helps SLU map roadmap with industry strategy.</w:t>
      </w:r>
    </w:p>
    <w:p w14:paraId="24C39504" w14:textId="77777777" w:rsidR="00370DCA" w:rsidRPr="00515860" w:rsidRDefault="00370DCA" w:rsidP="00370DCA">
      <w:pPr>
        <w:pStyle w:val="NormalWeb"/>
        <w:rPr>
          <w:b/>
          <w:bCs/>
          <w:color w:val="000000"/>
        </w:rPr>
      </w:pPr>
      <w:r w:rsidRPr="00515860">
        <w:rPr>
          <w:b/>
          <w:bCs/>
          <w:color w:val="000000"/>
        </w:rPr>
        <w:t>Reference:</w:t>
      </w:r>
    </w:p>
    <w:p w14:paraId="2B6DB33F" w14:textId="77777777" w:rsidR="00370DCA" w:rsidRPr="00515860" w:rsidRDefault="00370DCA" w:rsidP="00370DCA">
      <w:pPr>
        <w:pStyle w:val="NormalWeb"/>
        <w:rPr>
          <w:color w:val="000000"/>
        </w:rPr>
      </w:pPr>
      <w:r w:rsidRPr="00515860">
        <w:rPr>
          <w:color w:val="000000"/>
        </w:rPr>
        <w:t xml:space="preserve">Boston Consulting Group (BCG). (2022). How higher ed and employers can partner to power talent pipelines. Boston Consulting Group. </w:t>
      </w:r>
    </w:p>
    <w:p w14:paraId="7E388BF9" w14:textId="6B79E43E" w:rsidR="00370DCA" w:rsidRPr="00515860" w:rsidRDefault="00370DCA" w:rsidP="00370DCA">
      <w:pPr>
        <w:pStyle w:val="NormalWeb"/>
        <w:ind w:left="720"/>
        <w:rPr>
          <w:color w:val="000000"/>
        </w:rPr>
      </w:pPr>
      <w:hyperlink r:id="rId16" w:history="1">
        <w:r w:rsidRPr="00515860">
          <w:rPr>
            <w:rStyle w:val="Hyperlink"/>
          </w:rPr>
          <w:t>https://www.bcg.com/publications/2022/bridging-the-talent-gap-by-partnering-with-higher-ed-institutions</w:t>
        </w:r>
      </w:hyperlink>
    </w:p>
    <w:p w14:paraId="5A5EC146" w14:textId="77777777" w:rsidR="00370DCA" w:rsidRPr="00515860" w:rsidRDefault="00370DCA" w:rsidP="00370DCA">
      <w:pPr>
        <w:pStyle w:val="NormalWeb"/>
        <w:rPr>
          <w:b/>
          <w:bCs/>
          <w:color w:val="000000"/>
        </w:rPr>
      </w:pPr>
      <w:r w:rsidRPr="00515860">
        <w:rPr>
          <w:b/>
          <w:bCs/>
          <w:color w:val="000000"/>
        </w:rPr>
        <w:t>Annotated Bibliography:</w:t>
      </w:r>
    </w:p>
    <w:p w14:paraId="002970FA" w14:textId="77777777" w:rsidR="00370DCA" w:rsidRPr="00515860" w:rsidRDefault="00370DCA" w:rsidP="00370DCA">
      <w:pPr>
        <w:pStyle w:val="NormalWeb"/>
        <w:rPr>
          <w:color w:val="000000"/>
        </w:rPr>
      </w:pPr>
      <w:r w:rsidRPr="00515860">
        <w:rPr>
          <w:color w:val="000000"/>
        </w:rPr>
        <w:t>Summary: The report highlights university–employer partnership through data sharing, co-designed curricula, and internships, highlighting transparency for success.</w:t>
      </w:r>
    </w:p>
    <w:p w14:paraId="50DFD26E" w14:textId="77777777" w:rsidR="00370DCA" w:rsidRPr="00515860" w:rsidRDefault="00370DCA" w:rsidP="00370DCA">
      <w:pPr>
        <w:pStyle w:val="NormalWeb"/>
        <w:rPr>
          <w:color w:val="000000"/>
        </w:rPr>
      </w:pPr>
      <w:r w:rsidRPr="00515860">
        <w:rPr>
          <w:color w:val="000000"/>
        </w:rPr>
        <w:t>Relevance: It enables SLU's Employer Insights Dashboard to connect education with talent needs.</w:t>
      </w:r>
    </w:p>
    <w:p w14:paraId="359894DD" w14:textId="2CE89986" w:rsidR="00370DCA" w:rsidRPr="00515860" w:rsidRDefault="00370DCA" w:rsidP="00370DCA">
      <w:pPr>
        <w:pStyle w:val="NormalWeb"/>
        <w:numPr>
          <w:ilvl w:val="0"/>
          <w:numId w:val="29"/>
        </w:numPr>
        <w:rPr>
          <w:b/>
          <w:bCs/>
          <w:color w:val="000000"/>
        </w:rPr>
      </w:pPr>
      <w:r w:rsidRPr="00515860">
        <w:rPr>
          <w:b/>
          <w:bCs/>
          <w:color w:val="000000"/>
        </w:rPr>
        <w:t>An employer-centric approach to higher education partnerships.</w:t>
      </w:r>
    </w:p>
    <w:p w14:paraId="3993AE6A" w14:textId="77777777" w:rsidR="00370DCA" w:rsidRPr="00515860" w:rsidRDefault="00370DCA" w:rsidP="00370DCA">
      <w:pPr>
        <w:pStyle w:val="NormalWeb"/>
        <w:rPr>
          <w:color w:val="000000"/>
        </w:rPr>
      </w:pPr>
      <w:r w:rsidRPr="00515860">
        <w:rPr>
          <w:color w:val="000000"/>
        </w:rPr>
        <w:t>Employer survey results regarding what successful partnerships look like. Underpins SLU's employer insights dashboard.</w:t>
      </w:r>
    </w:p>
    <w:p w14:paraId="7196E0F6" w14:textId="77777777" w:rsidR="00370DCA" w:rsidRPr="00515860" w:rsidRDefault="00370DCA" w:rsidP="00370DCA">
      <w:pPr>
        <w:pStyle w:val="NormalWeb"/>
        <w:rPr>
          <w:b/>
          <w:bCs/>
          <w:color w:val="000000"/>
        </w:rPr>
      </w:pPr>
      <w:r w:rsidRPr="00515860">
        <w:rPr>
          <w:b/>
          <w:bCs/>
          <w:color w:val="000000"/>
        </w:rPr>
        <w:t>Reference:</w:t>
      </w:r>
    </w:p>
    <w:p w14:paraId="5A2F8BA4" w14:textId="77777777" w:rsidR="00370DCA" w:rsidRPr="00515860" w:rsidRDefault="00370DCA" w:rsidP="00370DCA">
      <w:pPr>
        <w:pStyle w:val="NormalWeb"/>
        <w:rPr>
          <w:color w:val="000000"/>
        </w:rPr>
      </w:pPr>
      <w:r w:rsidRPr="00515860">
        <w:rPr>
          <w:color w:val="000000"/>
        </w:rPr>
        <w:t xml:space="preserve">UPCEA &amp; Collegis Education. (2024). An employer-centric approach to higher education partnerships. UPCEA. </w:t>
      </w:r>
    </w:p>
    <w:p w14:paraId="44413002" w14:textId="1795FD5F" w:rsidR="00370DCA" w:rsidRPr="00515860" w:rsidRDefault="00370DCA" w:rsidP="00370DCA">
      <w:pPr>
        <w:pStyle w:val="NormalWeb"/>
        <w:ind w:left="720"/>
        <w:rPr>
          <w:color w:val="000000"/>
        </w:rPr>
      </w:pPr>
      <w:hyperlink r:id="rId17" w:history="1">
        <w:r w:rsidRPr="00515860">
          <w:rPr>
            <w:rStyle w:val="Hyperlink"/>
          </w:rPr>
          <w:t>https://collegiseducation.com/wp-content/uploads/2024/01/An-Employer-Centric-Approach-to-Higher-Education-Partnerships.pdf</w:t>
        </w:r>
      </w:hyperlink>
    </w:p>
    <w:p w14:paraId="13DB931F" w14:textId="77777777" w:rsidR="00370DCA" w:rsidRPr="00515860" w:rsidRDefault="00370DCA" w:rsidP="00370DCA">
      <w:pPr>
        <w:pStyle w:val="NormalWeb"/>
        <w:rPr>
          <w:b/>
          <w:bCs/>
          <w:color w:val="000000"/>
        </w:rPr>
      </w:pPr>
      <w:r w:rsidRPr="00515860">
        <w:rPr>
          <w:b/>
          <w:bCs/>
          <w:color w:val="000000"/>
        </w:rPr>
        <w:t>Annotated Bibliography:</w:t>
      </w:r>
    </w:p>
    <w:p w14:paraId="69A7D04B" w14:textId="77777777" w:rsidR="00370DCA" w:rsidRPr="00515860" w:rsidRDefault="00370DCA" w:rsidP="00370DCA">
      <w:pPr>
        <w:pStyle w:val="NormalWeb"/>
        <w:rPr>
          <w:color w:val="000000"/>
        </w:rPr>
      </w:pPr>
      <w:r w:rsidRPr="00515860">
        <w:rPr>
          <w:color w:val="000000"/>
        </w:rPr>
        <w:t>Summary: The 500+ employer survey identifies priorities like flexible credentials, professional development, and outcome-focused partnerships, with alumni data being a key enabler.</w:t>
      </w:r>
    </w:p>
    <w:p w14:paraId="65EECAC0" w14:textId="77777777" w:rsidR="00370DCA" w:rsidRPr="00515860" w:rsidRDefault="00370DCA" w:rsidP="00370DCA">
      <w:pPr>
        <w:pStyle w:val="NormalWeb"/>
        <w:rPr>
          <w:color w:val="000000"/>
        </w:rPr>
      </w:pPr>
      <w:r w:rsidRPr="00515860">
        <w:rPr>
          <w:color w:val="000000"/>
        </w:rPr>
        <w:t>Relevance: It enables SLU's employer-first strategy through alumni dashboards and engagement scoring.</w:t>
      </w:r>
    </w:p>
    <w:p w14:paraId="14E50B1C" w14:textId="77777777" w:rsidR="00370DCA" w:rsidRPr="00515860" w:rsidRDefault="00370DCA" w:rsidP="00370DCA">
      <w:pPr>
        <w:pStyle w:val="NormalWeb"/>
        <w:rPr>
          <w:b/>
          <w:bCs/>
          <w:color w:val="000000"/>
        </w:rPr>
      </w:pPr>
      <w:r w:rsidRPr="00515860">
        <w:rPr>
          <w:b/>
          <w:bCs/>
          <w:color w:val="000000"/>
        </w:rPr>
        <w:t>Lasya (Industry – Skills &amp; Workforce Alignment)</w:t>
      </w:r>
    </w:p>
    <w:p w14:paraId="31E7DF1B" w14:textId="05C3C7FC" w:rsidR="00370DCA" w:rsidRPr="00515860" w:rsidRDefault="00370DCA" w:rsidP="00370DCA">
      <w:pPr>
        <w:pStyle w:val="NormalWeb"/>
        <w:numPr>
          <w:ilvl w:val="0"/>
          <w:numId w:val="29"/>
        </w:numPr>
        <w:rPr>
          <w:b/>
          <w:bCs/>
          <w:color w:val="000000"/>
        </w:rPr>
      </w:pPr>
      <w:r w:rsidRPr="00515860">
        <w:rPr>
          <w:b/>
          <w:bCs/>
          <w:color w:val="000000"/>
        </w:rPr>
        <w:t>Align education and industry for the workforce of tomorrow</w:t>
      </w:r>
    </w:p>
    <w:p w14:paraId="2766CF8C" w14:textId="77777777" w:rsidR="00370DCA" w:rsidRPr="00515860" w:rsidRDefault="00370DCA" w:rsidP="00370DCA">
      <w:pPr>
        <w:pStyle w:val="NormalWeb"/>
        <w:rPr>
          <w:color w:val="000000"/>
        </w:rPr>
      </w:pPr>
      <w:r w:rsidRPr="00515860">
        <w:rPr>
          <w:color w:val="000000"/>
        </w:rPr>
        <w:t>Examines resilient skills employers require (e.g., teamwork, problem-solving). Informs curriculum alignment features.</w:t>
      </w:r>
    </w:p>
    <w:p w14:paraId="2E35054D" w14:textId="77777777" w:rsidR="00370DCA" w:rsidRPr="00515860" w:rsidRDefault="00370DCA" w:rsidP="00370DCA">
      <w:pPr>
        <w:pStyle w:val="NormalWeb"/>
        <w:rPr>
          <w:b/>
          <w:bCs/>
          <w:color w:val="000000"/>
        </w:rPr>
      </w:pPr>
      <w:r w:rsidRPr="00515860">
        <w:rPr>
          <w:b/>
          <w:bCs/>
          <w:color w:val="000000"/>
        </w:rPr>
        <w:t>Reference:</w:t>
      </w:r>
    </w:p>
    <w:p w14:paraId="5A859072" w14:textId="77777777" w:rsidR="00370DCA" w:rsidRPr="00515860" w:rsidRDefault="00370DCA" w:rsidP="00370DCA">
      <w:pPr>
        <w:pStyle w:val="NormalWeb"/>
        <w:rPr>
          <w:color w:val="000000"/>
        </w:rPr>
      </w:pPr>
      <w:r w:rsidRPr="00515860">
        <w:rPr>
          <w:color w:val="000000"/>
        </w:rPr>
        <w:t xml:space="preserve">Business-Higher Education Forum (BHEF). (2024). Align education and industry for the workforce of tomorrow (Forging Partnerships). BHEF. </w:t>
      </w:r>
      <w:r w:rsidRPr="00515860">
        <w:rPr>
          <w:color w:val="000000"/>
        </w:rPr>
        <w:t xml:space="preserve"> </w:t>
      </w:r>
    </w:p>
    <w:p w14:paraId="431933D6" w14:textId="5216A386" w:rsidR="00370DCA" w:rsidRPr="00515860" w:rsidRDefault="00370DCA" w:rsidP="00370DCA">
      <w:pPr>
        <w:pStyle w:val="NormalWeb"/>
        <w:ind w:left="720"/>
        <w:rPr>
          <w:color w:val="000000"/>
        </w:rPr>
      </w:pPr>
      <w:hyperlink r:id="rId18" w:history="1">
        <w:r w:rsidRPr="00515860">
          <w:rPr>
            <w:rStyle w:val="Hyperlink"/>
          </w:rPr>
          <w:t>https://www.bhef.com/sites/default/files/2024-BHEF-Forging%20Partnerships.pdf</w:t>
        </w:r>
      </w:hyperlink>
    </w:p>
    <w:p w14:paraId="38E682EB" w14:textId="77777777" w:rsidR="00370DCA" w:rsidRPr="00515860" w:rsidRDefault="00370DCA" w:rsidP="00370DCA">
      <w:pPr>
        <w:pStyle w:val="NormalWeb"/>
        <w:rPr>
          <w:b/>
          <w:bCs/>
          <w:color w:val="000000"/>
        </w:rPr>
      </w:pPr>
      <w:r w:rsidRPr="00515860">
        <w:rPr>
          <w:b/>
          <w:bCs/>
          <w:color w:val="000000"/>
        </w:rPr>
        <w:t>Annotated Bibliography:</w:t>
      </w:r>
    </w:p>
    <w:p w14:paraId="7E39339B" w14:textId="77777777" w:rsidR="00370DCA" w:rsidRPr="00515860" w:rsidRDefault="00370DCA" w:rsidP="00370DCA">
      <w:pPr>
        <w:pStyle w:val="NormalWeb"/>
        <w:rPr>
          <w:color w:val="000000"/>
        </w:rPr>
      </w:pPr>
      <w:r w:rsidRPr="00515860">
        <w:rPr>
          <w:color w:val="000000"/>
        </w:rPr>
        <w:t>Summary: The report focuses on industry-compatible curricula and long-term skills, urging the use of employment and alumni information to remain competitive.</w:t>
      </w:r>
    </w:p>
    <w:p w14:paraId="737DB106" w14:textId="77777777" w:rsidR="00370DCA" w:rsidRPr="00515860" w:rsidRDefault="00370DCA" w:rsidP="00370DCA">
      <w:pPr>
        <w:pStyle w:val="NormalWeb"/>
        <w:rPr>
          <w:color w:val="000000"/>
        </w:rPr>
      </w:pPr>
      <w:r w:rsidRPr="00515860">
        <w:rPr>
          <w:color w:val="000000"/>
        </w:rPr>
        <w:t>Relevance: It reinforces SLU's curriculum compatibility and demand analysis of jobs in the MMP.</w:t>
      </w:r>
    </w:p>
    <w:p w14:paraId="37FD2CCA" w14:textId="04274339" w:rsidR="00370DCA" w:rsidRPr="00515860" w:rsidRDefault="00370DCA" w:rsidP="00370DCA">
      <w:pPr>
        <w:pStyle w:val="NormalWeb"/>
        <w:numPr>
          <w:ilvl w:val="0"/>
          <w:numId w:val="29"/>
        </w:numPr>
        <w:rPr>
          <w:b/>
          <w:bCs/>
          <w:color w:val="000000"/>
        </w:rPr>
      </w:pPr>
      <w:r w:rsidRPr="00515860">
        <w:rPr>
          <w:b/>
          <w:bCs/>
          <w:color w:val="000000"/>
        </w:rPr>
        <w:t>Workforce alignment study report. USHE.</w:t>
      </w:r>
    </w:p>
    <w:p w14:paraId="06AC13BC" w14:textId="77777777" w:rsidR="00370DCA" w:rsidRPr="00515860" w:rsidRDefault="00370DCA" w:rsidP="00370DCA">
      <w:pPr>
        <w:pStyle w:val="NormalWeb"/>
        <w:rPr>
          <w:color w:val="000000"/>
        </w:rPr>
      </w:pPr>
      <w:r w:rsidRPr="00515860">
        <w:rPr>
          <w:color w:val="000000"/>
        </w:rPr>
        <w:t>State-level workforce alignment analysis. Provides support for event management and work-based learning features.</w:t>
      </w:r>
    </w:p>
    <w:p w14:paraId="127DB851" w14:textId="77777777" w:rsidR="00370DCA" w:rsidRPr="00515860" w:rsidRDefault="00370DCA" w:rsidP="00370DCA">
      <w:pPr>
        <w:pStyle w:val="NormalWeb"/>
        <w:rPr>
          <w:b/>
          <w:bCs/>
          <w:color w:val="000000"/>
        </w:rPr>
      </w:pPr>
      <w:r w:rsidRPr="00515860">
        <w:rPr>
          <w:b/>
          <w:bCs/>
          <w:color w:val="000000"/>
        </w:rPr>
        <w:t>Reference:</w:t>
      </w:r>
    </w:p>
    <w:p w14:paraId="31DEC074" w14:textId="77777777" w:rsidR="00370DCA" w:rsidRPr="00515860" w:rsidRDefault="00370DCA" w:rsidP="00370DCA">
      <w:pPr>
        <w:pStyle w:val="NormalWeb"/>
        <w:rPr>
          <w:color w:val="000000"/>
        </w:rPr>
      </w:pPr>
      <w:r w:rsidRPr="00515860">
        <w:rPr>
          <w:color w:val="000000"/>
        </w:rPr>
        <w:t xml:space="preserve">Utah System of Higher Education (USHE). (2024). Workforce alignment study report. USHE. </w:t>
      </w:r>
    </w:p>
    <w:p w14:paraId="039B04B5" w14:textId="73818020" w:rsidR="0035391F" w:rsidRPr="00515860" w:rsidRDefault="00370DCA" w:rsidP="0035391F">
      <w:pPr>
        <w:pStyle w:val="NormalWeb"/>
        <w:ind w:left="720"/>
        <w:rPr>
          <w:color w:val="000000"/>
        </w:rPr>
      </w:pPr>
      <w:r w:rsidRPr="00515860">
        <w:rPr>
          <w:color w:val="000000"/>
        </w:rPr>
        <w:fldChar w:fldCharType="begin"/>
      </w:r>
      <w:r w:rsidRPr="00515860">
        <w:rPr>
          <w:color w:val="000000"/>
        </w:rPr>
        <w:instrText>HYPERLINK "https://ushe.edu/wp-content/uploads/pdf/reports/2024/2024_USHE_State_Workforce_Alignment_Study_Report.pdf"</w:instrText>
      </w:r>
      <w:r w:rsidRPr="00515860">
        <w:rPr>
          <w:color w:val="000000"/>
        </w:rPr>
      </w:r>
      <w:r w:rsidRPr="00515860">
        <w:rPr>
          <w:color w:val="000000"/>
        </w:rPr>
        <w:fldChar w:fldCharType="separate"/>
      </w:r>
      <w:r w:rsidRPr="00515860">
        <w:rPr>
          <w:rStyle w:val="Hyperlink"/>
        </w:rPr>
        <w:t>https://ushe.edu/wp-content/uploads/pdf/reports/2024/2024_USHE_State_Workforce_Alignment_Study_Report.pdf</w:t>
      </w:r>
      <w:r w:rsidRPr="00515860">
        <w:rPr>
          <w:color w:val="000000"/>
        </w:rPr>
        <w:fldChar w:fldCharType="end"/>
      </w:r>
    </w:p>
    <w:p w14:paraId="3EF9F770" w14:textId="77777777" w:rsidR="00370DCA" w:rsidRPr="00515860" w:rsidRDefault="00370DCA" w:rsidP="00370DCA">
      <w:pPr>
        <w:pStyle w:val="NormalWeb"/>
        <w:rPr>
          <w:b/>
          <w:bCs/>
          <w:color w:val="000000"/>
        </w:rPr>
      </w:pPr>
      <w:r w:rsidRPr="00515860">
        <w:rPr>
          <w:b/>
          <w:bCs/>
          <w:color w:val="000000"/>
        </w:rPr>
        <w:t>Annotated Bibliography:</w:t>
      </w:r>
    </w:p>
    <w:p w14:paraId="16965656" w14:textId="77777777" w:rsidR="00370DCA" w:rsidRPr="00515860" w:rsidRDefault="00370DCA" w:rsidP="00370DCA">
      <w:pPr>
        <w:pStyle w:val="NormalWeb"/>
        <w:rPr>
          <w:color w:val="000000"/>
        </w:rPr>
      </w:pPr>
      <w:r w:rsidRPr="00515860">
        <w:rPr>
          <w:color w:val="000000"/>
        </w:rPr>
        <w:t>Summary: It spots discrepancies between employer demand and higher education in Utah, focusing on work-based learning, flexible credentials, and the use of alumni information.</w:t>
      </w:r>
    </w:p>
    <w:p w14:paraId="207AE222" w14:textId="77777777" w:rsidR="00370DCA" w:rsidRPr="00515860" w:rsidRDefault="00370DCA" w:rsidP="00370DCA">
      <w:pPr>
        <w:pStyle w:val="NormalWeb"/>
        <w:rPr>
          <w:color w:val="000000"/>
        </w:rPr>
      </w:pPr>
      <w:r w:rsidRPr="00515860">
        <w:rPr>
          <w:color w:val="000000"/>
        </w:rPr>
        <w:t>Relevance: It reinforces SLU's internship matching and event management strengths for better employability.</w:t>
      </w:r>
    </w:p>
    <w:p w14:paraId="5B7C0B81" w14:textId="77777777" w:rsidR="00370DCA" w:rsidRPr="00031D8C" w:rsidRDefault="00370DCA" w:rsidP="00031D8C">
      <w:pPr>
        <w:pStyle w:val="NormalWeb"/>
        <w:ind w:left="720"/>
      </w:pPr>
    </w:p>
    <w:p w14:paraId="72AA574C" w14:textId="49F282A6" w:rsidR="00031D8C" w:rsidRPr="00031D8C" w:rsidRDefault="00515860" w:rsidP="00031D8C">
      <w:pPr>
        <w:pStyle w:val="NormalWeb"/>
        <w:ind w:firstLine="360"/>
        <w:rPr>
          <w:b/>
          <w:bCs/>
        </w:rPr>
      </w:pPr>
      <w:r>
        <w:rPr>
          <w:b/>
          <w:bCs/>
          <w:color w:val="000000" w:themeColor="text1"/>
        </w:rPr>
        <w:t xml:space="preserve">3.2 </w:t>
      </w:r>
      <w:r w:rsidR="00031D8C" w:rsidRPr="00031D8C">
        <w:rPr>
          <w:b/>
          <w:bCs/>
          <w:color w:val="000000" w:themeColor="text1"/>
        </w:rPr>
        <w:t>Research Matrix</w:t>
      </w:r>
    </w:p>
    <w:tbl>
      <w:tblPr>
        <w:tblW w:w="10676" w:type="dxa"/>
        <w:tblInd w:w="-365" w:type="dxa"/>
        <w:tblLayout w:type="fixed"/>
        <w:tblLook w:val="04A0" w:firstRow="1" w:lastRow="0" w:firstColumn="1" w:lastColumn="0" w:noHBand="0" w:noVBand="1"/>
      </w:tblPr>
      <w:tblGrid>
        <w:gridCol w:w="1170"/>
        <w:gridCol w:w="2970"/>
        <w:gridCol w:w="3420"/>
        <w:gridCol w:w="3116"/>
      </w:tblGrid>
      <w:tr w:rsidR="00031D8C" w:rsidRPr="00031D8C" w14:paraId="1B5F662E" w14:textId="77777777" w:rsidTr="00515860">
        <w:trPr>
          <w:trHeight w:val="900"/>
        </w:trPr>
        <w:tc>
          <w:tcPr>
            <w:tcW w:w="1170" w:type="dxa"/>
            <w:tcBorders>
              <w:top w:val="single" w:sz="4" w:space="0" w:color="auto"/>
              <w:left w:val="single" w:sz="4" w:space="0" w:color="auto"/>
              <w:bottom w:val="single" w:sz="4" w:space="0" w:color="auto"/>
              <w:right w:val="single" w:sz="4" w:space="0" w:color="auto"/>
            </w:tcBorders>
            <w:shd w:val="clear" w:color="000000" w:fill="4D93D9"/>
            <w:vAlign w:val="center"/>
            <w:hideMark/>
          </w:tcPr>
          <w:p w14:paraId="0BE3EFAE"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Theme</w:t>
            </w:r>
          </w:p>
        </w:tc>
        <w:tc>
          <w:tcPr>
            <w:tcW w:w="2970" w:type="dxa"/>
            <w:tcBorders>
              <w:top w:val="single" w:sz="4" w:space="0" w:color="auto"/>
              <w:left w:val="nil"/>
              <w:bottom w:val="single" w:sz="4" w:space="0" w:color="auto"/>
              <w:right w:val="single" w:sz="4" w:space="0" w:color="auto"/>
            </w:tcBorders>
            <w:shd w:val="clear" w:color="000000" w:fill="4D93D9"/>
            <w:vAlign w:val="center"/>
            <w:hideMark/>
          </w:tcPr>
          <w:p w14:paraId="426E9D6F"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Source</w:t>
            </w:r>
          </w:p>
        </w:tc>
        <w:tc>
          <w:tcPr>
            <w:tcW w:w="3420" w:type="dxa"/>
            <w:tcBorders>
              <w:top w:val="single" w:sz="4" w:space="0" w:color="auto"/>
              <w:left w:val="nil"/>
              <w:bottom w:val="single" w:sz="4" w:space="0" w:color="auto"/>
              <w:right w:val="single" w:sz="4" w:space="0" w:color="auto"/>
            </w:tcBorders>
            <w:shd w:val="clear" w:color="000000" w:fill="4D93D9"/>
            <w:vAlign w:val="center"/>
            <w:hideMark/>
          </w:tcPr>
          <w:p w14:paraId="289A8025"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Key Insight</w:t>
            </w:r>
          </w:p>
        </w:tc>
        <w:tc>
          <w:tcPr>
            <w:tcW w:w="3116" w:type="dxa"/>
            <w:tcBorders>
              <w:top w:val="single" w:sz="4" w:space="0" w:color="auto"/>
              <w:left w:val="nil"/>
              <w:bottom w:val="single" w:sz="4" w:space="0" w:color="auto"/>
              <w:right w:val="single" w:sz="4" w:space="0" w:color="auto"/>
            </w:tcBorders>
            <w:shd w:val="clear" w:color="000000" w:fill="4D93D9"/>
            <w:vAlign w:val="center"/>
            <w:hideMark/>
          </w:tcPr>
          <w:p w14:paraId="4A32D698"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Implication for Product</w:t>
            </w:r>
          </w:p>
        </w:tc>
      </w:tr>
      <w:tr w:rsidR="00031D8C" w:rsidRPr="00031D8C" w14:paraId="58DDCF62" w14:textId="77777777" w:rsidTr="00515860">
        <w:trPr>
          <w:trHeight w:val="1800"/>
        </w:trPr>
        <w:tc>
          <w:tcPr>
            <w:tcW w:w="1170" w:type="dxa"/>
            <w:vMerge w:val="restart"/>
            <w:tcBorders>
              <w:top w:val="nil"/>
              <w:left w:val="single" w:sz="4" w:space="0" w:color="auto"/>
              <w:bottom w:val="single" w:sz="4" w:space="0" w:color="auto"/>
              <w:right w:val="single" w:sz="4" w:space="0" w:color="auto"/>
            </w:tcBorders>
            <w:vAlign w:val="center"/>
            <w:hideMark/>
          </w:tcPr>
          <w:p w14:paraId="35DFA7D6"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Industry Trends</w:t>
            </w:r>
          </w:p>
        </w:tc>
        <w:tc>
          <w:tcPr>
            <w:tcW w:w="2970" w:type="dxa"/>
            <w:tcBorders>
              <w:top w:val="nil"/>
              <w:left w:val="nil"/>
              <w:bottom w:val="single" w:sz="4" w:space="0" w:color="auto"/>
              <w:right w:val="single" w:sz="4" w:space="0" w:color="auto"/>
            </w:tcBorders>
            <w:vAlign w:val="bottom"/>
            <w:hideMark/>
          </w:tcPr>
          <w:p w14:paraId="60368E43" w14:textId="77777777" w:rsidR="00031D8C" w:rsidRPr="00031D8C" w:rsidRDefault="00031D8C" w:rsidP="00CD6D8A">
            <w:pPr>
              <w:pStyle w:val="Heading1"/>
              <w:shd w:val="clear" w:color="auto" w:fill="FFFFFF"/>
              <w:spacing w:before="0" w:after="360" w:line="360" w:lineRule="auto"/>
              <w:textAlignment w:val="baseline"/>
              <w:rPr>
                <w:rFonts w:ascii="Times New Roman" w:hAnsi="Times New Roman" w:cs="Times New Roman"/>
                <w:color w:val="212427"/>
                <w:sz w:val="24"/>
                <w:szCs w:val="24"/>
              </w:rPr>
            </w:pPr>
            <w:r w:rsidRPr="00031D8C">
              <w:rPr>
                <w:rFonts w:ascii="Times New Roman" w:hAnsi="Times New Roman" w:cs="Times New Roman"/>
                <w:color w:val="212427"/>
                <w:sz w:val="24"/>
                <w:szCs w:val="24"/>
              </w:rPr>
              <w:t>How Higher Ed and Employers Can Partner to Power Talent Pipelines</w:t>
            </w:r>
          </w:p>
          <w:p w14:paraId="27FC9228"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1F7FDF00"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This report shows how universities and employers must co-design curricula, share alumni data, and create internship pipelines to strengthen graduate employability. Case studies demonstrate successful models of employer collaboration.</w:t>
            </w:r>
          </w:p>
        </w:tc>
        <w:tc>
          <w:tcPr>
            <w:tcW w:w="3116" w:type="dxa"/>
            <w:tcBorders>
              <w:top w:val="nil"/>
              <w:left w:val="nil"/>
              <w:bottom w:val="single" w:sz="4" w:space="0" w:color="auto"/>
              <w:right w:val="single" w:sz="4" w:space="0" w:color="auto"/>
            </w:tcBorders>
            <w:vAlign w:val="bottom"/>
            <w:hideMark/>
          </w:tcPr>
          <w:p w14:paraId="079ACE02"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Validates the </w:t>
            </w:r>
            <w:r w:rsidRPr="00031D8C">
              <w:rPr>
                <w:rFonts w:ascii="Times New Roman" w:eastAsia="Times New Roman" w:hAnsi="Times New Roman" w:cs="Times New Roman"/>
                <w:b/>
                <w:bCs/>
                <w:color w:val="000000"/>
                <w:kern w:val="0"/>
                <w14:ligatures w14:val="none"/>
              </w:rPr>
              <w:t>Employer Insights Dashboard</w:t>
            </w:r>
            <w:r w:rsidRPr="00031D8C">
              <w:rPr>
                <w:rFonts w:ascii="Times New Roman" w:eastAsia="Times New Roman" w:hAnsi="Times New Roman" w:cs="Times New Roman"/>
                <w:color w:val="000000"/>
                <w:kern w:val="0"/>
                <w14:ligatures w14:val="none"/>
              </w:rPr>
              <w:t xml:space="preserve"> and employer partnership features in MVP.</w:t>
            </w:r>
          </w:p>
        </w:tc>
      </w:tr>
      <w:tr w:rsidR="00031D8C" w:rsidRPr="00031D8C" w14:paraId="1B07AAA9" w14:textId="77777777" w:rsidTr="00515860">
        <w:trPr>
          <w:trHeight w:val="1800"/>
        </w:trPr>
        <w:tc>
          <w:tcPr>
            <w:tcW w:w="1170" w:type="dxa"/>
            <w:vMerge/>
            <w:tcBorders>
              <w:top w:val="nil"/>
              <w:left w:val="single" w:sz="4" w:space="0" w:color="auto"/>
              <w:bottom w:val="single" w:sz="4" w:space="0" w:color="auto"/>
              <w:right w:val="single" w:sz="4" w:space="0" w:color="auto"/>
            </w:tcBorders>
            <w:vAlign w:val="center"/>
            <w:hideMark/>
          </w:tcPr>
          <w:p w14:paraId="5069C655"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04EA7BA8"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r w:rsidRPr="00031D8C">
              <w:rPr>
                <w:rFonts w:ascii="Times New Roman" w:hAnsi="Times New Roman" w:cs="Times New Roman"/>
              </w:rPr>
              <w:t>Unveiling the Employer's View: An Employer-Centric Approach to Higher Education Partnerships</w:t>
            </w:r>
          </w:p>
        </w:tc>
        <w:tc>
          <w:tcPr>
            <w:tcW w:w="3420" w:type="dxa"/>
            <w:tcBorders>
              <w:top w:val="nil"/>
              <w:left w:val="nil"/>
              <w:bottom w:val="single" w:sz="4" w:space="0" w:color="auto"/>
              <w:right w:val="single" w:sz="4" w:space="0" w:color="auto"/>
            </w:tcBorders>
            <w:vAlign w:val="bottom"/>
            <w:hideMark/>
          </w:tcPr>
          <w:p w14:paraId="3296882A"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Based on surveys of 500+ employers, this report highlights priorities like flexible credentials, ROI, and professional development. It emphasizes that employer-driven partnerships lead to sustainable outcomes.</w:t>
            </w:r>
          </w:p>
        </w:tc>
        <w:tc>
          <w:tcPr>
            <w:tcW w:w="3116" w:type="dxa"/>
            <w:tcBorders>
              <w:top w:val="nil"/>
              <w:left w:val="nil"/>
              <w:bottom w:val="single" w:sz="4" w:space="0" w:color="auto"/>
              <w:right w:val="single" w:sz="4" w:space="0" w:color="auto"/>
            </w:tcBorders>
            <w:vAlign w:val="bottom"/>
            <w:hideMark/>
          </w:tcPr>
          <w:p w14:paraId="53F28C92"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Supports </w:t>
            </w:r>
            <w:r w:rsidRPr="00031D8C">
              <w:rPr>
                <w:rFonts w:ascii="Times New Roman" w:eastAsia="Times New Roman" w:hAnsi="Times New Roman" w:cs="Times New Roman"/>
                <w:b/>
                <w:bCs/>
                <w:color w:val="000000"/>
                <w:kern w:val="0"/>
                <w14:ligatures w14:val="none"/>
              </w:rPr>
              <w:t>Alumni Engagement Scoring</w:t>
            </w:r>
            <w:r w:rsidRPr="00031D8C">
              <w:rPr>
                <w:rFonts w:ascii="Times New Roman" w:eastAsia="Times New Roman" w:hAnsi="Times New Roman" w:cs="Times New Roman"/>
                <w:color w:val="000000"/>
                <w:kern w:val="0"/>
                <w14:ligatures w14:val="none"/>
              </w:rPr>
              <w:t xml:space="preserve"> and employer-focused reports in MMP.</w:t>
            </w:r>
          </w:p>
        </w:tc>
      </w:tr>
      <w:tr w:rsidR="00031D8C" w:rsidRPr="00031D8C" w14:paraId="4D92DE9B" w14:textId="77777777" w:rsidTr="00515860">
        <w:trPr>
          <w:trHeight w:val="1500"/>
        </w:trPr>
        <w:tc>
          <w:tcPr>
            <w:tcW w:w="1170" w:type="dxa"/>
            <w:vMerge/>
            <w:tcBorders>
              <w:top w:val="nil"/>
              <w:left w:val="single" w:sz="4" w:space="0" w:color="auto"/>
              <w:bottom w:val="single" w:sz="4" w:space="0" w:color="auto"/>
              <w:right w:val="single" w:sz="4" w:space="0" w:color="auto"/>
            </w:tcBorders>
            <w:vAlign w:val="center"/>
            <w:hideMark/>
          </w:tcPr>
          <w:p w14:paraId="102AE545"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58AA53AB"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r w:rsidRPr="00031D8C">
              <w:rPr>
                <w:rFonts w:ascii="Times New Roman" w:hAnsi="Times New Roman" w:cs="Times New Roman"/>
              </w:rPr>
              <w:t>Forging Partnerships to Align Education and Industry for the Workforce of Tomorrow</w:t>
            </w:r>
          </w:p>
        </w:tc>
        <w:tc>
          <w:tcPr>
            <w:tcW w:w="3420" w:type="dxa"/>
            <w:tcBorders>
              <w:top w:val="nil"/>
              <w:left w:val="nil"/>
              <w:bottom w:val="single" w:sz="4" w:space="0" w:color="auto"/>
              <w:right w:val="single" w:sz="4" w:space="0" w:color="auto"/>
            </w:tcBorders>
            <w:vAlign w:val="bottom"/>
            <w:hideMark/>
          </w:tcPr>
          <w:p w14:paraId="1958AB87"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The study highlights that employers increasingly seek durable skills such as communication, critical thinking, and teamwork alongside technical skills.</w:t>
            </w:r>
          </w:p>
        </w:tc>
        <w:tc>
          <w:tcPr>
            <w:tcW w:w="3116" w:type="dxa"/>
            <w:tcBorders>
              <w:top w:val="nil"/>
              <w:left w:val="nil"/>
              <w:bottom w:val="single" w:sz="4" w:space="0" w:color="auto"/>
              <w:right w:val="single" w:sz="4" w:space="0" w:color="auto"/>
            </w:tcBorders>
            <w:vAlign w:val="bottom"/>
            <w:hideMark/>
          </w:tcPr>
          <w:p w14:paraId="79B91CCD"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Informs </w:t>
            </w:r>
            <w:r w:rsidRPr="00031D8C">
              <w:rPr>
                <w:rFonts w:ascii="Times New Roman" w:eastAsia="Times New Roman" w:hAnsi="Times New Roman" w:cs="Times New Roman"/>
                <w:b/>
                <w:bCs/>
                <w:color w:val="000000"/>
                <w:kern w:val="0"/>
                <w14:ligatures w14:val="none"/>
              </w:rPr>
              <w:t>Skills Demand Analytics</w:t>
            </w:r>
            <w:r w:rsidRPr="00031D8C">
              <w:rPr>
                <w:rFonts w:ascii="Times New Roman" w:eastAsia="Times New Roman" w:hAnsi="Times New Roman" w:cs="Times New Roman"/>
                <w:color w:val="000000"/>
                <w:kern w:val="0"/>
                <w14:ligatures w14:val="none"/>
              </w:rPr>
              <w:t xml:space="preserve"> to align SLU curriculum with durable and technical skill needs.</w:t>
            </w:r>
          </w:p>
        </w:tc>
      </w:tr>
      <w:tr w:rsidR="00031D8C" w:rsidRPr="00031D8C" w14:paraId="514820A1" w14:textId="77777777" w:rsidTr="00515860">
        <w:trPr>
          <w:trHeight w:val="1800"/>
        </w:trPr>
        <w:tc>
          <w:tcPr>
            <w:tcW w:w="1170" w:type="dxa"/>
            <w:vMerge/>
            <w:tcBorders>
              <w:top w:val="nil"/>
              <w:left w:val="single" w:sz="4" w:space="0" w:color="auto"/>
              <w:bottom w:val="single" w:sz="4" w:space="0" w:color="auto"/>
              <w:right w:val="single" w:sz="4" w:space="0" w:color="auto"/>
            </w:tcBorders>
            <w:vAlign w:val="center"/>
            <w:hideMark/>
          </w:tcPr>
          <w:p w14:paraId="1672BCFF"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4AC95090" w14:textId="77777777" w:rsidR="00031D8C" w:rsidRPr="00031D8C" w:rsidRDefault="00031D8C" w:rsidP="00CD6D8A">
            <w:pPr>
              <w:spacing w:line="360" w:lineRule="auto"/>
              <w:rPr>
                <w:rFonts w:ascii="Times New Roman" w:hAnsi="Times New Roman" w:cs="Times New Roman"/>
              </w:rPr>
            </w:pPr>
            <w:r w:rsidRPr="00031D8C">
              <w:rPr>
                <w:rFonts w:ascii="Times New Roman" w:hAnsi="Times New Roman" w:cs="Times New Roman"/>
              </w:rPr>
              <w:t>Partnerships to make higher education work for the workforce</w:t>
            </w:r>
          </w:p>
          <w:p w14:paraId="28247A8F"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1A7E760D"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The article emphasizes long-term employer partnerships as key to reputation building and graduate employability.</w:t>
            </w:r>
          </w:p>
        </w:tc>
        <w:tc>
          <w:tcPr>
            <w:tcW w:w="3116" w:type="dxa"/>
            <w:tcBorders>
              <w:top w:val="nil"/>
              <w:left w:val="nil"/>
              <w:bottom w:val="single" w:sz="4" w:space="0" w:color="auto"/>
              <w:right w:val="single" w:sz="4" w:space="0" w:color="auto"/>
            </w:tcBorders>
            <w:vAlign w:val="bottom"/>
            <w:hideMark/>
          </w:tcPr>
          <w:p w14:paraId="008389BF"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Reinforces SLU’s </w:t>
            </w:r>
            <w:r w:rsidRPr="00031D8C">
              <w:rPr>
                <w:rFonts w:ascii="Times New Roman" w:eastAsia="Times New Roman" w:hAnsi="Times New Roman" w:cs="Times New Roman"/>
                <w:b/>
                <w:bCs/>
                <w:color w:val="000000"/>
                <w:kern w:val="0"/>
                <w14:ligatures w14:val="none"/>
              </w:rPr>
              <w:t>vision</w:t>
            </w:r>
            <w:r w:rsidRPr="00031D8C">
              <w:rPr>
                <w:rFonts w:ascii="Times New Roman" w:eastAsia="Times New Roman" w:hAnsi="Times New Roman" w:cs="Times New Roman"/>
                <w:color w:val="000000"/>
                <w:kern w:val="0"/>
                <w14:ligatures w14:val="none"/>
              </w:rPr>
              <w:t xml:space="preserve"> to become an employer of choice through Alumni Connect.</w:t>
            </w:r>
          </w:p>
        </w:tc>
      </w:tr>
      <w:tr w:rsidR="00031D8C" w:rsidRPr="00031D8C" w14:paraId="732EDBAD" w14:textId="77777777" w:rsidTr="00515860">
        <w:trPr>
          <w:trHeight w:val="1500"/>
        </w:trPr>
        <w:tc>
          <w:tcPr>
            <w:tcW w:w="1170" w:type="dxa"/>
            <w:vMerge/>
            <w:tcBorders>
              <w:top w:val="nil"/>
              <w:left w:val="single" w:sz="4" w:space="0" w:color="auto"/>
              <w:bottom w:val="single" w:sz="4" w:space="0" w:color="auto"/>
              <w:right w:val="single" w:sz="4" w:space="0" w:color="auto"/>
            </w:tcBorders>
            <w:vAlign w:val="center"/>
            <w:hideMark/>
          </w:tcPr>
          <w:p w14:paraId="57189BD3"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661EE310" w14:textId="77777777" w:rsidR="00031D8C" w:rsidRPr="00031D8C" w:rsidRDefault="00031D8C" w:rsidP="00CD6D8A">
            <w:pPr>
              <w:spacing w:line="360" w:lineRule="auto"/>
              <w:rPr>
                <w:rFonts w:ascii="Times New Roman" w:eastAsia="Times New Roman" w:hAnsi="Times New Roman" w:cs="Times New Roman"/>
                <w:color w:val="467886"/>
                <w:kern w:val="0"/>
                <w14:ligatures w14:val="none"/>
              </w:rPr>
            </w:pPr>
            <w:hyperlink r:id="rId19" w:history="1">
              <w:r w:rsidRPr="00031D8C">
                <w:rPr>
                  <w:rFonts w:ascii="Times New Roman" w:eastAsia="Times New Roman" w:hAnsi="Times New Roman" w:cs="Times New Roman"/>
                  <w:color w:val="000000" w:themeColor="text1"/>
                  <w:kern w:val="0"/>
                  <w14:ligatures w14:val="none"/>
                </w:rPr>
                <w:t xml:space="preserve">Utah System of Higher Education. (2024). Workforce alignment study report </w:t>
              </w:r>
            </w:hyperlink>
          </w:p>
        </w:tc>
        <w:tc>
          <w:tcPr>
            <w:tcW w:w="3420" w:type="dxa"/>
            <w:tcBorders>
              <w:top w:val="nil"/>
              <w:left w:val="nil"/>
              <w:bottom w:val="single" w:sz="4" w:space="0" w:color="auto"/>
              <w:right w:val="single" w:sz="4" w:space="0" w:color="auto"/>
            </w:tcBorders>
            <w:vAlign w:val="bottom"/>
            <w:hideMark/>
          </w:tcPr>
          <w:p w14:paraId="49F9CEDA"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The report identifies gaps between employer needs and higher education offerings, emphasizing work-based learning and internships.</w:t>
            </w:r>
          </w:p>
        </w:tc>
        <w:tc>
          <w:tcPr>
            <w:tcW w:w="3116" w:type="dxa"/>
            <w:tcBorders>
              <w:top w:val="nil"/>
              <w:left w:val="nil"/>
              <w:bottom w:val="single" w:sz="4" w:space="0" w:color="auto"/>
              <w:right w:val="single" w:sz="4" w:space="0" w:color="auto"/>
            </w:tcBorders>
            <w:vAlign w:val="bottom"/>
            <w:hideMark/>
          </w:tcPr>
          <w:p w14:paraId="0F816C92"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Justifies </w:t>
            </w:r>
            <w:r w:rsidRPr="00031D8C">
              <w:rPr>
                <w:rFonts w:ascii="Times New Roman" w:eastAsia="Times New Roman" w:hAnsi="Times New Roman" w:cs="Times New Roman"/>
                <w:b/>
                <w:bCs/>
                <w:color w:val="000000"/>
                <w:kern w:val="0"/>
                <w14:ligatures w14:val="none"/>
              </w:rPr>
              <w:t>Event Management</w:t>
            </w:r>
            <w:r w:rsidRPr="00031D8C">
              <w:rPr>
                <w:rFonts w:ascii="Times New Roman" w:eastAsia="Times New Roman" w:hAnsi="Times New Roman" w:cs="Times New Roman"/>
                <w:color w:val="000000"/>
                <w:kern w:val="0"/>
                <w14:ligatures w14:val="none"/>
              </w:rPr>
              <w:t xml:space="preserve"> and </w:t>
            </w:r>
            <w:r w:rsidRPr="00031D8C">
              <w:rPr>
                <w:rFonts w:ascii="Times New Roman" w:eastAsia="Times New Roman" w:hAnsi="Times New Roman" w:cs="Times New Roman"/>
                <w:b/>
                <w:bCs/>
                <w:color w:val="000000"/>
                <w:kern w:val="0"/>
                <w14:ligatures w14:val="none"/>
              </w:rPr>
              <w:t>Internship Matching</w:t>
            </w:r>
            <w:r w:rsidRPr="00031D8C">
              <w:rPr>
                <w:rFonts w:ascii="Times New Roman" w:eastAsia="Times New Roman" w:hAnsi="Times New Roman" w:cs="Times New Roman"/>
                <w:color w:val="000000"/>
                <w:kern w:val="0"/>
                <w14:ligatures w14:val="none"/>
              </w:rPr>
              <w:t xml:space="preserve"> features in MMP.</w:t>
            </w:r>
          </w:p>
        </w:tc>
      </w:tr>
      <w:tr w:rsidR="00031D8C" w:rsidRPr="00031D8C" w14:paraId="23195385" w14:textId="77777777" w:rsidTr="00515860">
        <w:trPr>
          <w:trHeight w:val="1500"/>
        </w:trPr>
        <w:tc>
          <w:tcPr>
            <w:tcW w:w="1170" w:type="dxa"/>
            <w:vMerge w:val="restart"/>
            <w:tcBorders>
              <w:top w:val="nil"/>
              <w:left w:val="single" w:sz="4" w:space="0" w:color="auto"/>
              <w:bottom w:val="single" w:sz="4" w:space="0" w:color="auto"/>
              <w:right w:val="single" w:sz="4" w:space="0" w:color="auto"/>
            </w:tcBorders>
            <w:vAlign w:val="center"/>
            <w:hideMark/>
          </w:tcPr>
          <w:p w14:paraId="67AE765A"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Technology Solutions</w:t>
            </w:r>
          </w:p>
        </w:tc>
        <w:tc>
          <w:tcPr>
            <w:tcW w:w="2970" w:type="dxa"/>
            <w:tcBorders>
              <w:top w:val="nil"/>
              <w:left w:val="nil"/>
              <w:bottom w:val="single" w:sz="4" w:space="0" w:color="auto"/>
              <w:right w:val="single" w:sz="4" w:space="0" w:color="auto"/>
            </w:tcBorders>
            <w:vAlign w:val="bottom"/>
            <w:hideMark/>
          </w:tcPr>
          <w:p w14:paraId="2AFF5A4D" w14:textId="77777777" w:rsidR="00031D8C" w:rsidRPr="00031D8C" w:rsidRDefault="00031D8C" w:rsidP="00CD6D8A">
            <w:pPr>
              <w:pStyle w:val="Heading1"/>
              <w:shd w:val="clear" w:color="auto" w:fill="FFFFFF"/>
              <w:spacing w:before="0" w:after="0" w:line="360" w:lineRule="auto"/>
              <w:rPr>
                <w:rFonts w:ascii="Times New Roman" w:hAnsi="Times New Roman" w:cs="Times New Roman"/>
                <w:color w:val="333333"/>
                <w:sz w:val="24"/>
                <w:szCs w:val="24"/>
              </w:rPr>
            </w:pPr>
            <w:r w:rsidRPr="00031D8C">
              <w:rPr>
                <w:rFonts w:ascii="Times New Roman" w:hAnsi="Times New Roman" w:cs="Times New Roman"/>
                <w:color w:val="333333"/>
                <w:sz w:val="24"/>
                <w:szCs w:val="24"/>
              </w:rPr>
              <w:t>Educational Data Mining: A Review of the State of the Art</w:t>
            </w:r>
          </w:p>
          <w:p w14:paraId="2137FC43"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7BD56A55"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Reviews EDM methods (classification, clustering, sequential mining) and applications in education. Shows how data mining improves prediction and decision-making.</w:t>
            </w:r>
          </w:p>
        </w:tc>
        <w:tc>
          <w:tcPr>
            <w:tcW w:w="3116" w:type="dxa"/>
            <w:tcBorders>
              <w:top w:val="nil"/>
              <w:left w:val="nil"/>
              <w:bottom w:val="single" w:sz="4" w:space="0" w:color="auto"/>
              <w:right w:val="single" w:sz="4" w:space="0" w:color="auto"/>
            </w:tcBorders>
            <w:vAlign w:val="bottom"/>
            <w:hideMark/>
          </w:tcPr>
          <w:p w14:paraId="455D3078"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Supports </w:t>
            </w:r>
            <w:r w:rsidRPr="00031D8C">
              <w:rPr>
                <w:rFonts w:ascii="Times New Roman" w:eastAsia="Times New Roman" w:hAnsi="Times New Roman" w:cs="Times New Roman"/>
                <w:b/>
                <w:bCs/>
                <w:color w:val="000000"/>
                <w:kern w:val="0"/>
                <w14:ligatures w14:val="none"/>
              </w:rPr>
              <w:t>Alumni Employment Dashboard</w:t>
            </w:r>
            <w:r w:rsidRPr="00031D8C">
              <w:rPr>
                <w:rFonts w:ascii="Times New Roman" w:eastAsia="Times New Roman" w:hAnsi="Times New Roman" w:cs="Times New Roman"/>
                <w:color w:val="000000"/>
                <w:kern w:val="0"/>
                <w14:ligatures w14:val="none"/>
              </w:rPr>
              <w:t xml:space="preserve"> in MVP and </w:t>
            </w:r>
            <w:r w:rsidRPr="00031D8C">
              <w:rPr>
                <w:rFonts w:ascii="Times New Roman" w:eastAsia="Times New Roman" w:hAnsi="Times New Roman" w:cs="Times New Roman"/>
                <w:b/>
                <w:bCs/>
                <w:color w:val="000000"/>
                <w:kern w:val="0"/>
                <w14:ligatures w14:val="none"/>
              </w:rPr>
              <w:t>Career Trajectory Modeling</w:t>
            </w:r>
            <w:r w:rsidRPr="00031D8C">
              <w:rPr>
                <w:rFonts w:ascii="Times New Roman" w:eastAsia="Times New Roman" w:hAnsi="Times New Roman" w:cs="Times New Roman"/>
                <w:color w:val="000000"/>
                <w:kern w:val="0"/>
                <w14:ligatures w14:val="none"/>
              </w:rPr>
              <w:t xml:space="preserve"> in MMP.</w:t>
            </w:r>
          </w:p>
        </w:tc>
      </w:tr>
      <w:tr w:rsidR="00031D8C" w:rsidRPr="00031D8C" w14:paraId="0D565946" w14:textId="77777777" w:rsidTr="00515860">
        <w:trPr>
          <w:trHeight w:val="1200"/>
        </w:trPr>
        <w:tc>
          <w:tcPr>
            <w:tcW w:w="1170" w:type="dxa"/>
            <w:vMerge/>
            <w:tcBorders>
              <w:top w:val="nil"/>
              <w:left w:val="single" w:sz="4" w:space="0" w:color="auto"/>
              <w:bottom w:val="single" w:sz="4" w:space="0" w:color="auto"/>
              <w:right w:val="single" w:sz="4" w:space="0" w:color="auto"/>
            </w:tcBorders>
            <w:vAlign w:val="center"/>
            <w:hideMark/>
          </w:tcPr>
          <w:p w14:paraId="1DA5ECAF"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0175C77A" w14:textId="77777777" w:rsidR="00031D8C" w:rsidRPr="00031D8C" w:rsidRDefault="00031D8C" w:rsidP="00CD6D8A">
            <w:pPr>
              <w:pStyle w:val="Heading1"/>
              <w:shd w:val="clear" w:color="auto" w:fill="FFFFFF"/>
              <w:spacing w:before="60" w:after="180" w:line="360" w:lineRule="auto"/>
              <w:ind w:left="38"/>
              <w:rPr>
                <w:rFonts w:ascii="Times New Roman" w:hAnsi="Times New Roman" w:cs="Times New Roman"/>
                <w:color w:val="000000"/>
                <w:sz w:val="24"/>
                <w:szCs w:val="24"/>
              </w:rPr>
            </w:pPr>
            <w:r w:rsidRPr="00031D8C">
              <w:rPr>
                <w:rFonts w:ascii="Times New Roman" w:hAnsi="Times New Roman" w:cs="Times New Roman"/>
                <w:color w:val="000000"/>
                <w:sz w:val="24"/>
                <w:szCs w:val="24"/>
              </w:rPr>
              <w:t>Educational data mining and learning analytics: An updated survey</w:t>
            </w:r>
          </w:p>
          <w:p w14:paraId="1E7234E4"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1E63D0B2"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Updates EDM research, showing advances in AI and data integration for education. Highlights challenges of scalability and fairness.</w:t>
            </w:r>
          </w:p>
        </w:tc>
        <w:tc>
          <w:tcPr>
            <w:tcW w:w="3116" w:type="dxa"/>
            <w:tcBorders>
              <w:top w:val="nil"/>
              <w:left w:val="nil"/>
              <w:bottom w:val="single" w:sz="4" w:space="0" w:color="auto"/>
              <w:right w:val="single" w:sz="4" w:space="0" w:color="auto"/>
            </w:tcBorders>
            <w:vAlign w:val="bottom"/>
            <w:hideMark/>
          </w:tcPr>
          <w:p w14:paraId="7649EEAD"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Validates </w:t>
            </w:r>
            <w:r w:rsidRPr="00031D8C">
              <w:rPr>
                <w:rFonts w:ascii="Times New Roman" w:eastAsia="Times New Roman" w:hAnsi="Times New Roman" w:cs="Times New Roman"/>
                <w:b/>
                <w:bCs/>
                <w:color w:val="000000"/>
                <w:kern w:val="0"/>
                <w14:ligatures w14:val="none"/>
              </w:rPr>
              <w:t>Predictive Analytics</w:t>
            </w:r>
            <w:r w:rsidRPr="00031D8C">
              <w:rPr>
                <w:rFonts w:ascii="Times New Roman" w:eastAsia="Times New Roman" w:hAnsi="Times New Roman" w:cs="Times New Roman"/>
                <w:color w:val="000000"/>
                <w:kern w:val="0"/>
                <w14:ligatures w14:val="none"/>
              </w:rPr>
              <w:t xml:space="preserve"> and </w:t>
            </w:r>
            <w:r w:rsidRPr="00031D8C">
              <w:rPr>
                <w:rFonts w:ascii="Times New Roman" w:eastAsia="Times New Roman" w:hAnsi="Times New Roman" w:cs="Times New Roman"/>
                <w:b/>
                <w:bCs/>
                <w:color w:val="000000"/>
                <w:kern w:val="0"/>
                <w14:ligatures w14:val="none"/>
              </w:rPr>
              <w:t>Skills Forecasting</w:t>
            </w:r>
            <w:r w:rsidRPr="00031D8C">
              <w:rPr>
                <w:rFonts w:ascii="Times New Roman" w:eastAsia="Times New Roman" w:hAnsi="Times New Roman" w:cs="Times New Roman"/>
                <w:color w:val="000000"/>
                <w:kern w:val="0"/>
                <w14:ligatures w14:val="none"/>
              </w:rPr>
              <w:t xml:space="preserve"> features in MMP.</w:t>
            </w:r>
          </w:p>
        </w:tc>
      </w:tr>
      <w:tr w:rsidR="00031D8C" w:rsidRPr="00031D8C" w14:paraId="5B77AD10" w14:textId="77777777" w:rsidTr="00515860">
        <w:trPr>
          <w:trHeight w:val="1800"/>
        </w:trPr>
        <w:tc>
          <w:tcPr>
            <w:tcW w:w="1170" w:type="dxa"/>
            <w:vMerge/>
            <w:tcBorders>
              <w:top w:val="nil"/>
              <w:left w:val="single" w:sz="4" w:space="0" w:color="auto"/>
              <w:bottom w:val="single" w:sz="4" w:space="0" w:color="auto"/>
              <w:right w:val="single" w:sz="4" w:space="0" w:color="auto"/>
            </w:tcBorders>
            <w:vAlign w:val="center"/>
            <w:hideMark/>
          </w:tcPr>
          <w:p w14:paraId="44AB9C3C"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0695806B"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r w:rsidRPr="00031D8C">
              <w:rPr>
                <w:rFonts w:ascii="Times New Roman" w:hAnsi="Times New Roman" w:cs="Times New Roman"/>
                <w:color w:val="333333"/>
              </w:rPr>
              <w:t>Artificial Neural Networks for Educational Data Mining in Higher Education: A Systematic Literature Review</w:t>
            </w:r>
          </w:p>
        </w:tc>
        <w:tc>
          <w:tcPr>
            <w:tcW w:w="3420" w:type="dxa"/>
            <w:tcBorders>
              <w:top w:val="nil"/>
              <w:left w:val="nil"/>
              <w:bottom w:val="single" w:sz="4" w:space="0" w:color="auto"/>
              <w:right w:val="single" w:sz="4" w:space="0" w:color="auto"/>
            </w:tcBorders>
            <w:vAlign w:val="bottom"/>
            <w:hideMark/>
          </w:tcPr>
          <w:p w14:paraId="306C3B73"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Reviews ANN applications in higher education, showing strong predictive performance but issues with interpretability.</w:t>
            </w:r>
          </w:p>
        </w:tc>
        <w:tc>
          <w:tcPr>
            <w:tcW w:w="3116" w:type="dxa"/>
            <w:tcBorders>
              <w:top w:val="nil"/>
              <w:left w:val="nil"/>
              <w:bottom w:val="single" w:sz="4" w:space="0" w:color="auto"/>
              <w:right w:val="single" w:sz="4" w:space="0" w:color="auto"/>
            </w:tcBorders>
            <w:vAlign w:val="bottom"/>
            <w:hideMark/>
          </w:tcPr>
          <w:p w14:paraId="4331758E"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Justifies </w:t>
            </w:r>
            <w:r w:rsidRPr="00031D8C">
              <w:rPr>
                <w:rFonts w:ascii="Times New Roman" w:eastAsia="Times New Roman" w:hAnsi="Times New Roman" w:cs="Times New Roman"/>
                <w:b/>
                <w:bCs/>
                <w:color w:val="000000"/>
                <w:kern w:val="0"/>
                <w14:ligatures w14:val="none"/>
              </w:rPr>
              <w:t>AI-driven predictions</w:t>
            </w:r>
            <w:r w:rsidRPr="00031D8C">
              <w:rPr>
                <w:rFonts w:ascii="Times New Roman" w:eastAsia="Times New Roman" w:hAnsi="Times New Roman" w:cs="Times New Roman"/>
                <w:color w:val="000000"/>
                <w:kern w:val="0"/>
                <w14:ligatures w14:val="none"/>
              </w:rPr>
              <w:t xml:space="preserve"> while embedding </w:t>
            </w:r>
            <w:r w:rsidRPr="00031D8C">
              <w:rPr>
                <w:rFonts w:ascii="Times New Roman" w:eastAsia="Times New Roman" w:hAnsi="Times New Roman" w:cs="Times New Roman"/>
                <w:b/>
                <w:bCs/>
                <w:color w:val="000000"/>
                <w:kern w:val="0"/>
                <w14:ligatures w14:val="none"/>
              </w:rPr>
              <w:t>explainable AI</w:t>
            </w:r>
            <w:r w:rsidRPr="00031D8C">
              <w:rPr>
                <w:rFonts w:ascii="Times New Roman" w:eastAsia="Times New Roman" w:hAnsi="Times New Roman" w:cs="Times New Roman"/>
                <w:color w:val="000000"/>
                <w:kern w:val="0"/>
                <w14:ligatures w14:val="none"/>
              </w:rPr>
              <w:t xml:space="preserve"> as an ethical checkpoint.</w:t>
            </w:r>
          </w:p>
        </w:tc>
      </w:tr>
      <w:tr w:rsidR="00031D8C" w:rsidRPr="00031D8C" w14:paraId="529E0AD2" w14:textId="77777777" w:rsidTr="00515860">
        <w:trPr>
          <w:trHeight w:val="1200"/>
        </w:trPr>
        <w:tc>
          <w:tcPr>
            <w:tcW w:w="1170" w:type="dxa"/>
            <w:vMerge/>
            <w:tcBorders>
              <w:top w:val="nil"/>
              <w:left w:val="single" w:sz="4" w:space="0" w:color="auto"/>
              <w:bottom w:val="single" w:sz="4" w:space="0" w:color="auto"/>
              <w:right w:val="single" w:sz="4" w:space="0" w:color="auto"/>
            </w:tcBorders>
            <w:vAlign w:val="center"/>
            <w:hideMark/>
          </w:tcPr>
          <w:p w14:paraId="19372EE8"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750F49ED" w14:textId="77777777" w:rsidR="00031D8C" w:rsidRPr="00031D8C" w:rsidRDefault="00031D8C" w:rsidP="00CD6D8A">
            <w:pPr>
              <w:pStyle w:val="Heading1"/>
              <w:shd w:val="clear" w:color="auto" w:fill="FFFFFF"/>
              <w:spacing w:before="60" w:after="180" w:line="360" w:lineRule="auto"/>
              <w:rPr>
                <w:rFonts w:ascii="Times New Roman" w:hAnsi="Times New Roman" w:cs="Times New Roman"/>
                <w:color w:val="000000"/>
                <w:sz w:val="24"/>
                <w:szCs w:val="24"/>
              </w:rPr>
            </w:pPr>
            <w:r w:rsidRPr="00031D8C">
              <w:rPr>
                <w:rFonts w:ascii="Times New Roman" w:hAnsi="Times New Roman" w:cs="Times New Roman"/>
                <w:color w:val="000000"/>
                <w:sz w:val="24"/>
                <w:szCs w:val="24"/>
              </w:rPr>
              <w:t>Career Transitions and Trajectories: A Case Study in Computing</w:t>
            </w:r>
          </w:p>
          <w:p w14:paraId="66940C85"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58B13B15"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Demonstrates how career transitions can be modeled using network analysis. Identifies patterns in role changes and promotions.</w:t>
            </w:r>
          </w:p>
        </w:tc>
        <w:tc>
          <w:tcPr>
            <w:tcW w:w="3116" w:type="dxa"/>
            <w:tcBorders>
              <w:top w:val="nil"/>
              <w:left w:val="nil"/>
              <w:bottom w:val="single" w:sz="4" w:space="0" w:color="auto"/>
              <w:right w:val="single" w:sz="4" w:space="0" w:color="auto"/>
            </w:tcBorders>
            <w:vAlign w:val="bottom"/>
            <w:hideMark/>
          </w:tcPr>
          <w:p w14:paraId="22347CA2"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Directly supports </w:t>
            </w:r>
            <w:r w:rsidRPr="00031D8C">
              <w:rPr>
                <w:rFonts w:ascii="Times New Roman" w:eastAsia="Times New Roman" w:hAnsi="Times New Roman" w:cs="Times New Roman"/>
                <w:b/>
                <w:bCs/>
                <w:color w:val="000000"/>
                <w:kern w:val="0"/>
                <w14:ligatures w14:val="none"/>
              </w:rPr>
              <w:t>Predictive Career Path Modeling</w:t>
            </w:r>
            <w:r w:rsidRPr="00031D8C">
              <w:rPr>
                <w:rFonts w:ascii="Times New Roman" w:eastAsia="Times New Roman" w:hAnsi="Times New Roman" w:cs="Times New Roman"/>
                <w:color w:val="000000"/>
                <w:kern w:val="0"/>
                <w14:ligatures w14:val="none"/>
              </w:rPr>
              <w:t xml:space="preserve"> in MMP.</w:t>
            </w:r>
          </w:p>
        </w:tc>
      </w:tr>
      <w:tr w:rsidR="00031D8C" w:rsidRPr="00031D8C" w14:paraId="7F5D2F27" w14:textId="77777777" w:rsidTr="00515860">
        <w:trPr>
          <w:trHeight w:val="900"/>
        </w:trPr>
        <w:tc>
          <w:tcPr>
            <w:tcW w:w="1170" w:type="dxa"/>
            <w:vMerge w:val="restart"/>
            <w:tcBorders>
              <w:top w:val="nil"/>
              <w:left w:val="single" w:sz="4" w:space="0" w:color="auto"/>
              <w:bottom w:val="single" w:sz="4" w:space="0" w:color="auto"/>
              <w:right w:val="single" w:sz="4" w:space="0" w:color="auto"/>
            </w:tcBorders>
            <w:vAlign w:val="center"/>
            <w:hideMark/>
          </w:tcPr>
          <w:p w14:paraId="14120E6E"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Ethics &amp; Regulation</w:t>
            </w:r>
          </w:p>
        </w:tc>
        <w:tc>
          <w:tcPr>
            <w:tcW w:w="2970" w:type="dxa"/>
            <w:tcBorders>
              <w:top w:val="nil"/>
              <w:left w:val="nil"/>
              <w:bottom w:val="single" w:sz="4" w:space="0" w:color="auto"/>
              <w:right w:val="single" w:sz="4" w:space="0" w:color="auto"/>
            </w:tcBorders>
            <w:vAlign w:val="bottom"/>
            <w:hideMark/>
          </w:tcPr>
          <w:p w14:paraId="13C05A45"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Romero &amp; Ventura (2010, 2024)</w:t>
            </w:r>
          </w:p>
        </w:tc>
        <w:tc>
          <w:tcPr>
            <w:tcW w:w="3420" w:type="dxa"/>
            <w:tcBorders>
              <w:top w:val="nil"/>
              <w:left w:val="nil"/>
              <w:bottom w:val="single" w:sz="4" w:space="0" w:color="auto"/>
              <w:right w:val="single" w:sz="4" w:space="0" w:color="auto"/>
            </w:tcBorders>
            <w:vAlign w:val="bottom"/>
            <w:hideMark/>
          </w:tcPr>
          <w:p w14:paraId="5553C768"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Both papers highlight the risks of bias, privacy issues, and fairness challenges in EDM. They stress the need for transparency in predictive models.</w:t>
            </w:r>
          </w:p>
        </w:tc>
        <w:tc>
          <w:tcPr>
            <w:tcW w:w="3116" w:type="dxa"/>
            <w:tcBorders>
              <w:top w:val="nil"/>
              <w:left w:val="nil"/>
              <w:bottom w:val="single" w:sz="4" w:space="0" w:color="auto"/>
              <w:right w:val="single" w:sz="4" w:space="0" w:color="auto"/>
            </w:tcBorders>
            <w:vAlign w:val="bottom"/>
            <w:hideMark/>
          </w:tcPr>
          <w:p w14:paraId="0A15BF6B"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Roadmap includes </w:t>
            </w:r>
            <w:r w:rsidRPr="00031D8C">
              <w:rPr>
                <w:rFonts w:ascii="Times New Roman" w:eastAsia="Times New Roman" w:hAnsi="Times New Roman" w:cs="Times New Roman"/>
                <w:b/>
                <w:bCs/>
                <w:color w:val="000000"/>
                <w:kern w:val="0"/>
                <w14:ligatures w14:val="none"/>
              </w:rPr>
              <w:t>FERPA/GDPR compliance</w:t>
            </w:r>
            <w:r w:rsidRPr="00031D8C">
              <w:rPr>
                <w:rFonts w:ascii="Times New Roman" w:eastAsia="Times New Roman" w:hAnsi="Times New Roman" w:cs="Times New Roman"/>
                <w:color w:val="000000"/>
                <w:kern w:val="0"/>
                <w14:ligatures w14:val="none"/>
              </w:rPr>
              <w:t xml:space="preserve"> and </w:t>
            </w:r>
            <w:r w:rsidRPr="00031D8C">
              <w:rPr>
                <w:rFonts w:ascii="Times New Roman" w:eastAsia="Times New Roman" w:hAnsi="Times New Roman" w:cs="Times New Roman"/>
                <w:b/>
                <w:bCs/>
                <w:color w:val="000000"/>
                <w:kern w:val="0"/>
                <w14:ligatures w14:val="none"/>
              </w:rPr>
              <w:t>explainable models</w:t>
            </w:r>
            <w:r w:rsidRPr="00031D8C">
              <w:rPr>
                <w:rFonts w:ascii="Times New Roman" w:eastAsia="Times New Roman" w:hAnsi="Times New Roman" w:cs="Times New Roman"/>
                <w:color w:val="000000"/>
                <w:kern w:val="0"/>
                <w14:ligatures w14:val="none"/>
              </w:rPr>
              <w:t xml:space="preserve"> for alumni analytics.</w:t>
            </w:r>
          </w:p>
        </w:tc>
      </w:tr>
      <w:tr w:rsidR="00031D8C" w:rsidRPr="00031D8C" w14:paraId="40AACBDC" w14:textId="77777777" w:rsidTr="00515860">
        <w:trPr>
          <w:trHeight w:val="600"/>
        </w:trPr>
        <w:tc>
          <w:tcPr>
            <w:tcW w:w="1170" w:type="dxa"/>
            <w:vMerge/>
            <w:tcBorders>
              <w:top w:val="nil"/>
              <w:left w:val="single" w:sz="4" w:space="0" w:color="auto"/>
              <w:bottom w:val="single" w:sz="4" w:space="0" w:color="auto"/>
              <w:right w:val="single" w:sz="4" w:space="0" w:color="auto"/>
            </w:tcBorders>
            <w:vAlign w:val="center"/>
            <w:hideMark/>
          </w:tcPr>
          <w:p w14:paraId="34E6EFB8"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1A8725C3"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proofErr w:type="spellStart"/>
            <w:r w:rsidRPr="00031D8C">
              <w:rPr>
                <w:rFonts w:ascii="Times New Roman" w:eastAsia="Times New Roman" w:hAnsi="Times New Roman" w:cs="Times New Roman"/>
                <w:color w:val="000000"/>
                <w:kern w:val="0"/>
                <w14:ligatures w14:val="none"/>
              </w:rPr>
              <w:t>Okewu</w:t>
            </w:r>
            <w:proofErr w:type="spellEnd"/>
            <w:r w:rsidRPr="00031D8C">
              <w:rPr>
                <w:rFonts w:ascii="Times New Roman" w:eastAsia="Times New Roman" w:hAnsi="Times New Roman" w:cs="Times New Roman"/>
                <w:color w:val="000000"/>
                <w:kern w:val="0"/>
                <w14:ligatures w14:val="none"/>
              </w:rPr>
              <w:t xml:space="preserve"> (2021)</w:t>
            </w:r>
          </w:p>
        </w:tc>
        <w:tc>
          <w:tcPr>
            <w:tcW w:w="3420" w:type="dxa"/>
            <w:tcBorders>
              <w:top w:val="nil"/>
              <w:left w:val="nil"/>
              <w:bottom w:val="single" w:sz="4" w:space="0" w:color="auto"/>
              <w:right w:val="single" w:sz="4" w:space="0" w:color="auto"/>
            </w:tcBorders>
            <w:vAlign w:val="bottom"/>
            <w:hideMark/>
          </w:tcPr>
          <w:p w14:paraId="4DC05AFE"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Emphasizes accountability and interpretability challenges in ANN-based models.</w:t>
            </w:r>
          </w:p>
        </w:tc>
        <w:tc>
          <w:tcPr>
            <w:tcW w:w="3116" w:type="dxa"/>
            <w:tcBorders>
              <w:top w:val="nil"/>
              <w:left w:val="nil"/>
              <w:bottom w:val="single" w:sz="4" w:space="0" w:color="auto"/>
              <w:right w:val="single" w:sz="4" w:space="0" w:color="auto"/>
            </w:tcBorders>
            <w:vAlign w:val="bottom"/>
            <w:hideMark/>
          </w:tcPr>
          <w:p w14:paraId="676FA21B"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Ensures predictive features use </w:t>
            </w:r>
            <w:r w:rsidRPr="00031D8C">
              <w:rPr>
                <w:rFonts w:ascii="Times New Roman" w:eastAsia="Times New Roman" w:hAnsi="Times New Roman" w:cs="Times New Roman"/>
                <w:b/>
                <w:bCs/>
                <w:color w:val="000000"/>
                <w:kern w:val="0"/>
                <w14:ligatures w14:val="none"/>
              </w:rPr>
              <w:t>explainable AI</w:t>
            </w:r>
            <w:r w:rsidRPr="00031D8C">
              <w:rPr>
                <w:rFonts w:ascii="Times New Roman" w:eastAsia="Times New Roman" w:hAnsi="Times New Roman" w:cs="Times New Roman"/>
                <w:color w:val="000000"/>
                <w:kern w:val="0"/>
                <w14:ligatures w14:val="none"/>
              </w:rPr>
              <w:t xml:space="preserve"> to meet ethical standards.</w:t>
            </w:r>
          </w:p>
        </w:tc>
      </w:tr>
      <w:tr w:rsidR="00031D8C" w:rsidRPr="00031D8C" w14:paraId="221DE370" w14:textId="77777777" w:rsidTr="00515860">
        <w:trPr>
          <w:trHeight w:val="1500"/>
        </w:trPr>
        <w:tc>
          <w:tcPr>
            <w:tcW w:w="1170" w:type="dxa"/>
            <w:vMerge w:val="restart"/>
            <w:tcBorders>
              <w:top w:val="nil"/>
              <w:left w:val="single" w:sz="4" w:space="0" w:color="auto"/>
              <w:bottom w:val="single" w:sz="4" w:space="0" w:color="auto"/>
              <w:right w:val="single" w:sz="4" w:space="0" w:color="auto"/>
            </w:tcBorders>
            <w:vAlign w:val="center"/>
            <w:hideMark/>
          </w:tcPr>
          <w:p w14:paraId="735B9FE5"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r w:rsidRPr="00031D8C">
              <w:rPr>
                <w:rFonts w:ascii="Times New Roman" w:eastAsia="Times New Roman" w:hAnsi="Times New Roman" w:cs="Times New Roman"/>
                <w:b/>
                <w:bCs/>
                <w:color w:val="000000"/>
                <w:kern w:val="0"/>
                <w14:ligatures w14:val="none"/>
              </w:rPr>
              <w:t>Business Impact</w:t>
            </w:r>
          </w:p>
        </w:tc>
        <w:tc>
          <w:tcPr>
            <w:tcW w:w="2970" w:type="dxa"/>
            <w:tcBorders>
              <w:top w:val="nil"/>
              <w:left w:val="nil"/>
              <w:bottom w:val="single" w:sz="4" w:space="0" w:color="auto"/>
              <w:right w:val="single" w:sz="4" w:space="0" w:color="auto"/>
            </w:tcBorders>
            <w:vAlign w:val="bottom"/>
            <w:hideMark/>
          </w:tcPr>
          <w:p w14:paraId="1D120064" w14:textId="77777777" w:rsidR="00031D8C" w:rsidRPr="00031D8C" w:rsidRDefault="00031D8C" w:rsidP="00CD6D8A">
            <w:pPr>
              <w:spacing w:after="0" w:line="360" w:lineRule="auto"/>
              <w:rPr>
                <w:rFonts w:ascii="Times New Roman" w:eastAsia="Times New Roman" w:hAnsi="Times New Roman" w:cs="Times New Roman"/>
                <w:color w:val="467886"/>
                <w:kern w:val="0"/>
                <w14:ligatures w14:val="none"/>
              </w:rPr>
            </w:pPr>
            <w:r w:rsidRPr="00031D8C">
              <w:rPr>
                <w:rFonts w:ascii="Times New Roman" w:eastAsia="Times New Roman" w:hAnsi="Times New Roman" w:cs="Times New Roman"/>
                <w:color w:val="000000" w:themeColor="text1"/>
                <w:kern w:val="0"/>
                <w14:ligatures w14:val="none"/>
              </w:rPr>
              <w:t>Applying data mining in graduates’ employability: A systematic literature review</w:t>
            </w:r>
          </w:p>
        </w:tc>
        <w:tc>
          <w:tcPr>
            <w:tcW w:w="3420" w:type="dxa"/>
            <w:tcBorders>
              <w:top w:val="nil"/>
              <w:left w:val="nil"/>
              <w:bottom w:val="single" w:sz="4" w:space="0" w:color="auto"/>
              <w:right w:val="single" w:sz="4" w:space="0" w:color="auto"/>
            </w:tcBorders>
            <w:vAlign w:val="bottom"/>
            <w:hideMark/>
          </w:tcPr>
          <w:p w14:paraId="56A5BAE4"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Reviews how data mining predicts graduate employability using performance, skills, and internships as predictors.</w:t>
            </w:r>
          </w:p>
        </w:tc>
        <w:tc>
          <w:tcPr>
            <w:tcW w:w="3116" w:type="dxa"/>
            <w:tcBorders>
              <w:top w:val="nil"/>
              <w:left w:val="nil"/>
              <w:bottom w:val="single" w:sz="4" w:space="0" w:color="auto"/>
              <w:right w:val="single" w:sz="4" w:space="0" w:color="auto"/>
            </w:tcBorders>
            <w:vAlign w:val="bottom"/>
            <w:hideMark/>
          </w:tcPr>
          <w:p w14:paraId="2EFFB05E"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Supports </w:t>
            </w:r>
            <w:r w:rsidRPr="00031D8C">
              <w:rPr>
                <w:rFonts w:ascii="Times New Roman" w:eastAsia="Times New Roman" w:hAnsi="Times New Roman" w:cs="Times New Roman"/>
                <w:b/>
                <w:bCs/>
                <w:color w:val="000000"/>
                <w:kern w:val="0"/>
                <w14:ligatures w14:val="none"/>
              </w:rPr>
              <w:t>Skills Demand Analytics</w:t>
            </w:r>
            <w:r w:rsidRPr="00031D8C">
              <w:rPr>
                <w:rFonts w:ascii="Times New Roman" w:eastAsia="Times New Roman" w:hAnsi="Times New Roman" w:cs="Times New Roman"/>
                <w:color w:val="000000"/>
                <w:kern w:val="0"/>
                <w14:ligatures w14:val="none"/>
              </w:rPr>
              <w:t xml:space="preserve"> to inform SLU’s curriculum and employer strategy.</w:t>
            </w:r>
          </w:p>
        </w:tc>
      </w:tr>
      <w:tr w:rsidR="00031D8C" w:rsidRPr="00031D8C" w14:paraId="62334F42" w14:textId="77777777" w:rsidTr="00515860">
        <w:trPr>
          <w:trHeight w:val="1500"/>
        </w:trPr>
        <w:tc>
          <w:tcPr>
            <w:tcW w:w="1170" w:type="dxa"/>
            <w:vMerge/>
            <w:tcBorders>
              <w:top w:val="nil"/>
              <w:left w:val="single" w:sz="4" w:space="0" w:color="auto"/>
              <w:bottom w:val="single" w:sz="4" w:space="0" w:color="auto"/>
              <w:right w:val="single" w:sz="4" w:space="0" w:color="auto"/>
            </w:tcBorders>
            <w:vAlign w:val="center"/>
            <w:hideMark/>
          </w:tcPr>
          <w:p w14:paraId="6FAAF8A1" w14:textId="77777777" w:rsidR="00031D8C" w:rsidRPr="00031D8C" w:rsidRDefault="00031D8C" w:rsidP="00CD6D8A">
            <w:pPr>
              <w:spacing w:after="0" w:line="360" w:lineRule="auto"/>
              <w:rPr>
                <w:rFonts w:ascii="Times New Roman" w:eastAsia="Times New Roman" w:hAnsi="Times New Roman" w:cs="Times New Roman"/>
                <w:b/>
                <w:bCs/>
                <w:color w:val="000000"/>
                <w:kern w:val="0"/>
                <w14:ligatures w14:val="none"/>
              </w:rPr>
            </w:pPr>
          </w:p>
        </w:tc>
        <w:tc>
          <w:tcPr>
            <w:tcW w:w="2970" w:type="dxa"/>
            <w:tcBorders>
              <w:top w:val="nil"/>
              <w:left w:val="nil"/>
              <w:bottom w:val="single" w:sz="4" w:space="0" w:color="auto"/>
              <w:right w:val="single" w:sz="4" w:space="0" w:color="auto"/>
            </w:tcBorders>
            <w:vAlign w:val="bottom"/>
            <w:hideMark/>
          </w:tcPr>
          <w:p w14:paraId="0D113A7E" w14:textId="77777777" w:rsidR="00031D8C" w:rsidRPr="00031D8C" w:rsidRDefault="00031D8C" w:rsidP="00CD6D8A">
            <w:pPr>
              <w:pStyle w:val="Heading1"/>
              <w:shd w:val="clear" w:color="auto" w:fill="FFFFFF"/>
              <w:spacing w:before="60" w:after="180" w:line="360" w:lineRule="auto"/>
              <w:ind w:left="38"/>
              <w:rPr>
                <w:rFonts w:ascii="Times New Roman" w:hAnsi="Times New Roman" w:cs="Times New Roman"/>
                <w:color w:val="000000"/>
                <w:sz w:val="24"/>
                <w:szCs w:val="24"/>
              </w:rPr>
            </w:pPr>
            <w:r w:rsidRPr="00031D8C">
              <w:rPr>
                <w:rFonts w:ascii="Times New Roman" w:hAnsi="Times New Roman" w:cs="Times New Roman"/>
                <w:color w:val="000000"/>
                <w:sz w:val="24"/>
                <w:szCs w:val="24"/>
              </w:rPr>
              <w:t>University-industry research collaboration: a model to assess university capability</w:t>
            </w:r>
          </w:p>
          <w:p w14:paraId="68FDACF1" w14:textId="77777777" w:rsidR="00031D8C" w:rsidRPr="00031D8C" w:rsidRDefault="00031D8C" w:rsidP="00CD6D8A">
            <w:pPr>
              <w:spacing w:after="0" w:line="360" w:lineRule="auto"/>
              <w:rPr>
                <w:rFonts w:ascii="Times New Roman" w:eastAsia="Times New Roman" w:hAnsi="Times New Roman" w:cs="Times New Roman"/>
                <w:color w:val="467886"/>
                <w:kern w:val="0"/>
                <w:u w:val="single"/>
                <w14:ligatures w14:val="none"/>
              </w:rPr>
            </w:pPr>
          </w:p>
        </w:tc>
        <w:tc>
          <w:tcPr>
            <w:tcW w:w="3420" w:type="dxa"/>
            <w:tcBorders>
              <w:top w:val="nil"/>
              <w:left w:val="nil"/>
              <w:bottom w:val="single" w:sz="4" w:space="0" w:color="auto"/>
              <w:right w:val="single" w:sz="4" w:space="0" w:color="auto"/>
            </w:tcBorders>
            <w:vAlign w:val="bottom"/>
            <w:hideMark/>
          </w:tcPr>
          <w:p w14:paraId="66E08A17"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Shows that research quality enhances university–industry collaboration potential.</w:t>
            </w:r>
          </w:p>
        </w:tc>
        <w:tc>
          <w:tcPr>
            <w:tcW w:w="3116" w:type="dxa"/>
            <w:tcBorders>
              <w:top w:val="nil"/>
              <w:left w:val="nil"/>
              <w:bottom w:val="single" w:sz="4" w:space="0" w:color="auto"/>
              <w:right w:val="single" w:sz="4" w:space="0" w:color="auto"/>
            </w:tcBorders>
            <w:vAlign w:val="bottom"/>
            <w:hideMark/>
          </w:tcPr>
          <w:p w14:paraId="4F1E8DD0" w14:textId="77777777" w:rsidR="00031D8C" w:rsidRPr="00031D8C" w:rsidRDefault="00031D8C" w:rsidP="00CD6D8A">
            <w:pPr>
              <w:spacing w:after="0" w:line="360" w:lineRule="auto"/>
              <w:rPr>
                <w:rFonts w:ascii="Times New Roman" w:eastAsia="Times New Roman" w:hAnsi="Times New Roman" w:cs="Times New Roman"/>
                <w:color w:val="000000"/>
                <w:kern w:val="0"/>
                <w14:ligatures w14:val="none"/>
              </w:rPr>
            </w:pPr>
            <w:r w:rsidRPr="00031D8C">
              <w:rPr>
                <w:rFonts w:ascii="Times New Roman" w:eastAsia="Times New Roman" w:hAnsi="Times New Roman" w:cs="Times New Roman"/>
                <w:color w:val="000000"/>
                <w:kern w:val="0"/>
                <w14:ligatures w14:val="none"/>
              </w:rPr>
              <w:t xml:space="preserve">Reinforces SLU’s </w:t>
            </w:r>
            <w:r w:rsidRPr="00031D8C">
              <w:rPr>
                <w:rFonts w:ascii="Times New Roman" w:eastAsia="Times New Roman" w:hAnsi="Times New Roman" w:cs="Times New Roman"/>
                <w:b/>
                <w:bCs/>
                <w:color w:val="000000"/>
                <w:kern w:val="0"/>
                <w14:ligatures w14:val="none"/>
              </w:rPr>
              <w:t>Employer Partnership Dashboard</w:t>
            </w:r>
            <w:r w:rsidRPr="00031D8C">
              <w:rPr>
                <w:rFonts w:ascii="Times New Roman" w:eastAsia="Times New Roman" w:hAnsi="Times New Roman" w:cs="Times New Roman"/>
                <w:color w:val="000000"/>
                <w:kern w:val="0"/>
                <w14:ligatures w14:val="none"/>
              </w:rPr>
              <w:t xml:space="preserve"> as a strategic credibility tool.</w:t>
            </w:r>
          </w:p>
        </w:tc>
      </w:tr>
    </w:tbl>
    <w:p w14:paraId="00A1CE86" w14:textId="77777777" w:rsidR="00E75C84" w:rsidRDefault="00E75C84" w:rsidP="006A7E85">
      <w:pPr>
        <w:rPr>
          <w:rFonts w:ascii="Times New Roman" w:hAnsi="Times New Roman" w:cs="Times New Roman"/>
          <w:b/>
          <w:bCs/>
        </w:rPr>
      </w:pPr>
    </w:p>
    <w:p w14:paraId="694803D1" w14:textId="77777777" w:rsidR="00A87917" w:rsidRDefault="00A87917" w:rsidP="00A87917">
      <w:pPr>
        <w:spacing w:line="360" w:lineRule="auto"/>
        <w:jc w:val="both"/>
        <w:rPr>
          <w:rFonts w:ascii="Times New Roman" w:hAnsi="Times New Roman" w:cs="Times New Roman"/>
        </w:rPr>
      </w:pPr>
    </w:p>
    <w:p w14:paraId="7528A4DA" w14:textId="3861CF8C" w:rsidR="00A87917" w:rsidRDefault="00A87917" w:rsidP="00A87917">
      <w:pPr>
        <w:spacing w:line="360" w:lineRule="auto"/>
        <w:jc w:val="both"/>
        <w:rPr>
          <w:rFonts w:ascii="Times New Roman" w:hAnsi="Times New Roman" w:cs="Times New Roman"/>
        </w:rPr>
      </w:pPr>
      <w:r w:rsidRPr="00A87917">
        <w:rPr>
          <w:rFonts w:ascii="Times New Roman" w:hAnsi="Times New Roman" w:cs="Times New Roman"/>
          <w:b/>
          <w:bCs/>
        </w:rPr>
        <w:t>Conclusion:</w:t>
      </w:r>
      <w:r>
        <w:rPr>
          <w:rFonts w:ascii="Times New Roman" w:hAnsi="Times New Roman" w:cs="Times New Roman"/>
        </w:rPr>
        <w:t xml:space="preserve"> </w:t>
      </w:r>
      <w:r w:rsidRPr="00A87917">
        <w:rPr>
          <w:rFonts w:ascii="Times New Roman" w:hAnsi="Times New Roman" w:cs="Times New Roman"/>
        </w:rPr>
        <w:t>In short, our research shows that SLU Alumni Connect isn’t just a good idea—it’s the right strategy, now. By grounding our plan in proven methods from educational data mining and clear employer needs, we’ve defined an MVP that delivers immediate value (alumni and employer insights, mentorship matching, secure data pipelines) and an MMP that makes the platform adoption-ready (skills demand analytics, engagement scoring, events, career path modeling). The industry evidence confirms this will strengthen partnerships and align courses with real-world skills, while the academic literature guides how we build responsibly and effectively. Throughout, we’ve embedded ethical guardrails—privacy, transparency, fairness, and accessibility—so the product earns trust as it scales. Together, the Strategy Canvas, Roadmap, Research Matrix, and Annotated Bibliography demonstrate a coherent, research-informed path to making SLU an employer of choice and improving student outcomes.</w:t>
      </w:r>
    </w:p>
    <w:p w14:paraId="3197DB76" w14:textId="77777777" w:rsidR="00A87917" w:rsidRDefault="00A87917" w:rsidP="00A87917">
      <w:pPr>
        <w:spacing w:line="360" w:lineRule="auto"/>
        <w:jc w:val="both"/>
        <w:rPr>
          <w:rFonts w:ascii="Times New Roman" w:hAnsi="Times New Roman" w:cs="Times New Roman"/>
          <w:b/>
          <w:bCs/>
        </w:rPr>
      </w:pPr>
    </w:p>
    <w:p w14:paraId="6F704B63" w14:textId="77777777" w:rsidR="00A87917" w:rsidRDefault="00A87917" w:rsidP="00A87917">
      <w:pPr>
        <w:spacing w:line="360" w:lineRule="auto"/>
        <w:jc w:val="both"/>
        <w:rPr>
          <w:rFonts w:ascii="Times New Roman" w:hAnsi="Times New Roman" w:cs="Times New Roman"/>
          <w:b/>
          <w:bCs/>
        </w:rPr>
      </w:pPr>
    </w:p>
    <w:p w14:paraId="16EE5B27" w14:textId="77777777" w:rsidR="00515860" w:rsidRDefault="00515860" w:rsidP="00A87917">
      <w:pPr>
        <w:spacing w:line="360" w:lineRule="auto"/>
        <w:jc w:val="both"/>
        <w:rPr>
          <w:rFonts w:ascii="Times New Roman" w:hAnsi="Times New Roman" w:cs="Times New Roman"/>
          <w:b/>
          <w:bCs/>
        </w:rPr>
      </w:pPr>
    </w:p>
    <w:p w14:paraId="12A1890E" w14:textId="77777777" w:rsidR="00515860" w:rsidRDefault="00515860" w:rsidP="00A87917">
      <w:pPr>
        <w:spacing w:line="360" w:lineRule="auto"/>
        <w:jc w:val="both"/>
        <w:rPr>
          <w:rFonts w:ascii="Times New Roman" w:hAnsi="Times New Roman" w:cs="Times New Roman"/>
          <w:b/>
          <w:bCs/>
        </w:rPr>
      </w:pPr>
    </w:p>
    <w:p w14:paraId="3B3CF910" w14:textId="77777777" w:rsidR="00515860" w:rsidRDefault="00515860" w:rsidP="00A87917">
      <w:pPr>
        <w:spacing w:line="360" w:lineRule="auto"/>
        <w:jc w:val="both"/>
        <w:rPr>
          <w:rFonts w:ascii="Times New Roman" w:hAnsi="Times New Roman" w:cs="Times New Roman"/>
          <w:b/>
          <w:bCs/>
        </w:rPr>
      </w:pPr>
    </w:p>
    <w:p w14:paraId="00F4D9E3" w14:textId="77777777" w:rsidR="00515860" w:rsidRDefault="00515860" w:rsidP="00A87917">
      <w:pPr>
        <w:spacing w:line="360" w:lineRule="auto"/>
        <w:jc w:val="both"/>
        <w:rPr>
          <w:rFonts w:ascii="Times New Roman" w:hAnsi="Times New Roman" w:cs="Times New Roman"/>
          <w:b/>
          <w:bCs/>
        </w:rPr>
      </w:pPr>
    </w:p>
    <w:p w14:paraId="55792EB7" w14:textId="77777777" w:rsidR="00515860" w:rsidRDefault="00515860" w:rsidP="00A87917">
      <w:pPr>
        <w:spacing w:line="360" w:lineRule="auto"/>
        <w:jc w:val="both"/>
        <w:rPr>
          <w:rFonts w:ascii="Times New Roman" w:hAnsi="Times New Roman" w:cs="Times New Roman"/>
          <w:b/>
          <w:bCs/>
        </w:rPr>
      </w:pPr>
    </w:p>
    <w:p w14:paraId="594D9B0B" w14:textId="77777777" w:rsidR="00515860" w:rsidRDefault="00515860" w:rsidP="00A87917">
      <w:pPr>
        <w:spacing w:line="360" w:lineRule="auto"/>
        <w:jc w:val="both"/>
        <w:rPr>
          <w:rFonts w:ascii="Times New Roman" w:hAnsi="Times New Roman" w:cs="Times New Roman"/>
          <w:b/>
          <w:bCs/>
        </w:rPr>
      </w:pPr>
    </w:p>
    <w:p w14:paraId="723B9BD4" w14:textId="77777777" w:rsidR="00A87917" w:rsidRDefault="00A87917" w:rsidP="00A87917">
      <w:pPr>
        <w:spacing w:line="360" w:lineRule="auto"/>
        <w:jc w:val="both"/>
        <w:rPr>
          <w:rFonts w:ascii="Times New Roman" w:hAnsi="Times New Roman" w:cs="Times New Roman"/>
          <w:b/>
          <w:bCs/>
        </w:rPr>
      </w:pPr>
    </w:p>
    <w:p w14:paraId="6941FC87" w14:textId="68021CF4" w:rsidR="00A87917" w:rsidRPr="00A87917" w:rsidRDefault="00A87917" w:rsidP="00515860">
      <w:pPr>
        <w:spacing w:line="360" w:lineRule="auto"/>
        <w:jc w:val="center"/>
        <w:rPr>
          <w:rFonts w:ascii="Times New Roman" w:hAnsi="Times New Roman" w:cs="Times New Roman"/>
          <w:b/>
          <w:bCs/>
        </w:rPr>
      </w:pPr>
      <w:r w:rsidRPr="00A87917">
        <w:rPr>
          <w:rFonts w:ascii="Times New Roman" w:hAnsi="Times New Roman" w:cs="Times New Roman"/>
          <w:b/>
          <w:bCs/>
        </w:rPr>
        <w:t>References</w:t>
      </w:r>
    </w:p>
    <w:p w14:paraId="774854B6" w14:textId="77777777" w:rsidR="00A87917" w:rsidRDefault="00A87917" w:rsidP="00A87917">
      <w:pPr>
        <w:spacing w:before="100" w:beforeAutospacing="1" w:after="100" w:afterAutospacing="1" w:line="240" w:lineRule="auto"/>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Romero, C., &amp; Ventura, S. (2010). Educational data mining: A review of the state of the art. </w:t>
      </w:r>
      <w:r w:rsidRPr="00A87917">
        <w:rPr>
          <w:rFonts w:ascii="Times New Roman" w:eastAsia="Times New Roman" w:hAnsi="Times New Roman" w:cs="Times New Roman"/>
          <w:i/>
          <w:iCs/>
          <w:kern w:val="0"/>
          <w14:ligatures w14:val="none"/>
        </w:rPr>
        <w:t>IEEE Transactions on Systems, Man, and Cybernetics, Part C (Applications and Reviews), 40</w:t>
      </w:r>
      <w:r w:rsidRPr="00A87917">
        <w:rPr>
          <w:rFonts w:ascii="Times New Roman" w:eastAsia="Times New Roman" w:hAnsi="Times New Roman" w:cs="Times New Roman"/>
          <w:kern w:val="0"/>
          <w14:ligatures w14:val="none"/>
        </w:rPr>
        <w:t xml:space="preserve">(6), 601–618. </w:t>
      </w:r>
    </w:p>
    <w:p w14:paraId="42BE61C2" w14:textId="0D7829C6" w:rsidR="00A87917" w:rsidRPr="00A87917" w:rsidRDefault="00A87917" w:rsidP="00A87917">
      <w:pPr>
        <w:spacing w:before="100" w:beforeAutospacing="1" w:after="100" w:afterAutospacing="1" w:line="240" w:lineRule="auto"/>
        <w:ind w:left="720"/>
        <w:rPr>
          <w:rFonts w:ascii="Times New Roman" w:eastAsia="Times New Roman" w:hAnsi="Times New Roman" w:cs="Times New Roman"/>
          <w:kern w:val="0"/>
          <w14:ligatures w14:val="none"/>
        </w:rPr>
      </w:pPr>
      <w:hyperlink r:id="rId20" w:history="1">
        <w:r w:rsidRPr="00A87917">
          <w:rPr>
            <w:rStyle w:val="Hyperlink"/>
            <w:rFonts w:ascii="Times New Roman" w:eastAsia="Times New Roman" w:hAnsi="Times New Roman" w:cs="Times New Roman"/>
            <w:kern w:val="0"/>
            <w14:ligatures w14:val="none"/>
          </w:rPr>
          <w:t>https://doi.org/10.1109/TSMCC.2010.2053532</w:t>
        </w:r>
      </w:hyperlink>
    </w:p>
    <w:p w14:paraId="386139B8" w14:textId="77777777" w:rsidR="00515860" w:rsidRDefault="00A87917" w:rsidP="00A87917">
      <w:pPr>
        <w:spacing w:before="100" w:beforeAutospacing="1" w:after="100" w:afterAutospacing="1" w:line="240" w:lineRule="auto"/>
        <w:rPr>
          <w:rFonts w:ascii="Times New Roman" w:eastAsia="Times New Roman" w:hAnsi="Times New Roman" w:cs="Times New Roman"/>
          <w:i/>
          <w:iCs/>
          <w:kern w:val="0"/>
          <w14:ligatures w14:val="none"/>
        </w:rPr>
      </w:pPr>
      <w:r w:rsidRPr="00A87917">
        <w:rPr>
          <w:rFonts w:ascii="Times New Roman" w:eastAsia="Times New Roman" w:hAnsi="Times New Roman" w:cs="Times New Roman"/>
          <w:kern w:val="0"/>
          <w14:ligatures w14:val="none"/>
        </w:rPr>
        <w:t xml:space="preserve">Romero, C., &amp; Ventura, S. (2024). Educational data mining and learning analytics: An updated survey. </w:t>
      </w:r>
      <w:proofErr w:type="spellStart"/>
      <w:r w:rsidRPr="00A87917">
        <w:rPr>
          <w:rFonts w:ascii="Times New Roman" w:eastAsia="Times New Roman" w:hAnsi="Times New Roman" w:cs="Times New Roman"/>
          <w:i/>
          <w:iCs/>
          <w:kern w:val="0"/>
          <w14:ligatures w14:val="none"/>
        </w:rPr>
        <w:t>arXiv</w:t>
      </w:r>
      <w:proofErr w:type="spellEnd"/>
      <w:r w:rsidRPr="00A87917">
        <w:rPr>
          <w:rFonts w:ascii="Times New Roman" w:eastAsia="Times New Roman" w:hAnsi="Times New Roman" w:cs="Times New Roman"/>
          <w:i/>
          <w:iCs/>
          <w:kern w:val="0"/>
          <w14:ligatures w14:val="none"/>
        </w:rPr>
        <w:t xml:space="preserve"> preprint arXiv:2402.07956.</w:t>
      </w:r>
    </w:p>
    <w:p w14:paraId="1CB92F76" w14:textId="3C58E37A" w:rsidR="00A87917" w:rsidRP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fldChar w:fldCharType="begin"/>
      </w:r>
      <w:r>
        <w:rPr>
          <w:rFonts w:ascii="Times New Roman" w:eastAsia="Times New Roman" w:hAnsi="Times New Roman" w:cs="Times New Roman"/>
          <w:color w:val="0000FF"/>
          <w:kern w:val="0"/>
          <w:u w:val="single"/>
          <w14:ligatures w14:val="none"/>
        </w:rPr>
        <w:instrText>HYPERLINK "</w:instrText>
      </w:r>
      <w:r w:rsidRPr="00A87917">
        <w:rPr>
          <w:rFonts w:ascii="Times New Roman" w:eastAsia="Times New Roman" w:hAnsi="Times New Roman" w:cs="Times New Roman"/>
          <w:color w:val="0000FF"/>
          <w:kern w:val="0"/>
          <w:u w:val="single"/>
          <w14:ligatures w14:val="none"/>
        </w:rPr>
        <w:instrText>https://arxiv.org/pdf/2402.07956</w:instrText>
      </w:r>
      <w:r>
        <w:rPr>
          <w:rFonts w:ascii="Times New Roman" w:eastAsia="Times New Roman" w:hAnsi="Times New Roman" w:cs="Times New Roman"/>
          <w:color w:val="0000FF"/>
          <w:kern w:val="0"/>
          <w:u w:val="single"/>
          <w14:ligatures w14:val="none"/>
        </w:rPr>
        <w:instrText>"</w:instrText>
      </w:r>
      <w:r>
        <w:rPr>
          <w:rFonts w:ascii="Times New Roman" w:eastAsia="Times New Roman" w:hAnsi="Times New Roman" w:cs="Times New Roman"/>
          <w:color w:val="0000FF"/>
          <w:kern w:val="0"/>
          <w:u w:val="single"/>
          <w14:ligatures w14:val="none"/>
        </w:rPr>
        <w:fldChar w:fldCharType="separate"/>
      </w:r>
      <w:r w:rsidRPr="00A87917">
        <w:rPr>
          <w:rStyle w:val="Hyperlink"/>
          <w:rFonts w:ascii="Times New Roman" w:eastAsia="Times New Roman" w:hAnsi="Times New Roman" w:cs="Times New Roman"/>
          <w:kern w:val="0"/>
          <w14:ligatures w14:val="none"/>
        </w:rPr>
        <w:t>https://arxiv.org</w:t>
      </w:r>
      <w:r w:rsidRPr="00A87917">
        <w:rPr>
          <w:rStyle w:val="Hyperlink"/>
          <w:rFonts w:ascii="Times New Roman" w:eastAsia="Times New Roman" w:hAnsi="Times New Roman" w:cs="Times New Roman"/>
          <w:kern w:val="0"/>
          <w14:ligatures w14:val="none"/>
        </w:rPr>
        <w:t>/</w:t>
      </w:r>
      <w:r w:rsidRPr="00A87917">
        <w:rPr>
          <w:rStyle w:val="Hyperlink"/>
          <w:rFonts w:ascii="Times New Roman" w:eastAsia="Times New Roman" w:hAnsi="Times New Roman" w:cs="Times New Roman"/>
          <w:kern w:val="0"/>
          <w14:ligatures w14:val="none"/>
        </w:rPr>
        <w:t>pdf/2402.07956</w:t>
      </w:r>
      <w:r>
        <w:rPr>
          <w:rFonts w:ascii="Times New Roman" w:eastAsia="Times New Roman" w:hAnsi="Times New Roman" w:cs="Times New Roman"/>
          <w:color w:val="0000FF"/>
          <w:kern w:val="0"/>
          <w:u w:val="single"/>
          <w14:ligatures w14:val="none"/>
        </w:rPr>
        <w:fldChar w:fldCharType="end"/>
      </w:r>
    </w:p>
    <w:p w14:paraId="46582AEF" w14:textId="77777777" w:rsidR="00515860" w:rsidRDefault="00A87917" w:rsidP="00A87917">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A87917">
        <w:rPr>
          <w:rFonts w:ascii="Times New Roman" w:eastAsia="Times New Roman" w:hAnsi="Times New Roman" w:cs="Times New Roman"/>
          <w:kern w:val="0"/>
          <w14:ligatures w14:val="none"/>
        </w:rPr>
        <w:t>Okewu</w:t>
      </w:r>
      <w:proofErr w:type="spellEnd"/>
      <w:r w:rsidRPr="00A87917">
        <w:rPr>
          <w:rFonts w:ascii="Times New Roman" w:eastAsia="Times New Roman" w:hAnsi="Times New Roman" w:cs="Times New Roman"/>
          <w:kern w:val="0"/>
          <w14:ligatures w14:val="none"/>
        </w:rPr>
        <w:t xml:space="preserve">, E. (2021). Artificial neural networks for educational data mining in higher education: A systematic literature review. </w:t>
      </w:r>
      <w:r w:rsidRPr="00A87917">
        <w:rPr>
          <w:rFonts w:ascii="Times New Roman" w:eastAsia="Times New Roman" w:hAnsi="Times New Roman" w:cs="Times New Roman"/>
          <w:i/>
          <w:iCs/>
          <w:kern w:val="0"/>
          <w14:ligatures w14:val="none"/>
        </w:rPr>
        <w:t>Applied Artificial Intelligence, 35</w:t>
      </w:r>
      <w:r w:rsidRPr="00A87917">
        <w:rPr>
          <w:rFonts w:ascii="Times New Roman" w:eastAsia="Times New Roman" w:hAnsi="Times New Roman" w:cs="Times New Roman"/>
          <w:kern w:val="0"/>
          <w14:ligatures w14:val="none"/>
        </w:rPr>
        <w:t>(9), 737–765.</w:t>
      </w:r>
    </w:p>
    <w:p w14:paraId="075E8F7F" w14:textId="5636EC47" w:rsid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1" w:history="1">
        <w:r w:rsidRPr="00A87917">
          <w:rPr>
            <w:rStyle w:val="Hyperlink"/>
            <w:rFonts w:ascii="Times New Roman" w:eastAsia="Times New Roman" w:hAnsi="Times New Roman" w:cs="Times New Roman"/>
            <w:kern w:val="0"/>
            <w14:ligatures w14:val="none"/>
          </w:rPr>
          <w:t>https://doi.org/10.1080/08839514.2021.1922847</w:t>
        </w:r>
      </w:hyperlink>
    </w:p>
    <w:p w14:paraId="09BC5A19" w14:textId="77777777" w:rsidR="00515860" w:rsidRDefault="00A87917" w:rsidP="00A87917">
      <w:pPr>
        <w:spacing w:before="100" w:beforeAutospacing="1" w:after="100" w:afterAutospacing="1" w:line="240" w:lineRule="auto"/>
        <w:rPr>
          <w:rFonts w:ascii="Times New Roman" w:eastAsia="Times New Roman" w:hAnsi="Times New Roman" w:cs="Times New Roman"/>
          <w:i/>
          <w:iCs/>
          <w:kern w:val="0"/>
          <w14:ligatures w14:val="none"/>
        </w:rPr>
      </w:pPr>
      <w:r w:rsidRPr="00A87917">
        <w:rPr>
          <w:rFonts w:ascii="Times New Roman" w:eastAsia="Times New Roman" w:hAnsi="Times New Roman" w:cs="Times New Roman"/>
          <w:kern w:val="0"/>
          <w14:ligatures w14:val="none"/>
        </w:rPr>
        <w:t xml:space="preserve">Safavi, T., Davoodi, M., &amp; Koutra, D. (2018). Career transitions and trajectories: A case study in computing. </w:t>
      </w:r>
      <w:proofErr w:type="spellStart"/>
      <w:r w:rsidRPr="00A87917">
        <w:rPr>
          <w:rFonts w:ascii="Times New Roman" w:eastAsia="Times New Roman" w:hAnsi="Times New Roman" w:cs="Times New Roman"/>
          <w:i/>
          <w:iCs/>
          <w:kern w:val="0"/>
          <w14:ligatures w14:val="none"/>
        </w:rPr>
        <w:t>arXiv</w:t>
      </w:r>
      <w:proofErr w:type="spellEnd"/>
      <w:r w:rsidRPr="00A87917">
        <w:rPr>
          <w:rFonts w:ascii="Times New Roman" w:eastAsia="Times New Roman" w:hAnsi="Times New Roman" w:cs="Times New Roman"/>
          <w:i/>
          <w:iCs/>
          <w:kern w:val="0"/>
          <w14:ligatures w14:val="none"/>
        </w:rPr>
        <w:t xml:space="preserve"> preprint arXiv:1805.06534.</w:t>
      </w:r>
    </w:p>
    <w:p w14:paraId="51B3B581" w14:textId="6CC7CC0F" w:rsidR="00A87917" w:rsidRP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2" w:history="1">
        <w:r w:rsidRPr="00A87917">
          <w:rPr>
            <w:rStyle w:val="Hyperlink"/>
            <w:rFonts w:ascii="Times New Roman" w:eastAsia="Times New Roman" w:hAnsi="Times New Roman" w:cs="Times New Roman"/>
            <w:kern w:val="0"/>
            <w14:ligatures w14:val="none"/>
          </w:rPr>
          <w:t>https://arxiv.org/abs/1805.06534</w:t>
        </w:r>
      </w:hyperlink>
    </w:p>
    <w:p w14:paraId="59DB3BFF" w14:textId="77777777" w:rsidR="00515860" w:rsidRDefault="00A87917" w:rsidP="00A87917">
      <w:pPr>
        <w:spacing w:before="100" w:beforeAutospacing="1" w:after="100" w:afterAutospacing="1" w:line="240" w:lineRule="auto"/>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Mpia, C., Mburu, B., &amp; Mwendia, P. (2023). Applying data mining in graduates’ employability: A systematic literature review. </w:t>
      </w:r>
      <w:r w:rsidRPr="00A87917">
        <w:rPr>
          <w:rFonts w:ascii="Times New Roman" w:eastAsia="Times New Roman" w:hAnsi="Times New Roman" w:cs="Times New Roman"/>
          <w:i/>
          <w:iCs/>
          <w:kern w:val="0"/>
          <w14:ligatures w14:val="none"/>
        </w:rPr>
        <w:t>International Journal of Engineering Pedagogy, 13</w:t>
      </w:r>
      <w:r w:rsidRPr="00A87917">
        <w:rPr>
          <w:rFonts w:ascii="Times New Roman" w:eastAsia="Times New Roman" w:hAnsi="Times New Roman" w:cs="Times New Roman"/>
          <w:kern w:val="0"/>
          <w14:ligatures w14:val="none"/>
        </w:rPr>
        <w:t>(2), 121–138.</w:t>
      </w:r>
    </w:p>
    <w:p w14:paraId="764702CE" w14:textId="28D2C30E" w:rsid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3" w:history="1">
        <w:r w:rsidRPr="00A87917">
          <w:rPr>
            <w:rStyle w:val="Hyperlink"/>
            <w:rFonts w:ascii="Times New Roman" w:eastAsia="Times New Roman" w:hAnsi="Times New Roman" w:cs="Times New Roman"/>
            <w:kern w:val="0"/>
            <w14:ligatures w14:val="none"/>
          </w:rPr>
          <w:t>https://doi.org/10.3991/ijep.v13i2.34587</w:t>
        </w:r>
      </w:hyperlink>
    </w:p>
    <w:p w14:paraId="2DA1369F" w14:textId="77777777" w:rsidR="00515860" w:rsidRPr="00A87917" w:rsidRDefault="00515860" w:rsidP="00A87917">
      <w:pPr>
        <w:spacing w:before="100" w:beforeAutospacing="1" w:after="100" w:afterAutospacing="1" w:line="240" w:lineRule="auto"/>
        <w:rPr>
          <w:rFonts w:ascii="Times New Roman" w:eastAsia="Times New Roman" w:hAnsi="Times New Roman" w:cs="Times New Roman"/>
          <w:kern w:val="0"/>
          <w14:ligatures w14:val="none"/>
        </w:rPr>
      </w:pPr>
    </w:p>
    <w:p w14:paraId="39486009" w14:textId="77777777" w:rsidR="00515860" w:rsidRDefault="00A87917" w:rsidP="00A87917">
      <w:pPr>
        <w:spacing w:before="100" w:beforeAutospacing="1" w:after="100" w:afterAutospacing="1" w:line="240" w:lineRule="auto"/>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Abramo, G., D’Angelo, C. A., &amp; Di Costa, F. (2010). University–industry research collaboration: A model to assess university capability. </w:t>
      </w:r>
      <w:r w:rsidRPr="00A87917">
        <w:rPr>
          <w:rFonts w:ascii="Times New Roman" w:eastAsia="Times New Roman" w:hAnsi="Times New Roman" w:cs="Times New Roman"/>
          <w:i/>
          <w:iCs/>
          <w:kern w:val="0"/>
          <w14:ligatures w14:val="none"/>
        </w:rPr>
        <w:t>Higher Education, 62</w:t>
      </w:r>
      <w:r w:rsidRPr="00A87917">
        <w:rPr>
          <w:rFonts w:ascii="Times New Roman" w:eastAsia="Times New Roman" w:hAnsi="Times New Roman" w:cs="Times New Roman"/>
          <w:kern w:val="0"/>
          <w14:ligatures w14:val="none"/>
        </w:rPr>
        <w:t>(2), 163–181.</w:t>
      </w:r>
    </w:p>
    <w:p w14:paraId="1D439D16" w14:textId="3BDB85FC" w:rsidR="00A87917" w:rsidRP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4" w:history="1">
        <w:r w:rsidRPr="00A87917">
          <w:rPr>
            <w:rStyle w:val="Hyperlink"/>
            <w:rFonts w:ascii="Times New Roman" w:eastAsia="Times New Roman" w:hAnsi="Times New Roman" w:cs="Times New Roman"/>
            <w:kern w:val="0"/>
            <w14:ligatures w14:val="none"/>
          </w:rPr>
          <w:t>https://doi.org/10.1007/s10734-010-9372-0</w:t>
        </w:r>
      </w:hyperlink>
    </w:p>
    <w:p w14:paraId="153996EE" w14:textId="77777777" w:rsidR="00515860" w:rsidRDefault="00A87917" w:rsidP="00A87917">
      <w:pPr>
        <w:spacing w:before="100" w:beforeAutospacing="1" w:after="100" w:afterAutospacing="1" w:line="240" w:lineRule="auto"/>
        <w:rPr>
          <w:rFonts w:ascii="Times New Roman" w:eastAsia="Times New Roman" w:hAnsi="Times New Roman" w:cs="Times New Roman"/>
          <w:i/>
          <w:iCs/>
          <w:kern w:val="0"/>
          <w14:ligatures w14:val="none"/>
        </w:rPr>
      </w:pPr>
      <w:r w:rsidRPr="00A87917">
        <w:rPr>
          <w:rFonts w:ascii="Times New Roman" w:eastAsia="Times New Roman" w:hAnsi="Times New Roman" w:cs="Times New Roman"/>
          <w:kern w:val="0"/>
          <w14:ligatures w14:val="none"/>
        </w:rPr>
        <w:t xml:space="preserve">Boston Consulting Group (BCG). (2022). How higher ed and employers can partner to power talent pipelines. </w:t>
      </w:r>
      <w:r w:rsidRPr="00A87917">
        <w:rPr>
          <w:rFonts w:ascii="Times New Roman" w:eastAsia="Times New Roman" w:hAnsi="Times New Roman" w:cs="Times New Roman"/>
          <w:i/>
          <w:iCs/>
          <w:kern w:val="0"/>
          <w14:ligatures w14:val="none"/>
        </w:rPr>
        <w:t>Boston Consulting Group.</w:t>
      </w:r>
    </w:p>
    <w:p w14:paraId="45EE1F65" w14:textId="0AE78CF3" w:rsidR="00A87917" w:rsidRP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5" w:history="1">
        <w:r w:rsidRPr="00A87917">
          <w:rPr>
            <w:rStyle w:val="Hyperlink"/>
            <w:rFonts w:ascii="Times New Roman" w:eastAsia="Times New Roman" w:hAnsi="Times New Roman" w:cs="Times New Roman"/>
            <w:kern w:val="0"/>
            <w14:ligatures w14:val="none"/>
          </w:rPr>
          <w:t>https://www.bcg.com/publications/2022/bridging-the-talent-gap-by-partnering-with-higher-ed-institutions</w:t>
        </w:r>
      </w:hyperlink>
    </w:p>
    <w:p w14:paraId="4414BA60" w14:textId="77777777" w:rsidR="00515860" w:rsidRDefault="00A87917" w:rsidP="00A87917">
      <w:pPr>
        <w:spacing w:before="100" w:beforeAutospacing="1" w:after="100" w:afterAutospacing="1" w:line="240" w:lineRule="auto"/>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UPCEA &amp; Collegis Education. (2024). An employer-centric approach to higher education partnerships. </w:t>
      </w:r>
      <w:r w:rsidRPr="00A87917">
        <w:rPr>
          <w:rFonts w:ascii="Times New Roman" w:eastAsia="Times New Roman" w:hAnsi="Times New Roman" w:cs="Times New Roman"/>
          <w:i/>
          <w:iCs/>
          <w:kern w:val="0"/>
          <w14:ligatures w14:val="none"/>
        </w:rPr>
        <w:t>UPCEA.</w:t>
      </w:r>
      <w:r w:rsidRPr="00A87917">
        <w:rPr>
          <w:rFonts w:ascii="Times New Roman" w:eastAsia="Times New Roman" w:hAnsi="Times New Roman" w:cs="Times New Roman"/>
          <w:kern w:val="0"/>
          <w14:ligatures w14:val="none"/>
        </w:rPr>
        <w:t xml:space="preserve"> </w:t>
      </w:r>
    </w:p>
    <w:p w14:paraId="5B374DB1" w14:textId="1332CED7" w:rsidR="00A87917" w:rsidRPr="00A87917" w:rsidRDefault="00515860" w:rsidP="00515860">
      <w:pPr>
        <w:spacing w:before="100" w:beforeAutospacing="1" w:after="100" w:afterAutospacing="1" w:line="240" w:lineRule="auto"/>
        <w:ind w:left="720"/>
        <w:rPr>
          <w:rFonts w:ascii="Times New Roman" w:eastAsia="Times New Roman" w:hAnsi="Times New Roman" w:cs="Times New Roman"/>
          <w:kern w:val="0"/>
          <w14:ligatures w14:val="none"/>
        </w:rPr>
      </w:pPr>
      <w:hyperlink r:id="rId26" w:history="1">
        <w:r w:rsidRPr="00A87917">
          <w:rPr>
            <w:rStyle w:val="Hyperlink"/>
            <w:rFonts w:ascii="Times New Roman" w:eastAsia="Times New Roman" w:hAnsi="Times New Roman" w:cs="Times New Roman"/>
            <w:kern w:val="0"/>
            <w14:ligatures w14:val="none"/>
          </w:rPr>
          <w:t>https://collegiseducation.com/wp-content/uploads/2024/01/An-Employer-Centric-Approach-to-Higher-Education-Partnerships.pdf</w:t>
        </w:r>
      </w:hyperlink>
    </w:p>
    <w:p w14:paraId="62669D42" w14:textId="77777777" w:rsidR="00515860" w:rsidRDefault="00A87917" w:rsidP="00A87917">
      <w:pPr>
        <w:spacing w:before="100" w:beforeAutospacing="1" w:after="100" w:afterAutospacing="1" w:line="240" w:lineRule="auto"/>
        <w:rPr>
          <w:rFonts w:ascii="Times New Roman" w:eastAsia="Times New Roman" w:hAnsi="Times New Roman" w:cs="Times New Roman"/>
          <w:i/>
          <w:iCs/>
          <w:kern w:val="0"/>
          <w14:ligatures w14:val="none"/>
        </w:rPr>
      </w:pPr>
      <w:r w:rsidRPr="00A87917">
        <w:rPr>
          <w:rFonts w:ascii="Times New Roman" w:eastAsia="Times New Roman" w:hAnsi="Times New Roman" w:cs="Times New Roman"/>
          <w:kern w:val="0"/>
          <w14:ligatures w14:val="none"/>
        </w:rPr>
        <w:t xml:space="preserve">Business-Higher Education Forum (BHEF). (2024). Align education and industry for the workforce of tomorrow (Forging Partnerships). </w:t>
      </w:r>
      <w:r w:rsidRPr="00A87917">
        <w:rPr>
          <w:rFonts w:ascii="Times New Roman" w:eastAsia="Times New Roman" w:hAnsi="Times New Roman" w:cs="Times New Roman"/>
          <w:i/>
          <w:iCs/>
          <w:kern w:val="0"/>
          <w14:ligatures w14:val="none"/>
        </w:rPr>
        <w:t>Business-Higher Education Forum.</w:t>
      </w:r>
    </w:p>
    <w:p w14:paraId="73AC5DA2" w14:textId="2E5733AF" w:rsidR="00A87917" w:rsidRPr="00A87917" w:rsidRDefault="00A87917" w:rsidP="00515860">
      <w:pPr>
        <w:spacing w:before="100" w:beforeAutospacing="1" w:after="100" w:afterAutospacing="1" w:line="240" w:lineRule="auto"/>
        <w:ind w:left="720"/>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 </w:t>
      </w:r>
      <w:hyperlink r:id="rId27" w:tgtFrame="_new" w:history="1">
        <w:r w:rsidRPr="00A87917">
          <w:rPr>
            <w:rFonts w:ascii="Times New Roman" w:eastAsia="Times New Roman" w:hAnsi="Times New Roman" w:cs="Times New Roman"/>
            <w:color w:val="0000FF"/>
            <w:kern w:val="0"/>
            <w:u w:val="single"/>
            <w14:ligatures w14:val="none"/>
          </w:rPr>
          <w:t>https://www.bhef.com/sites/default/files/2024-BHEF-Forging%20Partnerships.pdf</w:t>
        </w:r>
      </w:hyperlink>
    </w:p>
    <w:p w14:paraId="7DEDC3F1" w14:textId="77777777" w:rsidR="00515860" w:rsidRDefault="00A87917" w:rsidP="00A87917">
      <w:pPr>
        <w:spacing w:before="100" w:beforeAutospacing="1" w:after="100" w:afterAutospacing="1" w:line="240" w:lineRule="auto"/>
        <w:rPr>
          <w:rFonts w:ascii="Times New Roman" w:eastAsia="Times New Roman" w:hAnsi="Times New Roman" w:cs="Times New Roman"/>
          <w:i/>
          <w:iCs/>
          <w:kern w:val="0"/>
          <w14:ligatures w14:val="none"/>
        </w:rPr>
      </w:pPr>
      <w:r w:rsidRPr="00A87917">
        <w:rPr>
          <w:rFonts w:ascii="Times New Roman" w:eastAsia="Times New Roman" w:hAnsi="Times New Roman" w:cs="Times New Roman"/>
          <w:kern w:val="0"/>
          <w14:ligatures w14:val="none"/>
        </w:rPr>
        <w:t xml:space="preserve">Utah System of Higher Education (USHE). (2024). Workforce alignment study report. </w:t>
      </w:r>
      <w:r w:rsidRPr="00A87917">
        <w:rPr>
          <w:rFonts w:ascii="Times New Roman" w:eastAsia="Times New Roman" w:hAnsi="Times New Roman" w:cs="Times New Roman"/>
          <w:i/>
          <w:iCs/>
          <w:kern w:val="0"/>
          <w14:ligatures w14:val="none"/>
        </w:rPr>
        <w:t>Utah System of Higher Education.</w:t>
      </w:r>
    </w:p>
    <w:p w14:paraId="315D07B7" w14:textId="56928A1C" w:rsidR="00A87917" w:rsidRPr="00515860" w:rsidRDefault="00A87917" w:rsidP="00515860">
      <w:pPr>
        <w:spacing w:before="100" w:beforeAutospacing="1" w:after="100" w:afterAutospacing="1" w:line="240" w:lineRule="auto"/>
        <w:ind w:left="720"/>
        <w:rPr>
          <w:rFonts w:ascii="Times New Roman" w:eastAsia="Times New Roman" w:hAnsi="Times New Roman" w:cs="Times New Roman"/>
          <w:kern w:val="0"/>
          <w14:ligatures w14:val="none"/>
        </w:rPr>
      </w:pPr>
      <w:r w:rsidRPr="00A87917">
        <w:rPr>
          <w:rFonts w:ascii="Times New Roman" w:eastAsia="Times New Roman" w:hAnsi="Times New Roman" w:cs="Times New Roman"/>
          <w:kern w:val="0"/>
          <w14:ligatures w14:val="none"/>
        </w:rPr>
        <w:t xml:space="preserve"> </w:t>
      </w:r>
      <w:hyperlink r:id="rId28" w:tgtFrame="_new" w:history="1">
        <w:r w:rsidRPr="00A87917">
          <w:rPr>
            <w:rFonts w:ascii="Times New Roman" w:eastAsia="Times New Roman" w:hAnsi="Times New Roman" w:cs="Times New Roman"/>
            <w:color w:val="0000FF"/>
            <w:kern w:val="0"/>
            <w:u w:val="single"/>
            <w14:ligatures w14:val="none"/>
          </w:rPr>
          <w:t>https://ushe.edu/wp-content/uploads/pdf/reports/2024/2024_USHE_State_Workforce_Alignment_Study_Report.pdf</w:t>
        </w:r>
      </w:hyperlink>
    </w:p>
    <w:sectPr w:rsidR="00A87917" w:rsidRPr="005158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3A4B3" w14:textId="77777777" w:rsidR="00747FB9" w:rsidRDefault="00747FB9" w:rsidP="00835960">
      <w:pPr>
        <w:spacing w:after="0" w:line="240" w:lineRule="auto"/>
      </w:pPr>
      <w:r>
        <w:separator/>
      </w:r>
    </w:p>
  </w:endnote>
  <w:endnote w:type="continuationSeparator" w:id="0">
    <w:p w14:paraId="55B6D7D1" w14:textId="77777777" w:rsidR="00747FB9" w:rsidRDefault="00747FB9" w:rsidP="0083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FFB44" w14:textId="77777777" w:rsidR="00747FB9" w:rsidRDefault="00747FB9" w:rsidP="00835960">
      <w:pPr>
        <w:spacing w:after="0" w:line="240" w:lineRule="auto"/>
      </w:pPr>
      <w:r>
        <w:separator/>
      </w:r>
    </w:p>
  </w:footnote>
  <w:footnote w:type="continuationSeparator" w:id="0">
    <w:p w14:paraId="6AC54EB2" w14:textId="77777777" w:rsidR="00747FB9" w:rsidRDefault="00747FB9" w:rsidP="00835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14E09"/>
    <w:multiLevelType w:val="multilevel"/>
    <w:tmpl w:val="E4AC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3191"/>
    <w:multiLevelType w:val="multilevel"/>
    <w:tmpl w:val="9BF0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F7C68"/>
    <w:multiLevelType w:val="multilevel"/>
    <w:tmpl w:val="ED38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578D4"/>
    <w:multiLevelType w:val="multilevel"/>
    <w:tmpl w:val="40F8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0468A"/>
    <w:multiLevelType w:val="multilevel"/>
    <w:tmpl w:val="DB504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F4A43"/>
    <w:multiLevelType w:val="multilevel"/>
    <w:tmpl w:val="3C42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E398E"/>
    <w:multiLevelType w:val="multilevel"/>
    <w:tmpl w:val="6550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17872"/>
    <w:multiLevelType w:val="multilevel"/>
    <w:tmpl w:val="FD68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60A07"/>
    <w:multiLevelType w:val="multilevel"/>
    <w:tmpl w:val="A80C7570"/>
    <w:lvl w:ilvl="0">
      <w:start w:val="1"/>
      <w:numFmt w:val="decimal"/>
      <w:lvlText w:val="%1."/>
      <w:lvlJc w:val="left"/>
      <w:pPr>
        <w:ind w:left="720" w:hanging="360"/>
      </w:pPr>
      <w:rPr>
        <w:rFonts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92213"/>
    <w:multiLevelType w:val="multilevel"/>
    <w:tmpl w:val="40683E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10BC5"/>
    <w:multiLevelType w:val="multilevel"/>
    <w:tmpl w:val="91DC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94EAE"/>
    <w:multiLevelType w:val="multilevel"/>
    <w:tmpl w:val="7B9E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65568"/>
    <w:multiLevelType w:val="multilevel"/>
    <w:tmpl w:val="59AE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E06938"/>
    <w:multiLevelType w:val="multilevel"/>
    <w:tmpl w:val="9FBE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0734A"/>
    <w:multiLevelType w:val="multilevel"/>
    <w:tmpl w:val="665E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578"/>
    <w:multiLevelType w:val="multilevel"/>
    <w:tmpl w:val="2B16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B6EDC"/>
    <w:multiLevelType w:val="multilevel"/>
    <w:tmpl w:val="7A90624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C42BE2"/>
    <w:multiLevelType w:val="multilevel"/>
    <w:tmpl w:val="513CD8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A22F80"/>
    <w:multiLevelType w:val="multilevel"/>
    <w:tmpl w:val="EC6A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7D084A"/>
    <w:multiLevelType w:val="multilevel"/>
    <w:tmpl w:val="5276F0E6"/>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84D99"/>
    <w:multiLevelType w:val="hybridMultilevel"/>
    <w:tmpl w:val="EF203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D1FCA"/>
    <w:multiLevelType w:val="multilevel"/>
    <w:tmpl w:val="935A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903D6B"/>
    <w:multiLevelType w:val="multilevel"/>
    <w:tmpl w:val="FF40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6F6DB5"/>
    <w:multiLevelType w:val="multilevel"/>
    <w:tmpl w:val="EA8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5E7AB1"/>
    <w:multiLevelType w:val="multilevel"/>
    <w:tmpl w:val="52B2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338EF"/>
    <w:multiLevelType w:val="multilevel"/>
    <w:tmpl w:val="C74E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75D15"/>
    <w:multiLevelType w:val="multilevel"/>
    <w:tmpl w:val="5726D90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FA2DD5"/>
    <w:multiLevelType w:val="multilevel"/>
    <w:tmpl w:val="1F18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D6F01"/>
    <w:multiLevelType w:val="multilevel"/>
    <w:tmpl w:val="8A08BAE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E356CB"/>
    <w:multiLevelType w:val="multilevel"/>
    <w:tmpl w:val="0782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739AA"/>
    <w:multiLevelType w:val="multilevel"/>
    <w:tmpl w:val="CC6E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2554AE"/>
    <w:multiLevelType w:val="multilevel"/>
    <w:tmpl w:val="C3A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DF65B9"/>
    <w:multiLevelType w:val="hybridMultilevel"/>
    <w:tmpl w:val="4E604B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1F3CE3"/>
    <w:multiLevelType w:val="multilevel"/>
    <w:tmpl w:val="09BE13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976263"/>
    <w:multiLevelType w:val="multilevel"/>
    <w:tmpl w:val="8E58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927AD"/>
    <w:multiLevelType w:val="multilevel"/>
    <w:tmpl w:val="8C621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336AFD"/>
    <w:multiLevelType w:val="multilevel"/>
    <w:tmpl w:val="626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B1558"/>
    <w:multiLevelType w:val="multilevel"/>
    <w:tmpl w:val="233AE6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6F51AF"/>
    <w:multiLevelType w:val="multilevel"/>
    <w:tmpl w:val="BB78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013B1"/>
    <w:multiLevelType w:val="multilevel"/>
    <w:tmpl w:val="6558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F50B2A"/>
    <w:multiLevelType w:val="multilevel"/>
    <w:tmpl w:val="E98C52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54135"/>
    <w:multiLevelType w:val="multilevel"/>
    <w:tmpl w:val="9118E9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009536">
    <w:abstractNumId w:val="32"/>
  </w:num>
  <w:num w:numId="2" w16cid:durableId="1121610025">
    <w:abstractNumId w:val="36"/>
  </w:num>
  <w:num w:numId="3" w16cid:durableId="433862970">
    <w:abstractNumId w:val="3"/>
  </w:num>
  <w:num w:numId="4" w16cid:durableId="1988051617">
    <w:abstractNumId w:val="15"/>
  </w:num>
  <w:num w:numId="5" w16cid:durableId="2123574777">
    <w:abstractNumId w:val="25"/>
  </w:num>
  <w:num w:numId="6" w16cid:durableId="1595549735">
    <w:abstractNumId w:val="11"/>
  </w:num>
  <w:num w:numId="7" w16cid:durableId="184252180">
    <w:abstractNumId w:val="2"/>
  </w:num>
  <w:num w:numId="8" w16cid:durableId="1573001852">
    <w:abstractNumId w:val="8"/>
  </w:num>
  <w:num w:numId="9" w16cid:durableId="820734359">
    <w:abstractNumId w:val="22"/>
  </w:num>
  <w:num w:numId="10" w16cid:durableId="1788306290">
    <w:abstractNumId w:val="5"/>
  </w:num>
  <w:num w:numId="11" w16cid:durableId="94792950">
    <w:abstractNumId w:val="29"/>
  </w:num>
  <w:num w:numId="12" w16cid:durableId="1064337376">
    <w:abstractNumId w:val="1"/>
  </w:num>
  <w:num w:numId="13" w16cid:durableId="889069800">
    <w:abstractNumId w:val="0"/>
  </w:num>
  <w:num w:numId="14" w16cid:durableId="325523929">
    <w:abstractNumId w:val="14"/>
  </w:num>
  <w:num w:numId="15" w16cid:durableId="1042486777">
    <w:abstractNumId w:val="31"/>
  </w:num>
  <w:num w:numId="16" w16cid:durableId="1281259037">
    <w:abstractNumId w:val="35"/>
  </w:num>
  <w:num w:numId="17" w16cid:durableId="1448499953">
    <w:abstractNumId w:val="4"/>
  </w:num>
  <w:num w:numId="18" w16cid:durableId="260380779">
    <w:abstractNumId w:val="38"/>
  </w:num>
  <w:num w:numId="19" w16cid:durableId="1985574059">
    <w:abstractNumId w:val="34"/>
  </w:num>
  <w:num w:numId="20" w16cid:durableId="117257766">
    <w:abstractNumId w:val="13"/>
  </w:num>
  <w:num w:numId="21" w16cid:durableId="1885091512">
    <w:abstractNumId w:val="10"/>
  </w:num>
  <w:num w:numId="22" w16cid:durableId="111630928">
    <w:abstractNumId w:val="12"/>
  </w:num>
  <w:num w:numId="23" w16cid:durableId="774329373">
    <w:abstractNumId w:val="40"/>
  </w:num>
  <w:num w:numId="24" w16cid:durableId="1765299681">
    <w:abstractNumId w:val="17"/>
  </w:num>
  <w:num w:numId="25" w16cid:durableId="878979321">
    <w:abstractNumId w:val="33"/>
  </w:num>
  <w:num w:numId="26" w16cid:durableId="1139960992">
    <w:abstractNumId w:val="41"/>
  </w:num>
  <w:num w:numId="27" w16cid:durableId="589779137">
    <w:abstractNumId w:val="9"/>
  </w:num>
  <w:num w:numId="28" w16cid:durableId="1162163123">
    <w:abstractNumId w:val="19"/>
  </w:num>
  <w:num w:numId="29" w16cid:durableId="1471439203">
    <w:abstractNumId w:val="16"/>
  </w:num>
  <w:num w:numId="30" w16cid:durableId="843134731">
    <w:abstractNumId w:val="26"/>
  </w:num>
  <w:num w:numId="31" w16cid:durableId="1331717433">
    <w:abstractNumId w:val="28"/>
  </w:num>
  <w:num w:numId="32" w16cid:durableId="1800956085">
    <w:abstractNumId w:val="7"/>
  </w:num>
  <w:num w:numId="33" w16cid:durableId="620385942">
    <w:abstractNumId w:val="21"/>
  </w:num>
  <w:num w:numId="34" w16cid:durableId="2029060113">
    <w:abstractNumId w:val="39"/>
  </w:num>
  <w:num w:numId="35" w16cid:durableId="834297987">
    <w:abstractNumId w:val="23"/>
  </w:num>
  <w:num w:numId="36" w16cid:durableId="767651911">
    <w:abstractNumId w:val="18"/>
  </w:num>
  <w:num w:numId="37" w16cid:durableId="108476956">
    <w:abstractNumId w:val="6"/>
  </w:num>
  <w:num w:numId="38" w16cid:durableId="102920815">
    <w:abstractNumId w:val="30"/>
  </w:num>
  <w:num w:numId="39" w16cid:durableId="1612787326">
    <w:abstractNumId w:val="27"/>
  </w:num>
  <w:num w:numId="40" w16cid:durableId="736561122">
    <w:abstractNumId w:val="24"/>
  </w:num>
  <w:num w:numId="41" w16cid:durableId="1271548842">
    <w:abstractNumId w:val="37"/>
  </w:num>
  <w:num w:numId="42" w16cid:durableId="3090999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960"/>
    <w:rsid w:val="00022EFC"/>
    <w:rsid w:val="00031D8C"/>
    <w:rsid w:val="000E3E98"/>
    <w:rsid w:val="000E40F0"/>
    <w:rsid w:val="00123B6B"/>
    <w:rsid w:val="001C7DDD"/>
    <w:rsid w:val="001F0458"/>
    <w:rsid w:val="0024055D"/>
    <w:rsid w:val="002467E3"/>
    <w:rsid w:val="00264ED5"/>
    <w:rsid w:val="00321665"/>
    <w:rsid w:val="0035391F"/>
    <w:rsid w:val="00370DCA"/>
    <w:rsid w:val="00401A33"/>
    <w:rsid w:val="00404DFF"/>
    <w:rsid w:val="00417388"/>
    <w:rsid w:val="00420F66"/>
    <w:rsid w:val="00433ECC"/>
    <w:rsid w:val="00437BE0"/>
    <w:rsid w:val="004600EC"/>
    <w:rsid w:val="004B3576"/>
    <w:rsid w:val="00515860"/>
    <w:rsid w:val="00584AC3"/>
    <w:rsid w:val="006350FF"/>
    <w:rsid w:val="006466CA"/>
    <w:rsid w:val="006A7E85"/>
    <w:rsid w:val="00736C16"/>
    <w:rsid w:val="00747FB9"/>
    <w:rsid w:val="00780BF2"/>
    <w:rsid w:val="007A41A1"/>
    <w:rsid w:val="007C7CD4"/>
    <w:rsid w:val="007E7275"/>
    <w:rsid w:val="0081599E"/>
    <w:rsid w:val="00835960"/>
    <w:rsid w:val="00853717"/>
    <w:rsid w:val="008747B0"/>
    <w:rsid w:val="008F5311"/>
    <w:rsid w:val="0090754F"/>
    <w:rsid w:val="009103BA"/>
    <w:rsid w:val="00943469"/>
    <w:rsid w:val="00963960"/>
    <w:rsid w:val="00972FA7"/>
    <w:rsid w:val="009A1D84"/>
    <w:rsid w:val="009B2CB7"/>
    <w:rsid w:val="009B5B3F"/>
    <w:rsid w:val="009C6A8F"/>
    <w:rsid w:val="00A7391B"/>
    <w:rsid w:val="00A87917"/>
    <w:rsid w:val="00AE4789"/>
    <w:rsid w:val="00AE4B9D"/>
    <w:rsid w:val="00B30FEB"/>
    <w:rsid w:val="00B7072C"/>
    <w:rsid w:val="00BB2659"/>
    <w:rsid w:val="00C42CC9"/>
    <w:rsid w:val="00C811D7"/>
    <w:rsid w:val="00CA4FBC"/>
    <w:rsid w:val="00CE5798"/>
    <w:rsid w:val="00D04AA4"/>
    <w:rsid w:val="00D7251B"/>
    <w:rsid w:val="00DA2074"/>
    <w:rsid w:val="00E009DF"/>
    <w:rsid w:val="00E34559"/>
    <w:rsid w:val="00E642DE"/>
    <w:rsid w:val="00E75C84"/>
    <w:rsid w:val="00E85AEF"/>
    <w:rsid w:val="00EC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69052D8"/>
  <w15:chartTrackingRefBased/>
  <w15:docId w15:val="{F4B0DA90-73FD-4042-A9FD-99C5A33F6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9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59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59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9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9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9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9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9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9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9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59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59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9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9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9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9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9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960"/>
    <w:rPr>
      <w:rFonts w:eastAsiaTheme="majorEastAsia" w:cstheme="majorBidi"/>
      <w:color w:val="272727" w:themeColor="text1" w:themeTint="D8"/>
    </w:rPr>
  </w:style>
  <w:style w:type="paragraph" w:styleId="Title">
    <w:name w:val="Title"/>
    <w:basedOn w:val="Normal"/>
    <w:next w:val="Normal"/>
    <w:link w:val="TitleChar"/>
    <w:uiPriority w:val="10"/>
    <w:qFormat/>
    <w:rsid w:val="008359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9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9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9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960"/>
    <w:pPr>
      <w:spacing w:before="160"/>
      <w:jc w:val="center"/>
    </w:pPr>
    <w:rPr>
      <w:i/>
      <w:iCs/>
      <w:color w:val="404040" w:themeColor="text1" w:themeTint="BF"/>
    </w:rPr>
  </w:style>
  <w:style w:type="character" w:customStyle="1" w:styleId="QuoteChar">
    <w:name w:val="Quote Char"/>
    <w:basedOn w:val="DefaultParagraphFont"/>
    <w:link w:val="Quote"/>
    <w:uiPriority w:val="29"/>
    <w:rsid w:val="00835960"/>
    <w:rPr>
      <w:i/>
      <w:iCs/>
      <w:color w:val="404040" w:themeColor="text1" w:themeTint="BF"/>
    </w:rPr>
  </w:style>
  <w:style w:type="paragraph" w:styleId="ListParagraph">
    <w:name w:val="List Paragraph"/>
    <w:basedOn w:val="Normal"/>
    <w:uiPriority w:val="34"/>
    <w:qFormat/>
    <w:rsid w:val="00835960"/>
    <w:pPr>
      <w:ind w:left="720"/>
      <w:contextualSpacing/>
    </w:pPr>
  </w:style>
  <w:style w:type="character" w:styleId="IntenseEmphasis">
    <w:name w:val="Intense Emphasis"/>
    <w:basedOn w:val="DefaultParagraphFont"/>
    <w:uiPriority w:val="21"/>
    <w:qFormat/>
    <w:rsid w:val="00835960"/>
    <w:rPr>
      <w:i/>
      <w:iCs/>
      <w:color w:val="0F4761" w:themeColor="accent1" w:themeShade="BF"/>
    </w:rPr>
  </w:style>
  <w:style w:type="paragraph" w:styleId="IntenseQuote">
    <w:name w:val="Intense Quote"/>
    <w:basedOn w:val="Normal"/>
    <w:next w:val="Normal"/>
    <w:link w:val="IntenseQuoteChar"/>
    <w:uiPriority w:val="30"/>
    <w:qFormat/>
    <w:rsid w:val="008359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960"/>
    <w:rPr>
      <w:i/>
      <w:iCs/>
      <w:color w:val="0F4761" w:themeColor="accent1" w:themeShade="BF"/>
    </w:rPr>
  </w:style>
  <w:style w:type="character" w:styleId="IntenseReference">
    <w:name w:val="Intense Reference"/>
    <w:basedOn w:val="DefaultParagraphFont"/>
    <w:uiPriority w:val="32"/>
    <w:qFormat/>
    <w:rsid w:val="00835960"/>
    <w:rPr>
      <w:b/>
      <w:bCs/>
      <w:smallCaps/>
      <w:color w:val="0F4761" w:themeColor="accent1" w:themeShade="BF"/>
      <w:spacing w:val="5"/>
    </w:rPr>
  </w:style>
  <w:style w:type="paragraph" w:styleId="Header">
    <w:name w:val="header"/>
    <w:basedOn w:val="Normal"/>
    <w:link w:val="HeaderChar"/>
    <w:uiPriority w:val="99"/>
    <w:unhideWhenUsed/>
    <w:rsid w:val="00835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960"/>
  </w:style>
  <w:style w:type="paragraph" w:styleId="Footer">
    <w:name w:val="footer"/>
    <w:basedOn w:val="Normal"/>
    <w:link w:val="FooterChar"/>
    <w:uiPriority w:val="99"/>
    <w:unhideWhenUsed/>
    <w:rsid w:val="00835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960"/>
  </w:style>
  <w:style w:type="character" w:styleId="Strong">
    <w:name w:val="Strong"/>
    <w:basedOn w:val="DefaultParagraphFont"/>
    <w:uiPriority w:val="22"/>
    <w:qFormat/>
    <w:rsid w:val="00835960"/>
    <w:rPr>
      <w:b/>
      <w:bCs/>
    </w:rPr>
  </w:style>
  <w:style w:type="paragraph" w:styleId="NormalWeb">
    <w:name w:val="Normal (Web)"/>
    <w:basedOn w:val="Normal"/>
    <w:uiPriority w:val="99"/>
    <w:unhideWhenUsed/>
    <w:rsid w:val="0083596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B30FEB"/>
    <w:rPr>
      <w:i/>
      <w:iCs/>
    </w:rPr>
  </w:style>
  <w:style w:type="character" w:styleId="Hyperlink">
    <w:name w:val="Hyperlink"/>
    <w:basedOn w:val="DefaultParagraphFont"/>
    <w:uiPriority w:val="99"/>
    <w:unhideWhenUsed/>
    <w:rsid w:val="006A7E85"/>
    <w:rPr>
      <w:color w:val="0000FF"/>
      <w:u w:val="single"/>
    </w:rPr>
  </w:style>
  <w:style w:type="character" w:styleId="FollowedHyperlink">
    <w:name w:val="FollowedHyperlink"/>
    <w:basedOn w:val="DefaultParagraphFont"/>
    <w:uiPriority w:val="99"/>
    <w:semiHidden/>
    <w:unhideWhenUsed/>
    <w:rsid w:val="009C6A8F"/>
    <w:rPr>
      <w:color w:val="96607D" w:themeColor="followedHyperlink"/>
      <w:u w:val="single"/>
    </w:rPr>
  </w:style>
  <w:style w:type="character" w:styleId="UnresolvedMention">
    <w:name w:val="Unresolved Mention"/>
    <w:basedOn w:val="DefaultParagraphFont"/>
    <w:uiPriority w:val="99"/>
    <w:semiHidden/>
    <w:unhideWhenUsed/>
    <w:rsid w:val="009C6A8F"/>
    <w:rPr>
      <w:color w:val="605E5C"/>
      <w:shd w:val="clear" w:color="auto" w:fill="E1DFDD"/>
    </w:rPr>
  </w:style>
  <w:style w:type="paragraph" w:customStyle="1" w:styleId="p1">
    <w:name w:val="p1"/>
    <w:basedOn w:val="Normal"/>
    <w:rsid w:val="00515860"/>
    <w:pPr>
      <w:spacing w:after="0" w:line="240" w:lineRule="auto"/>
    </w:pPr>
    <w:rPr>
      <w:rFonts w:ascii="Times New Roman" w:eastAsia="Times New Roman" w:hAnsi="Times New Roman" w:cs="Times New Roman"/>
      <w:color w:val="000000"/>
      <w:kern w:val="0"/>
      <w:sz w:val="18"/>
      <w:szCs w:val="18"/>
      <w14:ligatures w14:val="none"/>
    </w:rPr>
  </w:style>
  <w:style w:type="paragraph" w:customStyle="1" w:styleId="p2">
    <w:name w:val="p2"/>
    <w:basedOn w:val="Normal"/>
    <w:rsid w:val="00515860"/>
    <w:pPr>
      <w:spacing w:after="0" w:line="240" w:lineRule="auto"/>
    </w:pPr>
    <w:rPr>
      <w:rFonts w:ascii="Times New Roman" w:eastAsia="Times New Roman" w:hAnsi="Times New Roman" w:cs="Times New Roman"/>
      <w:color w:val="620F5A"/>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arxiv.org/abs/1805.06534" TargetMode="External"/><Relationship Id="rId18" Type="http://schemas.openxmlformats.org/officeDocument/2006/relationships/hyperlink" Target="https://www.bhef.com/sites/default/files/2024-BHEF-Forging%20Partnerships.pdf" TargetMode="External"/><Relationship Id="rId26" Type="http://schemas.openxmlformats.org/officeDocument/2006/relationships/hyperlink" Target="https://collegiseducation.com/wp-content/uploads/2024/01/An-Employer-Centric-Approach-to-Higher-Education-Partnerships.pdf" TargetMode="External"/><Relationship Id="rId3" Type="http://schemas.openxmlformats.org/officeDocument/2006/relationships/styles" Target="styles.xml"/><Relationship Id="rId21" Type="http://schemas.openxmlformats.org/officeDocument/2006/relationships/hyperlink" Target="https://doi.org/10.1080/08839514.2021.1922847" TargetMode="External"/><Relationship Id="rId7" Type="http://schemas.openxmlformats.org/officeDocument/2006/relationships/endnotes" Target="endnotes.xml"/><Relationship Id="rId12" Type="http://schemas.openxmlformats.org/officeDocument/2006/relationships/hyperlink" Target="https://www.tandfonline.com/doi/epdf/10.1080/08839514.2021.1922847?needAccess=true" TargetMode="External"/><Relationship Id="rId17" Type="http://schemas.openxmlformats.org/officeDocument/2006/relationships/hyperlink" Target="https://collegiseducation.com/wp-content/uploads/2024/01/An-Employer-Centric-Approach-to-Higher-Education-Partnerships.pdf" TargetMode="External"/><Relationship Id="rId25" Type="http://schemas.openxmlformats.org/officeDocument/2006/relationships/hyperlink" Target="https://www.bcg.com/publications/2022/bridging-the-talent-gap-by-partnering-with-higher-ed-institutions" TargetMode="External"/><Relationship Id="rId2" Type="http://schemas.openxmlformats.org/officeDocument/2006/relationships/numbering" Target="numbering.xml"/><Relationship Id="rId16" Type="http://schemas.openxmlformats.org/officeDocument/2006/relationships/hyperlink" Target="https://www.bcg.com/publications/2022/bridging-the-talent-gap-by-partnering-with-higher-ed-institutions" TargetMode="External"/><Relationship Id="rId20" Type="http://schemas.openxmlformats.org/officeDocument/2006/relationships/hyperlink" Target="https://doi.org/10.1109/TSMCC.2010.205353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i.org/10.1007/s10734-010-9372-0" TargetMode="External"/><Relationship Id="rId5" Type="http://schemas.openxmlformats.org/officeDocument/2006/relationships/webSettings" Target="webSettings.xml"/><Relationship Id="rId15" Type="http://schemas.openxmlformats.org/officeDocument/2006/relationships/hyperlink" Target="https://doi.org/10.1007/s10734-010-9372-0" TargetMode="External"/><Relationship Id="rId23" Type="http://schemas.openxmlformats.org/officeDocument/2006/relationships/hyperlink" Target="https://doi.org/10.3991/ijep.v13i2.34587" TargetMode="External"/><Relationship Id="rId28" Type="http://schemas.openxmlformats.org/officeDocument/2006/relationships/hyperlink" Target="https://ushe.edu/wp-content/uploads/pdf/reports/2024/2024_USHE_State_Workforce_Alignment_Study_Report.pdf?utm_source=chatgpt.com" TargetMode="External"/><Relationship Id="rId10" Type="http://schemas.openxmlformats.org/officeDocument/2006/relationships/image" Target="media/image3.png"/><Relationship Id="rId19" Type="http://schemas.openxmlformats.org/officeDocument/2006/relationships/hyperlink" Target="https://ushe.edu/wp-content/uploads/pdf/reports/2024/2024_USHE_State_Workforce_Alignment_Study_Report.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academia.edu/118703381/Employability_Prediction_of_Information_Technology_Graduates_usi" TargetMode="External"/><Relationship Id="rId22" Type="http://schemas.openxmlformats.org/officeDocument/2006/relationships/hyperlink" Target="https://arxiv.org/abs/1805.06534" TargetMode="External"/><Relationship Id="rId27" Type="http://schemas.openxmlformats.org/officeDocument/2006/relationships/hyperlink" Target="https://www.bhef.com/sites/default/files/2024-BHEF-Forging%20Partnerships.pdf?utm_source=chatgp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90ABF-86E7-A545-8464-D7E214D2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3972</Words>
  <Characters>22645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26564</CharactersWithSpaces>
  <SharedDoc>false</SharedDoc>
  <HLinks>
    <vt:vector size="150" baseType="variant">
      <vt:variant>
        <vt:i4>589852</vt:i4>
      </vt:variant>
      <vt:variant>
        <vt:i4>72</vt:i4>
      </vt:variant>
      <vt:variant>
        <vt:i4>0</vt:i4>
      </vt:variant>
      <vt:variant>
        <vt:i4>5</vt:i4>
      </vt:variant>
      <vt:variant>
        <vt:lpwstr>https://arxiv.org/abs/1811.01763</vt:lpwstr>
      </vt:variant>
      <vt:variant>
        <vt:lpwstr/>
      </vt:variant>
      <vt:variant>
        <vt:i4>4456458</vt:i4>
      </vt:variant>
      <vt:variant>
        <vt:i4>69</vt:i4>
      </vt:variant>
      <vt:variant>
        <vt:i4>0</vt:i4>
      </vt:variant>
      <vt:variant>
        <vt:i4>5</vt:i4>
      </vt:variant>
      <vt:variant>
        <vt:lpwstr>https://doi.org/10.3991/ijep.v13i2.34587</vt:lpwstr>
      </vt:variant>
      <vt:variant>
        <vt:lpwstr/>
      </vt:variant>
      <vt:variant>
        <vt:i4>524319</vt:i4>
      </vt:variant>
      <vt:variant>
        <vt:i4>66</vt:i4>
      </vt:variant>
      <vt:variant>
        <vt:i4>0</vt:i4>
      </vt:variant>
      <vt:variant>
        <vt:i4>5</vt:i4>
      </vt:variant>
      <vt:variant>
        <vt:lpwstr>https://arxiv.org/abs/1805.06534</vt:lpwstr>
      </vt:variant>
      <vt:variant>
        <vt:lpwstr/>
      </vt:variant>
      <vt:variant>
        <vt:i4>78</vt:i4>
      </vt:variant>
      <vt:variant>
        <vt:i4>63</vt:i4>
      </vt:variant>
      <vt:variant>
        <vt:i4>0</vt:i4>
      </vt:variant>
      <vt:variant>
        <vt:i4>5</vt:i4>
      </vt:variant>
      <vt:variant>
        <vt:lpwstr>https://doi.org/10.1080/08839514.2021.1922847</vt:lpwstr>
      </vt:variant>
      <vt:variant>
        <vt:lpwstr/>
      </vt:variant>
      <vt:variant>
        <vt:i4>851995</vt:i4>
      </vt:variant>
      <vt:variant>
        <vt:i4>60</vt:i4>
      </vt:variant>
      <vt:variant>
        <vt:i4>0</vt:i4>
      </vt:variant>
      <vt:variant>
        <vt:i4>5</vt:i4>
      </vt:variant>
      <vt:variant>
        <vt:lpwstr>https://arxiv.org/abs/2402.07956</vt:lpwstr>
      </vt:variant>
      <vt:variant>
        <vt:lpwstr/>
      </vt:variant>
      <vt:variant>
        <vt:i4>2949173</vt:i4>
      </vt:variant>
      <vt:variant>
        <vt:i4>57</vt:i4>
      </vt:variant>
      <vt:variant>
        <vt:i4>0</vt:i4>
      </vt:variant>
      <vt:variant>
        <vt:i4>5</vt:i4>
      </vt:variant>
      <vt:variant>
        <vt:lpwstr>https://doi.org/10.1109/TSMCC.2010.2053532</vt:lpwstr>
      </vt:variant>
      <vt:variant>
        <vt:lpwstr/>
      </vt:variant>
      <vt:variant>
        <vt:i4>2424893</vt:i4>
      </vt:variant>
      <vt:variant>
        <vt:i4>54</vt:i4>
      </vt:variant>
      <vt:variant>
        <vt:i4>0</vt:i4>
      </vt:variant>
      <vt:variant>
        <vt:i4>5</vt:i4>
      </vt:variant>
      <vt:variant>
        <vt:lpwstr>https://ushe.edu/wp-content/uploads/pdf/reports/2024/2024_USHE_State_Workforce_Alignment_Study_Report.pdf</vt:lpwstr>
      </vt:variant>
      <vt:variant>
        <vt:lpwstr/>
      </vt:variant>
      <vt:variant>
        <vt:i4>1376261</vt:i4>
      </vt:variant>
      <vt:variant>
        <vt:i4>51</vt:i4>
      </vt:variant>
      <vt:variant>
        <vt:i4>0</vt:i4>
      </vt:variant>
      <vt:variant>
        <vt:i4>5</vt:i4>
      </vt:variant>
      <vt:variant>
        <vt:lpwstr>https://www.timeshighereducation.com/campus/partnerships-make-higher-education-work-workforce</vt:lpwstr>
      </vt:variant>
      <vt:variant>
        <vt:lpwstr/>
      </vt:variant>
      <vt:variant>
        <vt:i4>3342447</vt:i4>
      </vt:variant>
      <vt:variant>
        <vt:i4>48</vt:i4>
      </vt:variant>
      <vt:variant>
        <vt:i4>0</vt:i4>
      </vt:variant>
      <vt:variant>
        <vt:i4>5</vt:i4>
      </vt:variant>
      <vt:variant>
        <vt:lpwstr>https://www.bhef.com/sites/default/files/2024-BHEF-Forging Partnerships.pdf</vt:lpwstr>
      </vt:variant>
      <vt:variant>
        <vt:lpwstr/>
      </vt:variant>
      <vt:variant>
        <vt:i4>7405670</vt:i4>
      </vt:variant>
      <vt:variant>
        <vt:i4>45</vt:i4>
      </vt:variant>
      <vt:variant>
        <vt:i4>0</vt:i4>
      </vt:variant>
      <vt:variant>
        <vt:i4>5</vt:i4>
      </vt:variant>
      <vt:variant>
        <vt:lpwstr>https://collegiseducation.com/wp-content/uploads/2024/01/An-Employer-Centric-Approach-to-Higher-Education-Partnerships.pdf</vt:lpwstr>
      </vt:variant>
      <vt:variant>
        <vt:lpwstr/>
      </vt:variant>
      <vt:variant>
        <vt:i4>6357031</vt:i4>
      </vt:variant>
      <vt:variant>
        <vt:i4>42</vt:i4>
      </vt:variant>
      <vt:variant>
        <vt:i4>0</vt:i4>
      </vt:variant>
      <vt:variant>
        <vt:i4>5</vt:i4>
      </vt:variant>
      <vt:variant>
        <vt:lpwstr>https://www.bcg.com/publications/2022/bridging-the-talent-gap-by-partnering-with-higher-ed-institutions</vt:lpwstr>
      </vt:variant>
      <vt:variant>
        <vt:lpwstr/>
      </vt:variant>
      <vt:variant>
        <vt:i4>5636150</vt:i4>
      </vt:variant>
      <vt:variant>
        <vt:i4>39</vt:i4>
      </vt:variant>
      <vt:variant>
        <vt:i4>0</vt:i4>
      </vt:variant>
      <vt:variant>
        <vt:i4>5</vt:i4>
      </vt:variant>
      <vt:variant>
        <vt:lpwstr>https://ushe.edu/wp-content/uploads/pdf/reports/2024/2024_USHE_State_Workforce_Alignment_Study_Report.pdf?utm_source=chatgpt.com</vt:lpwstr>
      </vt:variant>
      <vt:variant>
        <vt:lpwstr/>
      </vt:variant>
      <vt:variant>
        <vt:i4>4194404</vt:i4>
      </vt:variant>
      <vt:variant>
        <vt:i4>36</vt:i4>
      </vt:variant>
      <vt:variant>
        <vt:i4>0</vt:i4>
      </vt:variant>
      <vt:variant>
        <vt:i4>5</vt:i4>
      </vt:variant>
      <vt:variant>
        <vt:lpwstr>https://www.bhef.com/sites/default/files/2024-BHEF-Forging Partnerships.pdf?utm_source=chatgpt.com</vt:lpwstr>
      </vt:variant>
      <vt:variant>
        <vt:lpwstr/>
      </vt:variant>
      <vt:variant>
        <vt:i4>1835128</vt:i4>
      </vt:variant>
      <vt:variant>
        <vt:i4>33</vt:i4>
      </vt:variant>
      <vt:variant>
        <vt:i4>0</vt:i4>
      </vt:variant>
      <vt:variant>
        <vt:i4>5</vt:i4>
      </vt:variant>
      <vt:variant>
        <vt:lpwstr>https://collegiseducation.com/wp-content/uploads/2024/01/An-Employer-Centric-Approach-to-Higher-Education-Partnerships.pdf?utm_source=chatgpt.com</vt:lpwstr>
      </vt:variant>
      <vt:variant>
        <vt:lpwstr/>
      </vt:variant>
      <vt:variant>
        <vt:i4>1179705</vt:i4>
      </vt:variant>
      <vt:variant>
        <vt:i4>30</vt:i4>
      </vt:variant>
      <vt:variant>
        <vt:i4>0</vt:i4>
      </vt:variant>
      <vt:variant>
        <vt:i4>5</vt:i4>
      </vt:variant>
      <vt:variant>
        <vt:lpwstr>https://www.bcg.com/publications/2022/bridging-the-talent-gap-by-partnering-with-higher-ed-institutions?utm_source=chatgpt.com</vt:lpwstr>
      </vt:variant>
      <vt:variant>
        <vt:lpwstr/>
      </vt:variant>
      <vt:variant>
        <vt:i4>6553602</vt:i4>
      </vt:variant>
      <vt:variant>
        <vt:i4>27</vt:i4>
      </vt:variant>
      <vt:variant>
        <vt:i4>0</vt:i4>
      </vt:variant>
      <vt:variant>
        <vt:i4>5</vt:i4>
      </vt:variant>
      <vt:variant>
        <vt:lpwstr>https://arxiv.org/abs/1811.01763?utm_source=chatgpt.com</vt:lpwstr>
      </vt:variant>
      <vt:variant>
        <vt:lpwstr/>
      </vt:variant>
      <vt:variant>
        <vt:i4>6619137</vt:i4>
      </vt:variant>
      <vt:variant>
        <vt:i4>24</vt:i4>
      </vt:variant>
      <vt:variant>
        <vt:i4>0</vt:i4>
      </vt:variant>
      <vt:variant>
        <vt:i4>5</vt:i4>
      </vt:variant>
      <vt:variant>
        <vt:lpwstr>https://arxiv.org/abs/1805.06534?utm_source=chatgpt.com</vt:lpwstr>
      </vt:variant>
      <vt:variant>
        <vt:lpwstr/>
      </vt:variant>
      <vt:variant>
        <vt:i4>6291461</vt:i4>
      </vt:variant>
      <vt:variant>
        <vt:i4>21</vt:i4>
      </vt:variant>
      <vt:variant>
        <vt:i4>0</vt:i4>
      </vt:variant>
      <vt:variant>
        <vt:i4>5</vt:i4>
      </vt:variant>
      <vt:variant>
        <vt:lpwstr>https://arxiv.org/abs/2402.07956?utm_source=chatgpt.com</vt:lpwstr>
      </vt:variant>
      <vt:variant>
        <vt:lpwstr/>
      </vt:variant>
      <vt:variant>
        <vt:i4>5636150</vt:i4>
      </vt:variant>
      <vt:variant>
        <vt:i4>18</vt:i4>
      </vt:variant>
      <vt:variant>
        <vt:i4>0</vt:i4>
      </vt:variant>
      <vt:variant>
        <vt:i4>5</vt:i4>
      </vt:variant>
      <vt:variant>
        <vt:lpwstr>https://ushe.edu/wp-content/uploads/pdf/reports/2024/2024_USHE_State_Workforce_Alignment_Study_Report.pdf?utm_source=chatgpt.com</vt:lpwstr>
      </vt:variant>
      <vt:variant>
        <vt:lpwstr/>
      </vt:variant>
      <vt:variant>
        <vt:i4>4194404</vt:i4>
      </vt:variant>
      <vt:variant>
        <vt:i4>15</vt:i4>
      </vt:variant>
      <vt:variant>
        <vt:i4>0</vt:i4>
      </vt:variant>
      <vt:variant>
        <vt:i4>5</vt:i4>
      </vt:variant>
      <vt:variant>
        <vt:lpwstr>https://www.bhef.com/sites/default/files/2024-BHEF-Forging Partnerships.pdf?utm_source=chatgpt.com</vt:lpwstr>
      </vt:variant>
      <vt:variant>
        <vt:lpwstr/>
      </vt:variant>
      <vt:variant>
        <vt:i4>1835128</vt:i4>
      </vt:variant>
      <vt:variant>
        <vt:i4>12</vt:i4>
      </vt:variant>
      <vt:variant>
        <vt:i4>0</vt:i4>
      </vt:variant>
      <vt:variant>
        <vt:i4>5</vt:i4>
      </vt:variant>
      <vt:variant>
        <vt:lpwstr>https://collegiseducation.com/wp-content/uploads/2024/01/An-Employer-Centric-Approach-to-Higher-Education-Partnerships.pdf?utm_source=chatgpt.com</vt:lpwstr>
      </vt:variant>
      <vt:variant>
        <vt:lpwstr/>
      </vt:variant>
      <vt:variant>
        <vt:i4>1179705</vt:i4>
      </vt:variant>
      <vt:variant>
        <vt:i4>9</vt:i4>
      </vt:variant>
      <vt:variant>
        <vt:i4>0</vt:i4>
      </vt:variant>
      <vt:variant>
        <vt:i4>5</vt:i4>
      </vt:variant>
      <vt:variant>
        <vt:lpwstr>https://www.bcg.com/publications/2022/bridging-the-talent-gap-by-partnering-with-higher-ed-institutions?utm_source=chatgpt.com</vt:lpwstr>
      </vt:variant>
      <vt:variant>
        <vt:lpwstr/>
      </vt:variant>
      <vt:variant>
        <vt:i4>6553602</vt:i4>
      </vt:variant>
      <vt:variant>
        <vt:i4>6</vt:i4>
      </vt:variant>
      <vt:variant>
        <vt:i4>0</vt:i4>
      </vt:variant>
      <vt:variant>
        <vt:i4>5</vt:i4>
      </vt:variant>
      <vt:variant>
        <vt:lpwstr>https://arxiv.org/abs/1811.01763?utm_source=chatgpt.com</vt:lpwstr>
      </vt:variant>
      <vt:variant>
        <vt:lpwstr/>
      </vt:variant>
      <vt:variant>
        <vt:i4>6619137</vt:i4>
      </vt:variant>
      <vt:variant>
        <vt:i4>3</vt:i4>
      </vt:variant>
      <vt:variant>
        <vt:i4>0</vt:i4>
      </vt:variant>
      <vt:variant>
        <vt:i4>5</vt:i4>
      </vt:variant>
      <vt:variant>
        <vt:lpwstr>https://arxiv.org/abs/1805.06534?utm_source=chatgpt.com</vt:lpwstr>
      </vt:variant>
      <vt:variant>
        <vt:lpwstr/>
      </vt:variant>
      <vt:variant>
        <vt:i4>6291461</vt:i4>
      </vt:variant>
      <vt:variant>
        <vt:i4>0</vt:i4>
      </vt:variant>
      <vt:variant>
        <vt:i4>0</vt:i4>
      </vt:variant>
      <vt:variant>
        <vt:i4>5</vt:i4>
      </vt:variant>
      <vt:variant>
        <vt:lpwstr>https://arxiv.org/abs/2402.07956?utm_source=chatgpt.com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devaki b</dc:creator>
  <cp:keywords/>
  <dc:description/>
  <cp:lastModifiedBy>devaki b</cp:lastModifiedBy>
  <cp:revision>2</cp:revision>
  <cp:lastPrinted>2025-09-07T07:39:00Z</cp:lastPrinted>
  <dcterms:created xsi:type="dcterms:W3CDTF">2025-09-07T08:00:00Z</dcterms:created>
  <dcterms:modified xsi:type="dcterms:W3CDTF">2025-09-07T08:00:00Z</dcterms:modified>
</cp:coreProperties>
</file>