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Grid"/>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
              <w:t>Project Name</w:t>
            </w:r>
          </w:p>
        </w:tc>
        <w:tc>
          <w:tcPr/>
          <w:p>
            <w:r>
              <w:t>importing and securing data in Service Now</w:t>
            </w:r>
          </w:p>
        </w:tc>
      </w:tr>
      <w:tr>
        <w:trPr>
          <w:cantSplit w:val="0"/>
          <w:tblHeader w:val="0"/>
        </w:trPr>
        <w:tc>
          <w:tcPr/>
          <w:p>
            <w:r>
              <w:t>Team Members</w:t>
            </w:r>
          </w:p>
        </w:tc>
        <w:tc>
          <w:tcPr/>
          <w:p>
            <w:r>
              <w:t>Sarat Chandra Cheekatla, Devaki V, Vallu Mahendra</w:t>
            </w:r>
          </w:p>
        </w:tc>
      </w:tr>
      <w:tr>
        <w:trPr>
          <w:cantSplit w:val="0"/>
          <w:tblHeader w:val="0"/>
        </w:trPr>
        <w:tc>
          <w:tcPr/>
          <w:p>
            <w:r>
              <w:t>Team ID</w:t>
            </w:r>
          </w:p>
        </w:tc>
        <w:tc>
          <w:tcPr/>
          <w:p>
            <w:r>
              <w:t>LTVIP2025TMID28567</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t>Empathy Map Canvas:</w:t>
        <w:br/>
        <w:br/>
        <w:t>This canvas is tailored to understand ServiceNow users' pain points when dealing with data imports and ensuring its security and compliance.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t>Example: Importing and Securing Data in ServiceNow</w:t>
        <w:br/>
        <w:br/>
        <w:t>User: ServiceNow Administrator</w:t>
        <w:br/>
        <w:t>Thinks: 'Will this import process compromise data security or break compliance?'</w:t>
        <w:br/>
        <w:t>Feels: Worried about data leaks or audit failures</w:t>
        <w:br/>
        <w:t>Says: 'We need better automation and encryption during imports'</w:t>
        <w:br/>
        <w:t>Does: Uses transform maps, configures ACLs, monitors logs</w:t>
        <w:br/>
        <w:t>Sees: System dashboards, data load errors, access logs</w:t>
        <w:br/>
        <w:t>Hears: Feedback from compliance teams and end users</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6"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