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Architecture &amp; Implementation Design</w:t>
      </w:r>
    </w:p>
    <w:p>
      <w:pPr>
        <w:jc w:val="center"/>
      </w:pPr>
      <w:r>
        <w:rPr>
          <w:i/>
          <w:color w:val="667085"/>
          <w:sz w:val="24"/>
        </w:rPr>
        <w:t>eRTMAC-NWIS</w:t>
      </w:r>
    </w:p>
    <w:p>
      <w:pPr>
        <w:jc w:val="center"/>
      </w:pPr>
      <w:r>
        <w:rPr>
          <w:color w:val="667085"/>
          <w:sz w:val="18"/>
        </w:rPr>
        <w:t>Hackathon Planning Pack | 06 September 2026</w:t>
      </w:r>
    </w:p>
    <w:p>
      <w:pPr>
        <w:pStyle w:val="SmallNote"/>
      </w:pPr>
      <w:r>
        <w:t>Source basis: Oil India Limited Problem Statement 26121, “eRTMAC-NWIS (Nearby Wells Intelligence System): An AI-Powered Offset Well Knowledge and Decision Support Platform for Drilling Operations”. The source states the desired capabilities and potential internal data sources; it does not provide a dataset link.</w:t>
      </w:r>
    </w:p>
    <w:p>
      <w:pPr>
        <w:pStyle w:val="Heading1"/>
      </w:pPr>
      <w:r>
        <w:t>1. Architecture Principles</w:t>
      </w:r>
    </w:p>
    <w:p>
      <w:pPr>
        <w:pStyle w:val="ListBullet"/>
      </w:pPr>
      <w:r>
        <w:t>Evidence-first AI: historical claims come from retrieved records, not model memory.</w:t>
      </w:r>
    </w:p>
    <w:p>
      <w:pPr>
        <w:pStyle w:val="ListBullet"/>
      </w:pPr>
      <w:r>
        <w:t>Modular adapters: real eRTMAC integration can replace the demo stream without redesigning the domain layer.</w:t>
      </w:r>
    </w:p>
    <w:p>
      <w:pPr>
        <w:pStyle w:val="ListBullet"/>
      </w:pPr>
      <w:r>
        <w:t>Human-in-the-loop: extracted knowledge is reviewable and auditable.</w:t>
      </w:r>
    </w:p>
    <w:p>
      <w:pPr>
        <w:pStyle w:val="ListBullet"/>
      </w:pPr>
      <w:r>
        <w:t>Fail-safe UX: structured data remains available when AI services fail.</w:t>
      </w:r>
    </w:p>
    <w:p>
      <w:pPr>
        <w:pStyle w:val="ListBullet"/>
      </w:pPr>
      <w:r>
        <w:t>Explainability over black-box prediction for hackathon MVP.</w:t>
      </w:r>
    </w:p>
    <w:p>
      <w:pPr>
        <w:pStyle w:val="Heading1"/>
      </w:pPr>
      <w:r>
        <w:t>2. Logical Architecture</w:t>
      </w:r>
    </w:p>
    <w:p>
      <w:r>
        <w:t>Browser UI -&gt; API Gateway/Application Service -&gt; (PostgreSQL/PostGIS, Object Storage, Vector Index) and -&gt; AI Orchestrator -&gt; (Embedding Model, LLM, Extraction/OCR Services). A streaming adapter sends current well depth/parameters to the application service; the hackathon version uses a simulator.</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Pr>
          <w:p>
            <w:r>
              <w:rPr>
                <w:b/>
                <w:color w:val="FFFFFF"/>
              </w:rPr>
              <w:t>Layer</w:t>
            </w:r>
          </w:p>
        </w:tc>
        <w:tc>
          <w:tcPr>
            <w:tcW w:type="dxa" w:w="3360"/>
            <w:shd w:fill="17324D"/>
          </w:tcPr>
          <w:p>
            <w:r>
              <w:rPr>
                <w:b/>
                <w:color w:val="FFFFFF"/>
              </w:rPr>
              <w:t>Recommended technology</w:t>
            </w:r>
          </w:p>
        </w:tc>
        <w:tc>
          <w:tcPr>
            <w:tcW w:type="dxa" w:w="3360"/>
            <w:shd w:fill="17324D"/>
          </w:tcPr>
          <w:p>
            <w:r>
              <w:rPr>
                <w:b/>
                <w:color w:val="FFFFFF"/>
              </w:rPr>
              <w:t>Responsibility</w:t>
            </w:r>
          </w:p>
        </w:tc>
      </w:tr>
      <w:tr>
        <w:tc>
          <w:tcPr>
            <w:tcW w:type="dxa" w:w="3360"/>
            <w:vAlign w:val="top"/>
          </w:tcPr>
          <w:p>
            <w:r>
              <w:t>Frontend</w:t>
            </w:r>
          </w:p>
        </w:tc>
        <w:tc>
          <w:tcPr>
            <w:tcW w:type="dxa" w:w="3360"/>
            <w:vAlign w:val="top"/>
          </w:tcPr>
          <w:p>
            <w:r>
              <w:t>Next.js/React + Tailwind</w:t>
            </w:r>
          </w:p>
        </w:tc>
        <w:tc>
          <w:tcPr>
            <w:tcW w:type="dxa" w:w="3360"/>
            <w:vAlign w:val="top"/>
          </w:tcPr>
          <w:p>
            <w:r>
              <w:t>Dashboard, map, charts, alert panel, AI assistant, document review.</w:t>
            </w:r>
          </w:p>
        </w:tc>
      </w:tr>
      <w:tr>
        <w:tc>
          <w:tcPr>
            <w:tcW w:type="dxa" w:w="3360"/>
            <w:vAlign w:val="top"/>
          </w:tcPr>
          <w:p>
            <w:r>
              <w:t>Map</w:t>
            </w:r>
          </w:p>
        </w:tc>
        <w:tc>
          <w:tcPr>
            <w:tcW w:type="dxa" w:w="3360"/>
            <w:vAlign w:val="top"/>
          </w:tcPr>
          <w:p>
            <w:r>
              <w:t>Mapbox GL JS or Leaflet</w:t>
            </w:r>
          </w:p>
        </w:tc>
        <w:tc>
          <w:tcPr>
            <w:tcW w:type="dxa" w:w="3360"/>
            <w:vAlign w:val="top"/>
          </w:tcPr>
          <w:p>
            <w:r>
              <w:t>Well markers, radius, event overlays, depth/formation filters.</w:t>
            </w:r>
          </w:p>
        </w:tc>
      </w:tr>
      <w:tr>
        <w:tc>
          <w:tcPr>
            <w:tcW w:type="dxa" w:w="3360"/>
            <w:vAlign w:val="top"/>
          </w:tcPr>
          <w:p>
            <w:r>
              <w:t>Backend</w:t>
            </w:r>
          </w:p>
        </w:tc>
        <w:tc>
          <w:tcPr>
            <w:tcW w:type="dxa" w:w="3360"/>
            <w:vAlign w:val="top"/>
          </w:tcPr>
          <w:p>
            <w:r>
              <w:t>Python FastAPI</w:t>
            </w:r>
          </w:p>
        </w:tc>
        <w:tc>
          <w:tcPr>
            <w:tcW w:type="dxa" w:w="3360"/>
            <w:vAlign w:val="top"/>
          </w:tcPr>
          <w:p>
            <w:r>
              <w:t>REST APIs, orchestration, authentication hooks, risk engine.</w:t>
            </w:r>
          </w:p>
        </w:tc>
      </w:tr>
      <w:tr>
        <w:tc>
          <w:tcPr>
            <w:tcW w:type="dxa" w:w="3360"/>
            <w:vAlign w:val="top"/>
          </w:tcPr>
          <w:p>
            <w:r>
              <w:t>Relational DB</w:t>
            </w:r>
          </w:p>
        </w:tc>
        <w:tc>
          <w:tcPr>
            <w:tcW w:type="dxa" w:w="3360"/>
            <w:vAlign w:val="top"/>
          </w:tcPr>
          <w:p>
            <w:r>
              <w:t>PostgreSQL + PostGIS</w:t>
            </w:r>
          </w:p>
        </w:tc>
        <w:tc>
          <w:tcPr>
            <w:tcW w:type="dxa" w:w="3360"/>
            <w:vAlign w:val="top"/>
          </w:tcPr>
          <w:p>
            <w:r>
              <w:t>Wells, trajectories, events, formations, alerts, users, audit.</w:t>
            </w:r>
          </w:p>
        </w:tc>
      </w:tr>
      <w:tr>
        <w:tc>
          <w:tcPr>
            <w:tcW w:type="dxa" w:w="3360"/>
            <w:vAlign w:val="top"/>
          </w:tcPr>
          <w:p>
            <w:r>
              <w:t>Vector retrieval</w:t>
            </w:r>
          </w:p>
        </w:tc>
        <w:tc>
          <w:tcPr>
            <w:tcW w:type="dxa" w:w="3360"/>
            <w:vAlign w:val="top"/>
          </w:tcPr>
          <w:p>
            <w:r>
              <w:t>pgvector or managed equivalent</w:t>
            </w:r>
          </w:p>
        </w:tc>
        <w:tc>
          <w:tcPr>
            <w:tcW w:type="dxa" w:w="3360"/>
            <w:vAlign w:val="top"/>
          </w:tcPr>
          <w:p>
            <w:r>
              <w:t>Document chunk embeddings and semantic retrieval.</w:t>
            </w:r>
          </w:p>
        </w:tc>
      </w:tr>
      <w:tr>
        <w:tc>
          <w:tcPr>
            <w:tcW w:type="dxa" w:w="3360"/>
            <w:vAlign w:val="top"/>
          </w:tcPr>
          <w:p>
            <w:r>
              <w:t>Document processing</w:t>
            </w:r>
          </w:p>
        </w:tc>
        <w:tc>
          <w:tcPr>
            <w:tcW w:type="dxa" w:w="3360"/>
            <w:vAlign w:val="top"/>
          </w:tcPr>
          <w:p>
            <w:r>
              <w:t>PyMuPDF + OCR fallback</w:t>
            </w:r>
          </w:p>
        </w:tc>
        <w:tc>
          <w:tcPr>
            <w:tcW w:type="dxa" w:w="3360"/>
            <w:vAlign w:val="top"/>
          </w:tcPr>
          <w:p>
            <w:r>
              <w:t>PDF text extraction and scanned-document handling.</w:t>
            </w:r>
          </w:p>
        </w:tc>
      </w:tr>
      <w:tr>
        <w:tc>
          <w:tcPr>
            <w:tcW w:type="dxa" w:w="3360"/>
            <w:vAlign w:val="top"/>
          </w:tcPr>
          <w:p>
            <w:r>
              <w:t>AI orchestration</w:t>
            </w:r>
          </w:p>
        </w:tc>
        <w:tc>
          <w:tcPr>
            <w:tcW w:type="dxa" w:w="3360"/>
            <w:vAlign w:val="top"/>
          </w:tcPr>
          <w:p>
            <w:r>
              <w:t>Python service</w:t>
            </w:r>
          </w:p>
        </w:tc>
        <w:tc>
          <w:tcPr>
            <w:tcW w:type="dxa" w:w="3360"/>
            <w:vAlign w:val="top"/>
          </w:tcPr>
          <w:p>
            <w:r>
              <w:t>Structured extraction, RAG prompt assembly, response validation.</w:t>
            </w:r>
          </w:p>
        </w:tc>
      </w:tr>
      <w:tr>
        <w:tc>
          <w:tcPr>
            <w:tcW w:type="dxa" w:w="3360"/>
            <w:vAlign w:val="top"/>
          </w:tcPr>
          <w:p>
            <w:r>
              <w:t>Real-time</w:t>
            </w:r>
          </w:p>
        </w:tc>
        <w:tc>
          <w:tcPr>
            <w:tcW w:type="dxa" w:w="3360"/>
            <w:vAlign w:val="top"/>
          </w:tcPr>
          <w:p>
            <w:r>
              <w:t>WebSocket/SSE</w:t>
            </w:r>
          </w:p>
        </w:tc>
        <w:tc>
          <w:tcPr>
            <w:tcW w:type="dxa" w:w="3360"/>
            <w:vAlign w:val="top"/>
          </w:tcPr>
          <w:p>
            <w:r>
              <w:t>Current-depth updates; simulator in MVP.</w:t>
            </w:r>
          </w:p>
        </w:tc>
      </w:tr>
      <w:tr>
        <w:tc>
          <w:tcPr>
            <w:tcW w:type="dxa" w:w="3360"/>
            <w:vAlign w:val="top"/>
          </w:tcPr>
          <w:p>
            <w:r>
              <w:t>Deployment</w:t>
            </w:r>
          </w:p>
        </w:tc>
        <w:tc>
          <w:tcPr>
            <w:tcW w:type="dxa" w:w="3360"/>
            <w:vAlign w:val="top"/>
          </w:tcPr>
          <w:p>
            <w:r>
              <w:t>Docker + cloud VM/container or approved environment</w:t>
            </w:r>
          </w:p>
        </w:tc>
        <w:tc>
          <w:tcPr>
            <w:tcW w:type="dxa" w:w="3360"/>
            <w:vAlign w:val="top"/>
          </w:tcPr>
          <w:p>
            <w:r>
              <w:t>Repeatable deployment and service isolation.</w:t>
            </w:r>
          </w:p>
        </w:tc>
      </w:tr>
    </w:tbl>
    <w:p/>
    <w:p>
      <w:pPr>
        <w:pStyle w:val="Heading1"/>
      </w:pPr>
      <w:r>
        <w:t>3. Data Flow</w:t>
      </w:r>
    </w:p>
    <w:p>
      <w:pPr>
        <w:pStyle w:val="ListNumber"/>
      </w:pPr>
      <w:r>
        <w:t>Upload document.</w:t>
      </w:r>
    </w:p>
    <w:p>
      <w:pPr>
        <w:pStyle w:val="ListNumber"/>
      </w:pPr>
      <w:r>
        <w:t>Extract text; OCR if needed.</w:t>
      </w:r>
    </w:p>
    <w:p>
      <w:pPr>
        <w:pStyle w:val="ListNumber"/>
      </w:pPr>
      <w:r>
        <w:t>Chunk text and attach document metadata.</w:t>
      </w:r>
    </w:p>
    <w:p>
      <w:pPr>
        <w:pStyle w:val="ListNumber"/>
      </w:pPr>
      <w:r>
        <w:t>Extract structured events and store them with source links.</w:t>
      </w:r>
    </w:p>
    <w:p>
      <w:pPr>
        <w:pStyle w:val="ListNumber"/>
      </w:pPr>
      <w:r>
        <w:t>Embed chunks and store vectors.</w:t>
      </w:r>
    </w:p>
    <w:p>
      <w:pPr>
        <w:pStyle w:val="ListNumber"/>
      </w:pPr>
      <w:r>
        <w:t>Engineer asks question or system evaluates current depth.</w:t>
      </w:r>
    </w:p>
    <w:p>
      <w:pPr>
        <w:pStyle w:val="ListNumber"/>
      </w:pPr>
      <w:r>
        <w:t>Retrieve relevant records/chunks using structured filters + semantic similarity.</w:t>
      </w:r>
    </w:p>
    <w:p>
      <w:pPr>
        <w:pStyle w:val="ListNumber"/>
      </w:pPr>
      <w:r>
        <w:t>Generate answer/risk explanation using retrieved evidence.</w:t>
      </w:r>
    </w:p>
    <w:p>
      <w:pPr>
        <w:pStyle w:val="ListNumber"/>
      </w:pPr>
      <w:r>
        <w:t>Render evidence, risk factors and source references in UI.</w:t>
      </w:r>
    </w:p>
    <w:p>
      <w:pPr>
        <w:pStyle w:val="Heading1"/>
      </w:pPr>
      <w:r>
        <w:t>4. Risk Engine Design</w:t>
      </w:r>
    </w:p>
    <w:p>
      <w:r>
        <w:t>For the hackathon, use a transparent weighted score rather than claiming a production-grade predictive model. Example factors: depth proximity, formation match, event frequency, similarity of historical operating context, and recency/data quality. The weights should be configurable and shown to reviewers.</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7324D"/>
          </w:tcPr>
          <w:p>
            <w:r>
              <w:rPr>
                <w:b/>
                <w:color w:val="FFFFFF"/>
              </w:rPr>
              <w:t>Factor</w:t>
            </w:r>
          </w:p>
        </w:tc>
        <w:tc>
          <w:tcPr>
            <w:tcW w:type="dxa" w:w="3360"/>
            <w:shd w:fill="17324D"/>
          </w:tcPr>
          <w:p>
            <w:r>
              <w:rPr>
                <w:b/>
                <w:color w:val="FFFFFF"/>
              </w:rPr>
              <w:t>Example contribution</w:t>
            </w:r>
          </w:p>
        </w:tc>
        <w:tc>
          <w:tcPr>
            <w:tcW w:type="dxa" w:w="3360"/>
            <w:shd w:fill="17324D"/>
          </w:tcPr>
          <w:p>
            <w:r>
              <w:rPr>
                <w:b/>
                <w:color w:val="FFFFFF"/>
              </w:rPr>
              <w:t>Why</w:t>
            </w:r>
          </w:p>
        </w:tc>
      </w:tr>
      <w:tr>
        <w:tc>
          <w:tcPr>
            <w:tcW w:type="dxa" w:w="3360"/>
            <w:vAlign w:val="top"/>
          </w:tcPr>
          <w:p>
            <w:r>
              <w:t>Depth proximity</w:t>
            </w:r>
          </w:p>
        </w:tc>
        <w:tc>
          <w:tcPr>
            <w:tcW w:type="dxa" w:w="3360"/>
            <w:vAlign w:val="top"/>
          </w:tcPr>
          <w:p>
            <w:r>
              <w:t>0-35</w:t>
            </w:r>
          </w:p>
        </w:tc>
        <w:tc>
          <w:tcPr>
            <w:tcW w:type="dxa" w:w="3360"/>
            <w:vAlign w:val="top"/>
          </w:tcPr>
          <w:p>
            <w:r>
              <w:t>Historical events closer to the current depth are more relevant.</w:t>
            </w:r>
          </w:p>
        </w:tc>
      </w:tr>
      <w:tr>
        <w:tc>
          <w:tcPr>
            <w:tcW w:type="dxa" w:w="3360"/>
            <w:vAlign w:val="top"/>
          </w:tcPr>
          <w:p>
            <w:r>
              <w:t>Formation match</w:t>
            </w:r>
          </w:p>
        </w:tc>
        <w:tc>
          <w:tcPr>
            <w:tcW w:type="dxa" w:w="3360"/>
            <w:vAlign w:val="top"/>
          </w:tcPr>
          <w:p>
            <w:r>
              <w:t>0-25</w:t>
            </w:r>
          </w:p>
        </w:tc>
        <w:tc>
          <w:tcPr>
            <w:tcW w:type="dxa" w:w="3360"/>
            <w:vAlign w:val="top"/>
          </w:tcPr>
          <w:p>
            <w:r>
              <w:t>Events from the same/compatible formation are more relevant.</w:t>
            </w:r>
          </w:p>
        </w:tc>
      </w:tr>
      <w:tr>
        <w:tc>
          <w:tcPr>
            <w:tcW w:type="dxa" w:w="3360"/>
            <w:vAlign w:val="top"/>
          </w:tcPr>
          <w:p>
            <w:r>
              <w:t>Event recurrence</w:t>
            </w:r>
          </w:p>
        </w:tc>
        <w:tc>
          <w:tcPr>
            <w:tcW w:type="dxa" w:w="3360"/>
            <w:vAlign w:val="top"/>
          </w:tcPr>
          <w:p>
            <w:r>
              <w:t>0-20</w:t>
            </w:r>
          </w:p>
        </w:tc>
        <w:tc>
          <w:tcPr>
            <w:tcW w:type="dxa" w:w="3360"/>
            <w:vAlign w:val="top"/>
          </w:tcPr>
          <w:p>
            <w:r>
              <w:t>Repeated events across nearby wells increase concern.</w:t>
            </w:r>
          </w:p>
        </w:tc>
      </w:tr>
      <w:tr>
        <w:tc>
          <w:tcPr>
            <w:tcW w:type="dxa" w:w="3360"/>
            <w:vAlign w:val="top"/>
          </w:tcPr>
          <w:p>
            <w:r>
              <w:t>Context similarity</w:t>
            </w:r>
          </w:p>
        </w:tc>
        <w:tc>
          <w:tcPr>
            <w:tcW w:type="dxa" w:w="3360"/>
            <w:vAlign w:val="top"/>
          </w:tcPr>
          <w:p>
            <w:r>
              <w:t>0-20</w:t>
            </w:r>
          </w:p>
        </w:tc>
        <w:tc>
          <w:tcPr>
            <w:tcW w:type="dxa" w:w="3360"/>
            <w:vAlign w:val="top"/>
          </w:tcPr>
          <w:p>
            <w:r>
              <w:t>Comparable drilling conditions improve relevance when available.</w:t>
            </w:r>
          </w:p>
        </w:tc>
      </w:tr>
    </w:tbl>
    <w:p/>
    <w:p>
      <w:pPr>
        <w:pStyle w:val="Heading1"/>
      </w:pPr>
      <w:r>
        <w:t>5. Failure Modes &amp; Controls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7324D"/>
          </w:tcPr>
          <w:p>
            <w:r>
              <w:rPr>
                <w:b/>
                <w:color w:val="FFFFFF"/>
              </w:rPr>
              <w:t>Failure</w:t>
            </w:r>
          </w:p>
        </w:tc>
        <w:tc>
          <w:tcPr>
            <w:tcW w:type="dxa" w:w="5040"/>
            <w:shd w:fill="17324D"/>
          </w:tcPr>
          <w:p>
            <w:r>
              <w:rPr>
                <w:b/>
                <w:color w:val="FFFFFF"/>
              </w:rPr>
              <w:t>Control</w:t>
            </w:r>
          </w:p>
        </w:tc>
      </w:tr>
      <w:tr>
        <w:tc>
          <w:tcPr>
            <w:tcW w:type="dxa" w:w="5040"/>
            <w:vAlign w:val="top"/>
          </w:tcPr>
          <w:p>
            <w:r>
              <w:t>OCR extraction is wrong</w:t>
            </w:r>
          </w:p>
        </w:tc>
        <w:tc>
          <w:tcPr>
            <w:tcW w:type="dxa" w:w="5040"/>
            <w:vAlign w:val="top"/>
          </w:tcPr>
          <w:p>
            <w:r>
              <w:t>Keep source preview and require review for critical fields.</w:t>
            </w:r>
          </w:p>
        </w:tc>
      </w:tr>
      <w:tr>
        <w:tc>
          <w:tcPr>
            <w:tcW w:type="dxa" w:w="5040"/>
            <w:vAlign w:val="top"/>
          </w:tcPr>
          <w:p>
            <w:r>
              <w:t>LLM hallucination</w:t>
            </w:r>
          </w:p>
        </w:tc>
        <w:tc>
          <w:tcPr>
            <w:tcW w:type="dxa" w:w="5040"/>
            <w:vAlign w:val="top"/>
          </w:tcPr>
          <w:p>
            <w:r>
              <w:t>Ground historical claims in retrieved evidence; show source references.</w:t>
            </w:r>
          </w:p>
        </w:tc>
      </w:tr>
      <w:tr>
        <w:tc>
          <w:tcPr>
            <w:tcW w:type="dxa" w:w="5040"/>
            <w:vAlign w:val="top"/>
          </w:tcPr>
          <w:p>
            <w:r>
              <w:t>Too few nearby wells</w:t>
            </w:r>
          </w:p>
        </w:tc>
        <w:tc>
          <w:tcPr>
            <w:tcW w:type="dxa" w:w="5040"/>
            <w:vAlign w:val="top"/>
          </w:tcPr>
          <w:p>
            <w:r>
              <w:t>Lower confidence and say “insufficient historical evidence”.</w:t>
            </w:r>
          </w:p>
        </w:tc>
      </w:tr>
      <w:tr>
        <w:tc>
          <w:tcPr>
            <w:tcW w:type="dxa" w:w="5040"/>
            <w:vAlign w:val="top"/>
          </w:tcPr>
          <w:p>
            <w:r>
              <w:t>Conflicting records</w:t>
            </w:r>
          </w:p>
        </w:tc>
        <w:tc>
          <w:tcPr>
            <w:tcW w:type="dxa" w:w="5040"/>
            <w:vAlign w:val="top"/>
          </w:tcPr>
          <w:p>
            <w:r>
              <w:t>Show multiple records and mark conflict instead of silently choosing one.</w:t>
            </w:r>
          </w:p>
        </w:tc>
      </w:tr>
      <w:tr>
        <w:tc>
          <w:tcPr>
            <w:tcW w:type="dxa" w:w="5040"/>
            <w:vAlign w:val="top"/>
          </w:tcPr>
          <w:p>
            <w:r>
              <w:t>Live stream unavailable</w:t>
            </w:r>
          </w:p>
        </w:tc>
        <w:tc>
          <w:tcPr>
            <w:tcW w:type="dxa" w:w="5040"/>
            <w:vAlign w:val="top"/>
          </w:tcPr>
          <w:p>
            <w:r>
              <w:t>Use last known state and visually indicate stale/simulated data.</w:t>
            </w:r>
          </w:p>
        </w:tc>
      </w:tr>
      <w:tr>
        <w:tc>
          <w:tcPr>
            <w:tcW w:type="dxa" w:w="5040"/>
            <w:vAlign w:val="top"/>
          </w:tcPr>
          <w:p>
            <w:r>
              <w:t>Wrong risk</w:t>
            </w:r>
          </w:p>
        </w:tc>
        <w:tc>
          <w:tcPr>
            <w:tcW w:type="dxa" w:w="5040"/>
            <w:vAlign w:val="top"/>
          </w:tcPr>
          <w:p>
            <w:r>
              <w:t>Expose factors and confidence; prohibit autonomous action execution.</w:t>
            </w:r>
          </w:p>
        </w:tc>
      </w:tr>
    </w:tbl>
    <w:p/>
    <w:p>
      <w:pPr>
        <w:pStyle w:val="Heading1"/>
      </w:pPr>
      <w:r>
        <w:t>6. Deployment Topology</w:t>
      </w:r>
    </w:p>
    <w:p>
      <w:r>
        <w:t>For the hackathon: Docker Compose with frontend, API, database, and worker services is sufficient. For an OIL environment, container deployment and network boundaries should be aligned with organizational security requirements. No production integration is assumed by this document.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eRTMAC-NWIS | Internal working document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738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E5D6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