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/ NLP / OCR / RAG Design</w:t>
      </w:r>
    </w:p>
    <w:p>
      <w:pPr>
        <w:jc w:val="center"/>
      </w:pPr>
      <w:r>
        <w:rPr>
          <w:i/>
          <w:color w:val="667085"/>
          <w:sz w:val="24"/>
        </w:rPr>
        <w:t>eRTMAC-NWIS</w:t>
      </w:r>
    </w:p>
    <w:p>
      <w:pPr>
        <w:jc w:val="center"/>
      </w:pPr>
      <w:r>
        <w:rPr>
          <w:color w:val="667085"/>
          <w:sz w:val="18"/>
        </w:rPr>
        <w:t>Hackathon Planning Pack | 06 September 2026</w:t>
      </w:r>
    </w:p>
    <w:p>
      <w:pPr>
        <w:pStyle w:val="SmallNote"/>
      </w:pPr>
      <w:r>
        <w:t>Source basis: Oil India Limited Problem Statement 26121, “eRTMAC-NWIS (Nearby Wells Intelligence System): An AI-Powered Offset Well Knowledge and Decision Support Platform for Drilling Operations”. The source states the desired capabilities and potential internal data sources; it does not provide a dataset link.</w:t>
      </w:r>
    </w:p>
    <w:p>
      <w:pPr>
        <w:pStyle w:val="Heading1"/>
      </w:pPr>
      <w:r>
        <w:t>1. AI Objectives</w:t>
      </w:r>
    </w:p>
    <w:p>
      <w:pPr>
        <w:pStyle w:val="ListBullet"/>
      </w:pPr>
      <w:r>
        <w:t>Convert unstructured drilling reports into searchable structured knowledge.</w:t>
      </w:r>
    </w:p>
    <w:p>
      <w:pPr>
        <w:pStyle w:val="ListBullet"/>
      </w:pPr>
      <w:r>
        <w:t>Retrieve the most relevant historical evidence for a current drilling context.</w:t>
      </w:r>
    </w:p>
    <w:p>
      <w:pPr>
        <w:pStyle w:val="ListBullet"/>
      </w:pPr>
      <w:r>
        <w:t>Generate evidence-backed answers to engineer questions.</w:t>
      </w:r>
    </w:p>
    <w:p>
      <w:pPr>
        <w:pStyle w:val="ListBullet"/>
      </w:pPr>
      <w:r>
        <w:t>Support an explainable risk score rather than autonomous operational control.</w:t>
      </w:r>
    </w:p>
    <w:p>
      <w:pPr>
        <w:pStyle w:val="Heading1"/>
      </w:pPr>
      <w:r>
        <w:t>2. Document Pipeline</w:t>
      </w:r>
    </w:p>
    <w:p>
      <w:pPr>
        <w:pStyle w:val="ListNumber"/>
      </w:pPr>
      <w:r>
        <w:t>Ingest PDF and assign document ID/version.</w:t>
      </w:r>
    </w:p>
    <w:p>
      <w:pPr>
        <w:pStyle w:val="ListNumber"/>
      </w:pPr>
      <w:r>
        <w:t>Determine whether native text is extractable.</w:t>
      </w:r>
    </w:p>
    <w:p>
      <w:pPr>
        <w:pStyle w:val="ListNumber"/>
      </w:pPr>
      <w:r>
        <w:t>Extract text or run OCR.</w:t>
      </w:r>
    </w:p>
    <w:p>
      <w:pPr>
        <w:pStyle w:val="ListNumber"/>
      </w:pPr>
      <w:r>
        <w:t>Normalize headings, dates, depth units and common terminology.</w:t>
      </w:r>
    </w:p>
    <w:p>
      <w:pPr>
        <w:pStyle w:val="ListNumber"/>
      </w:pPr>
      <w:r>
        <w:t>Chunk text while retaining page/document metadata.</w:t>
      </w:r>
    </w:p>
    <w:p>
      <w:pPr>
        <w:pStyle w:val="ListNumber"/>
      </w:pPr>
      <w:r>
        <w:t>Run structured extraction to detect events, depths, formations, mitigations and contextual parameters.</w:t>
      </w:r>
    </w:p>
    <w:p>
      <w:pPr>
        <w:pStyle w:val="ListNumber"/>
      </w:pPr>
      <w:r>
        <w:t>Create embeddings for chunks and persist them.</w:t>
      </w:r>
    </w:p>
    <w:p>
      <w:pPr>
        <w:pStyle w:val="ListNumber"/>
      </w:pPr>
      <w:r>
        <w:t>Send extracted records to human review.</w:t>
      </w:r>
    </w:p>
    <w:p>
      <w:pPr>
        <w:pStyle w:val="Heading1"/>
      </w:pPr>
      <w:r>
        <w:t>3. Suggested Event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t>event_id</w:t>
            </w:r>
          </w:p>
        </w:tc>
        <w:tc>
          <w:tcPr>
            <w:tcW w:type="dxa" w:w="3360"/>
            <w:vAlign w:val="top"/>
          </w:tcPr>
          <w:p>
            <w:r>
              <w:t>UUID</w:t>
            </w:r>
          </w:p>
        </w:tc>
        <w:tc>
          <w:tcPr>
            <w:tcW w:type="dxa" w:w="3360"/>
            <w:vAlign w:val="top"/>
          </w:tcPr>
          <w:p>
            <w:r>
              <w:t>Primary key.</w:t>
            </w:r>
          </w:p>
        </w:tc>
      </w:tr>
      <w:tr>
        <w:tc>
          <w:tcPr>
            <w:tcW w:type="dxa" w:w="3360"/>
            <w:vAlign w:val="top"/>
          </w:tcPr>
          <w:p>
            <w:r>
              <w:t>well_id</w:t>
            </w:r>
          </w:p>
        </w:tc>
        <w:tc>
          <w:tcPr>
            <w:tcW w:type="dxa" w:w="3360"/>
            <w:vAlign w:val="top"/>
          </w:tcPr>
          <w:p>
            <w:r>
              <w:t>UUID</w:t>
            </w:r>
          </w:p>
        </w:tc>
        <w:tc>
          <w:tcPr>
            <w:tcW w:type="dxa" w:w="3360"/>
            <w:vAlign w:val="top"/>
          </w:tcPr>
          <w:p>
            <w:r>
              <w:t>Links to well.</w:t>
            </w:r>
          </w:p>
        </w:tc>
      </w:tr>
      <w:tr>
        <w:tc>
          <w:tcPr>
            <w:tcW w:type="dxa" w:w="3360"/>
            <w:vAlign w:val="top"/>
          </w:tcPr>
          <w:p>
            <w:r>
              <w:t>event_type</w:t>
            </w:r>
          </w:p>
        </w:tc>
        <w:tc>
          <w:tcPr>
            <w:tcW w:type="dxa" w:w="3360"/>
            <w:vAlign w:val="top"/>
          </w:tcPr>
          <w:p>
            <w:r>
              <w:t>enum/text</w:t>
            </w:r>
          </w:p>
        </w:tc>
        <w:tc>
          <w:tcPr>
            <w:tcW w:type="dxa" w:w="3360"/>
            <w:vAlign w:val="top"/>
          </w:tcPr>
          <w:p>
            <w:r>
              <w:t>Mud loss, kick, stuck pipe, torque spike, cementing issue, NPT, etc.</w:t>
            </w:r>
          </w:p>
        </w:tc>
      </w:tr>
      <w:tr>
        <w:tc>
          <w:tcPr>
            <w:tcW w:type="dxa" w:w="3360"/>
            <w:vAlign w:val="top"/>
          </w:tcPr>
          <w:p>
            <w:r>
              <w:t>depth_start_m</w:t>
            </w:r>
          </w:p>
        </w:tc>
        <w:tc>
          <w:tcPr>
            <w:tcW w:type="dxa" w:w="3360"/>
            <w:vAlign w:val="top"/>
          </w:tcPr>
          <w:p>
            <w:r>
              <w:t>number</w:t>
            </w:r>
          </w:p>
        </w:tc>
        <w:tc>
          <w:tcPr>
            <w:tcW w:type="dxa" w:w="3360"/>
            <w:vAlign w:val="top"/>
          </w:tcPr>
          <w:p>
            <w:r>
              <w:t>Normalized metric depth.</w:t>
            </w:r>
          </w:p>
        </w:tc>
      </w:tr>
      <w:tr>
        <w:tc>
          <w:tcPr>
            <w:tcW w:type="dxa" w:w="3360"/>
            <w:vAlign w:val="top"/>
          </w:tcPr>
          <w:p>
            <w:r>
              <w:t>depth_end_m</w:t>
            </w:r>
          </w:p>
        </w:tc>
        <w:tc>
          <w:tcPr>
            <w:tcW w:type="dxa" w:w="3360"/>
            <w:vAlign w:val="top"/>
          </w:tcPr>
          <w:p>
            <w:r>
              <w:t>number</w:t>
            </w:r>
          </w:p>
        </w:tc>
        <w:tc>
          <w:tcPr>
            <w:tcW w:type="dxa" w:w="3360"/>
            <w:vAlign w:val="top"/>
          </w:tcPr>
          <w:p>
            <w:r>
              <w:t>Optional end depth.</w:t>
            </w:r>
          </w:p>
        </w:tc>
      </w:tr>
      <w:tr>
        <w:tc>
          <w:tcPr>
            <w:tcW w:type="dxa" w:w="3360"/>
            <w:vAlign w:val="top"/>
          </w:tcPr>
          <w:p>
            <w:r>
              <w:t>formation</w:t>
            </w:r>
          </w:p>
        </w:tc>
        <w:tc>
          <w:tcPr>
            <w:tcW w:type="dxa" w:w="3360"/>
            <w:vAlign w:val="top"/>
          </w:tcPr>
          <w:p>
            <w:r>
              <w:t>text</w:t>
            </w:r>
          </w:p>
        </w:tc>
        <w:tc>
          <w:tcPr>
            <w:tcW w:type="dxa" w:w="3360"/>
            <w:vAlign w:val="top"/>
          </w:tcPr>
          <w:p>
            <w:r>
              <w:t>Formation/interval label when available.</w:t>
            </w:r>
          </w:p>
        </w:tc>
      </w:tr>
      <w:tr>
        <w:tc>
          <w:tcPr>
            <w:tcW w:type="dxa" w:w="3360"/>
            <w:vAlign w:val="top"/>
          </w:tcPr>
          <w:p>
            <w:r>
              <w:t>severity</w:t>
            </w:r>
          </w:p>
        </w:tc>
        <w:tc>
          <w:tcPr>
            <w:tcW w:type="dxa" w:w="3360"/>
            <w:vAlign w:val="top"/>
          </w:tcPr>
          <w:p>
            <w:r>
              <w:t>enum</w:t>
            </w:r>
          </w:p>
        </w:tc>
        <w:tc>
          <w:tcPr>
            <w:tcW w:type="dxa" w:w="3360"/>
            <w:vAlign w:val="top"/>
          </w:tcPr>
          <w:p>
            <w:r>
              <w:t>Low/Medium/High/Unknown.</w:t>
            </w:r>
          </w:p>
        </w:tc>
      </w:tr>
      <w:tr>
        <w:tc>
          <w:tcPr>
            <w:tcW w:type="dxa" w:w="3360"/>
            <w:vAlign w:val="top"/>
          </w:tcPr>
          <w:p>
            <w:r>
              <w:t>description</w:t>
            </w:r>
          </w:p>
        </w:tc>
        <w:tc>
          <w:tcPr>
            <w:tcW w:type="dxa" w:w="3360"/>
            <w:vAlign w:val="top"/>
          </w:tcPr>
          <w:p>
            <w:r>
              <w:t>text</w:t>
            </w:r>
          </w:p>
        </w:tc>
        <w:tc>
          <w:tcPr>
            <w:tcW w:type="dxa" w:w="3360"/>
            <w:vAlign w:val="top"/>
          </w:tcPr>
          <w:p>
            <w:r>
              <w:t>Short normalized summary.</w:t>
            </w:r>
          </w:p>
        </w:tc>
      </w:tr>
      <w:tr>
        <w:tc>
          <w:tcPr>
            <w:tcW w:type="dxa" w:w="3360"/>
            <w:vAlign w:val="top"/>
          </w:tcPr>
          <w:p>
            <w:r>
              <w:t>mitigation</w:t>
            </w:r>
          </w:p>
        </w:tc>
        <w:tc>
          <w:tcPr>
            <w:tcW w:type="dxa" w:w="3360"/>
            <w:vAlign w:val="top"/>
          </w:tcPr>
          <w:p>
            <w:r>
              <w:t>text</w:t>
            </w:r>
          </w:p>
        </w:tc>
        <w:tc>
          <w:tcPr>
            <w:tcW w:type="dxa" w:w="3360"/>
            <w:vAlign w:val="top"/>
          </w:tcPr>
          <w:p>
            <w:r>
              <w:t>Historically recorded mitigation.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source_document_id</w:t>
            </w:r>
          </w:p>
        </w:tc>
        <w:tc>
          <w:tcPr>
            <w:tcW w:type="dxa" w:w="3360"/>
            <w:vAlign w:val="top"/>
          </w:tcPr>
          <w:p>
            <w:r>
              <w:t>UUID</w:t>
            </w:r>
          </w:p>
        </w:tc>
        <w:tc>
          <w:tcPr>
            <w:tcW w:type="dxa" w:w="3360"/>
            <w:vAlign w:val="top"/>
          </w:tcPr>
          <w:p>
            <w:r>
              <w:t>Traceability.</w:t>
            </w:r>
          </w:p>
        </w:tc>
      </w:tr>
      <w:tr>
        <w:tc>
          <w:tcPr>
            <w:tcW w:type="dxa" w:w="3360"/>
            <w:vAlign w:val="top"/>
          </w:tcPr>
          <w:p>
            <w:r>
              <w:t>source_locator</w:t>
            </w:r>
          </w:p>
        </w:tc>
        <w:tc>
          <w:tcPr>
            <w:tcW w:type="dxa" w:w="3360"/>
            <w:vAlign w:val="top"/>
          </w:tcPr>
          <w:p>
            <w:r>
              <w:t>text</w:t>
            </w:r>
          </w:p>
        </w:tc>
        <w:tc>
          <w:tcPr>
            <w:tcW w:type="dxa" w:w="3360"/>
            <w:vAlign w:val="top"/>
          </w:tcPr>
          <w:p>
            <w:r>
              <w:t>Page/section/snippet reference.</w:t>
            </w:r>
          </w:p>
        </w:tc>
      </w:tr>
      <w:tr>
        <w:tc>
          <w:tcPr>
            <w:tcW w:type="dxa" w:w="3360"/>
            <w:vAlign w:val="top"/>
          </w:tcPr>
          <w:p>
            <w:r>
              <w:t>review_status</w:t>
            </w:r>
          </w:p>
        </w:tc>
        <w:tc>
          <w:tcPr>
            <w:tcW w:type="dxa" w:w="3360"/>
            <w:vAlign w:val="top"/>
          </w:tcPr>
          <w:p>
            <w:r>
              <w:t>enum</w:t>
            </w:r>
          </w:p>
        </w:tc>
        <w:tc>
          <w:tcPr>
            <w:tcW w:type="dxa" w:w="3360"/>
            <w:vAlign w:val="top"/>
          </w:tcPr>
          <w:p>
            <w:r>
              <w:t>Extracted/Reviewed/Approved.</w:t>
            </w:r>
          </w:p>
        </w:tc>
      </w:tr>
    </w:tbl>
    <w:p/>
    <w:p>
      <w:pPr>
        <w:pStyle w:val="Heading1"/>
      </w:pPr>
      <w:r>
        <w:t>4. RAG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Method</w:t>
            </w:r>
          </w:p>
        </w:tc>
      </w:tr>
      <w:tr>
        <w:tc>
          <w:tcPr>
            <w:tcW w:type="dxa" w:w="5040"/>
            <w:vAlign w:val="top"/>
          </w:tcPr>
          <w:p>
            <w:r>
              <w:t>Query understanding</w:t>
            </w:r>
          </w:p>
        </w:tc>
        <w:tc>
          <w:tcPr>
            <w:tcW w:type="dxa" w:w="5040"/>
            <w:vAlign w:val="top"/>
          </w:tcPr>
          <w:p>
            <w:r>
              <w:t>Extract well ID, current depth, radius, formation and event intent when present.</w:t>
            </w:r>
          </w:p>
        </w:tc>
      </w:tr>
      <w:tr>
        <w:tc>
          <w:tcPr>
            <w:tcW w:type="dxa" w:w="5040"/>
            <w:vAlign w:val="top"/>
          </w:tcPr>
          <w:p>
            <w:r>
              <w:t>Candidate retrieval</w:t>
            </w:r>
          </w:p>
        </w:tc>
        <w:tc>
          <w:tcPr>
            <w:tcW w:type="dxa" w:w="5040"/>
            <w:vAlign w:val="top"/>
          </w:tcPr>
          <w:p>
            <w:r>
              <w:t>Structured filtering by radius/depth/formation + vector similarity over document chunks.</w:t>
            </w:r>
          </w:p>
        </w:tc>
      </w:tr>
      <w:tr>
        <w:tc>
          <w:tcPr>
            <w:tcW w:type="dxa" w:w="5040"/>
            <w:vAlign w:val="top"/>
          </w:tcPr>
          <w:p>
            <w:r>
              <w:t>Reranking</w:t>
            </w:r>
          </w:p>
        </w:tc>
        <w:tc>
          <w:tcPr>
            <w:tcW w:type="dxa" w:w="5040"/>
            <w:vAlign w:val="top"/>
          </w:tcPr>
          <w:p>
            <w:r>
              <w:t>Prefer evidence matching current well context and event type.</w:t>
            </w:r>
          </w:p>
        </w:tc>
      </w:tr>
      <w:tr>
        <w:tc>
          <w:tcPr>
            <w:tcW w:type="dxa" w:w="5040"/>
            <w:vAlign w:val="top"/>
          </w:tcPr>
          <w:p>
            <w:r>
              <w:t>Answer generation</w:t>
            </w:r>
          </w:p>
        </w:tc>
        <w:tc>
          <w:tcPr>
            <w:tcW w:type="dxa" w:w="5040"/>
            <w:vAlign w:val="top"/>
          </w:tcPr>
          <w:p>
            <w:r>
              <w:t>Concise answer that states uncertainty and names supporting wells/events.</w:t>
            </w:r>
          </w:p>
        </w:tc>
      </w:tr>
      <w:tr>
        <w:tc>
          <w:tcPr>
            <w:tcW w:type="dxa" w:w="5040"/>
            <w:vAlign w:val="top"/>
          </w:tcPr>
          <w:p>
            <w:r>
              <w:t>Validation</w:t>
            </w:r>
          </w:p>
        </w:tc>
        <w:tc>
          <w:tcPr>
            <w:tcW w:type="dxa" w:w="5040"/>
            <w:vAlign w:val="top"/>
          </w:tcPr>
          <w:p>
            <w:r>
              <w:t>Reject or soften factual claims without supporting retrieved evidence.</w:t>
            </w:r>
          </w:p>
        </w:tc>
      </w:tr>
      <w:tr>
        <w:tc>
          <w:tcPr>
            <w:tcW w:type="dxa" w:w="5040"/>
            <w:vAlign w:val="top"/>
          </w:tcPr>
          <w:p>
            <w:r>
              <w:t>Presentation</w:t>
            </w:r>
          </w:p>
        </w:tc>
        <w:tc>
          <w:tcPr>
            <w:tcW w:type="dxa" w:w="5040"/>
            <w:vAlign w:val="top"/>
          </w:tcPr>
          <w:p>
            <w:r>
              <w:t>Show citations/source cards beside each answer.</w:t>
            </w:r>
          </w:p>
        </w:tc>
      </w:tr>
    </w:tbl>
    <w:p/>
    <w:p>
      <w:pPr>
        <w:pStyle w:val="Heading1"/>
      </w:pPr>
      <w:r>
        <w:t>5. Prompt Contract</w:t>
      </w:r>
    </w:p>
    <w:p>
      <w:r>
        <w:t>System prompt should instruct the model to: answer only from supplied evidence; distinguish observed facts from inference; never invent a mitigation; state when evidence is insufficient; include well/depth/source references; avoid giving autonomous safety-critical instructions.</w:t>
      </w:r>
    </w:p>
    <w:p>
      <w:pPr>
        <w:pStyle w:val="Heading1"/>
      </w:pPr>
      <w:r>
        <w:t>6. Evaluation Set</w:t>
      </w:r>
    </w:p>
    <w:p>
      <w:pPr>
        <w:pStyle w:val="ListBullet"/>
      </w:pPr>
      <w:r>
        <w:t>Create 15-25 benchmark questions covering depth lookup, event lookup, mitigation lookup, comparison, and insufficient-evidence cases.</w:t>
      </w:r>
    </w:p>
    <w:p>
      <w:pPr>
        <w:pStyle w:val="ListBullet"/>
      </w:pPr>
      <w:r>
        <w:t>Hand-label expected relevant wells/events.</w:t>
      </w:r>
    </w:p>
    <w:p>
      <w:pPr>
        <w:pStyle w:val="ListBullet"/>
      </w:pPr>
      <w:r>
        <w:t>Measure retrieval relevance, source attribution and factual consistency.</w:t>
      </w:r>
    </w:p>
    <w:p>
      <w:pPr>
        <w:pStyle w:val="ListBullet"/>
      </w:pPr>
      <w:r>
        <w:t>Include at least 3 adversarial questions where the answer should be “insufficient evidence”.</w:t>
      </w:r>
    </w:p>
    <w:p>
      <w:pPr>
        <w:pStyle w:val="Heading1"/>
      </w:pPr>
      <w:r>
        <w:t>7. AI Safety / Trust</w:t>
      </w:r>
    </w:p>
    <w:p>
      <w:pPr>
        <w:pStyle w:val="ListBullet"/>
      </w:pPr>
      <w:r>
        <w:t>AI output is advisory and must never directly command drilling equipment.</w:t>
      </w:r>
    </w:p>
    <w:p>
      <w:pPr>
        <w:pStyle w:val="ListBullet"/>
      </w:pPr>
      <w:r>
        <w:t>Do not expose confidential documents to unapproved external model providers.</w:t>
      </w:r>
    </w:p>
    <w:p>
      <w:pPr>
        <w:pStyle w:val="ListBullet"/>
      </w:pPr>
      <w:r>
        <w:t>Record model/provider, prompt version and retrieval IDs for auditability.</w:t>
      </w:r>
    </w:p>
    <w:p>
      <w:pPr>
        <w:pStyle w:val="ListBullet"/>
      </w:pPr>
      <w:r>
        <w:t>Use visible “synthetic/demo data” labels when appropriate.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eRTMAC-NWIS | Internal working document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3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E5D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