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MVP Scope, Execution Plan &amp; Demo Script</w:t>
      </w:r>
    </w:p>
    <w:p>
      <w:pPr>
        <w:jc w:val="center"/>
      </w:pPr>
      <w:r>
        <w:rPr>
          <w:i/>
          <w:color w:val="667085"/>
          <w:sz w:val="24"/>
        </w:rPr>
        <w:t>eRTMAC-NWIS</w:t>
      </w:r>
    </w:p>
    <w:p>
      <w:pPr>
        <w:jc w:val="center"/>
      </w:pPr>
      <w:r>
        <w:rPr>
          <w:color w:val="667085"/>
          <w:sz w:val="18"/>
        </w:rPr>
        <w:t>Hackathon Planning Pack | 06 September 2026</w:t>
      </w:r>
    </w:p>
    <w:p>
      <w:pPr>
        <w:pStyle w:val="SmallNote"/>
      </w:pPr>
      <w:r>
        <w:t>Source basis: Oil India Limited Problem Statement 26121, “eRTMAC-NWIS (Nearby Wells Intelligence System): An AI-Powered Offset Well Knowledge and Decision Support Platform for Drilling Operations”. The source states the desired capabilities and potential internal data sources; it does not provide a dataset link.</w:t>
      </w:r>
    </w:p>
    <w:p>
      <w:pPr>
        <w:pStyle w:val="Heading1"/>
      </w:pPr>
      <w:r>
        <w:t>1. MVP Definition</w:t>
      </w:r>
    </w:p>
    <w:p>
      <w:r>
        <w:t>The MVP must prove one clear claim: “NWIS can recognize when the current well is entering a historically risky interval and immediately surface the offset-well evidence that explains why.”</w:t>
      </w:r>
    </w:p>
    <w:p>
      <w:pPr>
        <w:pStyle w:val="Heading1"/>
      </w:pPr>
      <w:r>
        <w:t>2. Prioritized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24D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3360"/>
            <w:shd w:fill="17324D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3360"/>
            <w:shd w:fill="17324D"/>
          </w:tcPr>
          <w:p>
            <w:r>
              <w:rPr>
                <w:b/>
                <w:color w:val="FFFFFF"/>
              </w:rPr>
              <w:t>Definition of Done</w:t>
            </w:r>
          </w:p>
        </w:tc>
      </w:tr>
      <w:tr>
        <w:tc>
          <w:tcPr>
            <w:tcW w:type="dxa" w:w="3360"/>
            <w:vAlign w:val="top"/>
          </w:tcPr>
          <w:p>
            <w:r>
              <w:t>P0</w:t>
            </w:r>
          </w:p>
        </w:tc>
        <w:tc>
          <w:tcPr>
            <w:tcW w:type="dxa" w:w="3360"/>
            <w:vAlign w:val="top"/>
          </w:tcPr>
          <w:p>
            <w:r>
              <w:t>Synthetic well/event dataset</w:t>
            </w:r>
          </w:p>
        </w:tc>
        <w:tc>
          <w:tcPr>
            <w:tcW w:type="dxa" w:w="3360"/>
            <w:vAlign w:val="top"/>
          </w:tcPr>
          <w:p>
            <w:r>
              <w:t>At least 30 wells and 100 historical events with depth, formation and event metadata.</w:t>
            </w:r>
          </w:p>
        </w:tc>
      </w:tr>
      <w:tr>
        <w:tc>
          <w:tcPr>
            <w:tcW w:type="dxa" w:w="3360"/>
            <w:vAlign w:val="top"/>
          </w:tcPr>
          <w:p>
            <w:r>
              <w:t>P0</w:t>
            </w:r>
          </w:p>
        </w:tc>
        <w:tc>
          <w:tcPr>
            <w:tcW w:type="dxa" w:w="3360"/>
            <w:vAlign w:val="top"/>
          </w:tcPr>
          <w:p>
            <w:r>
              <w:t>Interactive map</w:t>
            </w:r>
          </w:p>
        </w:tc>
        <w:tc>
          <w:tcPr>
            <w:tcW w:type="dxa" w:w="3360"/>
            <w:vAlign w:val="top"/>
          </w:tcPr>
          <w:p>
            <w:r>
              <w:t>Active + nearby wells; radius filter; clickable well details.</w:t>
            </w:r>
          </w:p>
        </w:tc>
      </w:tr>
      <w:tr>
        <w:tc>
          <w:tcPr>
            <w:tcW w:type="dxa" w:w="3360"/>
            <w:vAlign w:val="top"/>
          </w:tcPr>
          <w:p>
            <w:r>
              <w:t>P0</w:t>
            </w:r>
          </w:p>
        </w:tc>
        <w:tc>
          <w:tcPr>
            <w:tcW w:type="dxa" w:w="3360"/>
            <w:vAlign w:val="top"/>
          </w:tcPr>
          <w:p>
            <w:r>
              <w:t>Historical event search</w:t>
            </w:r>
          </w:p>
        </w:tc>
        <w:tc>
          <w:tcPr>
            <w:tcW w:type="dxa" w:w="3360"/>
            <w:vAlign w:val="top"/>
          </w:tcPr>
          <w:p>
            <w:r>
              <w:t>Structured filters by depth, formation, type.</w:t>
            </w:r>
          </w:p>
        </w:tc>
      </w:tr>
      <w:tr>
        <w:tc>
          <w:tcPr>
            <w:tcW w:type="dxa" w:w="3360"/>
            <w:vAlign w:val="top"/>
          </w:tcPr>
          <w:p>
            <w:r>
              <w:t>P0</w:t>
            </w:r>
          </w:p>
        </w:tc>
        <w:tc>
          <w:tcPr>
            <w:tcW w:type="dxa" w:w="3360"/>
            <w:vAlign w:val="top"/>
          </w:tcPr>
          <w:p>
            <w:r>
              <w:t>Risk engine</w:t>
            </w:r>
          </w:p>
        </w:tc>
        <w:tc>
          <w:tcPr>
            <w:tcW w:type="dxa" w:w="3360"/>
            <w:vAlign w:val="top"/>
          </w:tcPr>
          <w:p>
            <w:r>
              <w:t>Current depth -&gt; explainable score + evidence.</w:t>
            </w:r>
          </w:p>
        </w:tc>
      </w:tr>
      <w:tr>
        <w:tc>
          <w:tcPr>
            <w:tcW w:type="dxa" w:w="3360"/>
            <w:vAlign w:val="top"/>
          </w:tcPr>
          <w:p>
            <w:r>
              <w:t>P0</w:t>
            </w:r>
          </w:p>
        </w:tc>
        <w:tc>
          <w:tcPr>
            <w:tcW w:type="dxa" w:w="3360"/>
            <w:vAlign w:val="top"/>
          </w:tcPr>
          <w:p>
            <w:r>
              <w:t>Live simulation</w:t>
            </w:r>
          </w:p>
        </w:tc>
        <w:tc>
          <w:tcPr>
            <w:tcW w:type="dxa" w:w="3360"/>
            <w:vAlign w:val="top"/>
          </w:tcPr>
          <w:p>
            <w:r>
              <w:t>Depth changes automatically and risk updates.</w:t>
            </w:r>
          </w:p>
        </w:tc>
      </w:tr>
      <w:tr>
        <w:tc>
          <w:tcPr>
            <w:tcW w:type="dxa" w:w="3360"/>
            <w:vAlign w:val="top"/>
          </w:tcPr>
          <w:p>
            <w:r>
              <w:t>P0</w:t>
            </w:r>
          </w:p>
        </w:tc>
        <w:tc>
          <w:tcPr>
            <w:tcW w:type="dxa" w:w="3360"/>
            <w:vAlign w:val="top"/>
          </w:tcPr>
          <w:p>
            <w:r>
              <w:t>RAG assistant</w:t>
            </w:r>
          </w:p>
        </w:tc>
        <w:tc>
          <w:tcPr>
            <w:tcW w:type="dxa" w:w="3360"/>
            <w:vAlign w:val="top"/>
          </w:tcPr>
          <w:p>
            <w:r>
              <w:t>Natural-language questions with source cards.</w:t>
            </w:r>
          </w:p>
        </w:tc>
      </w:tr>
      <w:tr>
        <w:tc>
          <w:tcPr>
            <w:tcW w:type="dxa" w:w="3360"/>
            <w:vAlign w:val="top"/>
          </w:tcPr>
          <w:p>
            <w:r>
              <w:t>P1</w:t>
            </w:r>
          </w:p>
        </w:tc>
        <w:tc>
          <w:tcPr>
            <w:tcW w:type="dxa" w:w="3360"/>
            <w:vAlign w:val="top"/>
          </w:tcPr>
          <w:p>
            <w:r>
              <w:t>PDF upload/OCR</w:t>
            </w:r>
          </w:p>
        </w:tc>
        <w:tc>
          <w:tcPr>
            <w:tcW w:type="dxa" w:w="3360"/>
            <w:vAlign w:val="top"/>
          </w:tcPr>
          <w:p>
            <w:r>
              <w:t>Demo upload of at least one report; extract event(s).</w:t>
            </w:r>
          </w:p>
        </w:tc>
      </w:tr>
      <w:tr>
        <w:tc>
          <w:tcPr>
            <w:tcW w:type="dxa" w:w="3360"/>
            <w:vAlign w:val="top"/>
          </w:tcPr>
          <w:p>
            <w:r>
              <w:t>P1</w:t>
            </w:r>
          </w:p>
        </w:tc>
        <w:tc>
          <w:tcPr>
            <w:tcW w:type="dxa" w:w="3360"/>
            <w:vAlign w:val="top"/>
          </w:tcPr>
          <w:p>
            <w:r>
              <w:t>Review workflow</w:t>
            </w:r>
          </w:p>
        </w:tc>
        <w:tc>
          <w:tcPr>
            <w:tcW w:type="dxa" w:w="3360"/>
            <w:vAlign w:val="top"/>
          </w:tcPr>
          <w:p>
            <w:r>
              <w:t>Data steward can correct and approve extracted event.</w:t>
            </w:r>
          </w:p>
        </w:tc>
      </w:tr>
      <w:tr>
        <w:tc>
          <w:tcPr>
            <w:tcW w:type="dxa" w:w="3360"/>
            <w:vAlign w:val="top"/>
          </w:tcPr>
          <w:p>
            <w:r>
              <w:t>P2</w:t>
            </w:r>
          </w:p>
        </w:tc>
        <w:tc>
          <w:tcPr>
            <w:tcW w:type="dxa" w:w="3360"/>
            <w:vAlign w:val="top"/>
          </w:tcPr>
          <w:p>
            <w:r>
              <w:t>Advanced ML</w:t>
            </w:r>
          </w:p>
        </w:tc>
        <w:tc>
          <w:tcPr>
            <w:tcW w:type="dxa" w:w="3360"/>
            <w:vAlign w:val="top"/>
          </w:tcPr>
          <w:p>
            <w:r>
              <w:t>Only after P0/P1 is stable; no demo dependency.</w:t>
            </w:r>
          </w:p>
        </w:tc>
      </w:tr>
    </w:tbl>
    <w:p/>
    <w:p>
      <w:pPr>
        <w:pStyle w:val="Heading1"/>
      </w:pPr>
      <w:r>
        <w:t>3. Suggested Team Split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24D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5040"/>
            <w:shd w:fill="17324D"/>
          </w:tcPr>
          <w:p>
            <w:r>
              <w:rPr>
                <w:b/>
                <w:color w:val="FFFFFF"/>
              </w:rPr>
              <w:t>Ownership</w:t>
            </w:r>
          </w:p>
        </w:tc>
      </w:tr>
      <w:tr>
        <w:tc>
          <w:tcPr>
            <w:tcW w:type="dxa" w:w="5040"/>
            <w:vAlign w:val="top"/>
          </w:tcPr>
          <w:p>
            <w:r>
              <w:t>Frontend Lead</w:t>
            </w:r>
          </w:p>
        </w:tc>
        <w:tc>
          <w:tcPr>
            <w:tcW w:type="dxa" w:w="5040"/>
            <w:vAlign w:val="top"/>
          </w:tcPr>
          <w:p>
            <w:r>
              <w:t>Dashboard, map, charts, alert/evidence UX.</w:t>
            </w:r>
          </w:p>
        </w:tc>
      </w:tr>
      <w:tr>
        <w:tc>
          <w:tcPr>
            <w:tcW w:type="dxa" w:w="5040"/>
            <w:vAlign w:val="top"/>
          </w:tcPr>
          <w:p>
            <w:r>
              <w:t>Backend/Data</w:t>
            </w:r>
          </w:p>
        </w:tc>
        <w:tc>
          <w:tcPr>
            <w:tcW w:type="dxa" w:w="5040"/>
            <w:vAlign w:val="top"/>
          </w:tcPr>
          <w:p>
            <w:r>
              <w:t>API, PostgreSQL/PostGIS, event schema, simulator.</w:t>
            </w:r>
          </w:p>
        </w:tc>
      </w:tr>
      <w:tr>
        <w:tc>
          <w:tcPr>
            <w:tcW w:type="dxa" w:w="5040"/>
            <w:vAlign w:val="top"/>
          </w:tcPr>
          <w:p>
            <w:r>
              <w:t>AI/ML</w:t>
            </w:r>
          </w:p>
        </w:tc>
        <w:tc>
          <w:tcPr>
            <w:tcW w:type="dxa" w:w="5040"/>
            <w:vAlign w:val="top"/>
          </w:tcPr>
          <w:p>
            <w:r>
              <w:t>Document extraction, embeddings, RAG, evaluation.</w:t>
            </w:r>
          </w:p>
        </w:tc>
      </w:tr>
      <w:tr>
        <w:tc>
          <w:tcPr>
            <w:tcW w:type="dxa" w:w="5040"/>
            <w:vAlign w:val="top"/>
          </w:tcPr>
          <w:p>
            <w:r>
              <w:t>Product/Presentation</w:t>
            </w:r>
          </w:p>
        </w:tc>
        <w:tc>
          <w:tcPr>
            <w:tcW w:type="dxa" w:w="5040"/>
            <w:vAlign w:val="top"/>
          </w:tcPr>
          <w:p>
            <w:r>
              <w:t>Synthetic corpus, UX flow, demo narrative, documentation.</w:t>
            </w:r>
          </w:p>
        </w:tc>
      </w:tr>
    </w:tbl>
    <w:p/>
    <w:p>
      <w:pPr>
        <w:pStyle w:val="Heading1"/>
      </w:pPr>
      <w:r>
        <w:t>4. 48-Hour Build Sequence</w:t>
      </w:r>
    </w:p>
    <w:p>
      <w:pPr>
        <w:pStyle w:val="ListNumber"/>
      </w:pPr>
      <w:r>
        <w:t>Hours 0-4: Freeze MVP scope; define schema; seed synthetic dataset.</w:t>
      </w:r>
    </w:p>
    <w:p>
      <w:pPr>
        <w:pStyle w:val="ListNumber"/>
      </w:pPr>
      <w:r>
        <w:t>Hours 4-12: Build database + API + map + well/event views.</w:t>
      </w:r>
    </w:p>
    <w:p>
      <w:pPr>
        <w:pStyle w:val="ListNumber"/>
      </w:pPr>
      <w:r>
        <w:t>Hours 10-20: Build risk engine + live depth simulator.</w:t>
      </w:r>
    </w:p>
    <w:p>
      <w:pPr>
        <w:pStyle w:val="ListNumber"/>
      </w:pPr>
      <w:r>
        <w:t>Hours 16-28: Build document ingestion + extraction + vector search.</w:t>
      </w:r>
    </w:p>
    <w:p>
      <w:pPr>
        <w:pStyle w:val="ListNumber"/>
      </w:pPr>
      <w:r>
        <w:t>Hours 24-34: Build RAG assistant + evidence cards.</w:t>
      </w:r>
    </w:p>
    <w:p>
      <w:pPr>
        <w:pStyle w:val="ListNumber"/>
      </w:pPr>
      <w:r>
        <w:t>Hours 32-40: Integrate end-to-end demo flow and failure states.</w:t>
      </w:r>
    </w:p>
    <w:p>
      <w:pPr>
        <w:pStyle w:val="ListNumber"/>
      </w:pPr>
      <w:r>
        <w:t>Hours 40-44: Testing, data cleanup, source/evidence consistency checks.</w:t>
      </w:r>
    </w:p>
    <w:p>
      <w:pPr>
        <w:pStyle w:val="ListNumber"/>
      </w:pPr>
      <w:r>
        <w:t>Hours 44-48: Pitch deck, architecture slide, demo recording, final polish.</w:t>
      </w:r>
    </w:p>
    <w:p>
      <w:pPr>
        <w:pStyle w:val="Heading1"/>
      </w:pPr>
      <w:r>
        <w:t>5. Demo Script</w:t>
      </w:r>
    </w:p>
    <w:p>
      <w:pPr>
        <w:pStyle w:val="ListNumber"/>
      </w:pPr>
      <w:r>
        <w:t>Start on the active well at 2,740 m.</w:t>
      </w:r>
    </w:p>
    <w:p>
      <w:pPr>
        <w:pStyle w:val="ListNumber"/>
      </w:pPr>
      <w:r>
        <w:t>Show 7 nearby wells inside a 10 km radius.</w:t>
      </w:r>
    </w:p>
    <w:p>
      <w:pPr>
        <w:pStyle w:val="ListNumber"/>
      </w:pPr>
      <w:r>
        <w:t>The risk panel identifies a high-risk interval based on three historical offset wells.</w:t>
      </w:r>
    </w:p>
    <w:p>
      <w:pPr>
        <w:pStyle w:val="ListNumber"/>
      </w:pPr>
      <w:r>
        <w:t>Open the evidence panel and show event types, depths and mitigations.</w:t>
      </w:r>
    </w:p>
    <w:p>
      <w:pPr>
        <w:pStyle w:val="ListNumber"/>
      </w:pPr>
      <w:r>
        <w:t>Advance the simulated depth to 2,780 m; the alert updates.</w:t>
      </w:r>
    </w:p>
    <w:p>
      <w:pPr>
        <w:pStyle w:val="ListNumber"/>
      </w:pPr>
      <w:r>
        <w:t>Ask: “What happened in nearby wells around this depth?”</w:t>
      </w:r>
    </w:p>
    <w:p>
      <w:pPr>
        <w:pStyle w:val="ListNumber"/>
      </w:pPr>
      <w:r>
        <w:t>Ask: “Which mitigations were recorded?”</w:t>
      </w:r>
    </w:p>
    <w:p>
      <w:pPr>
        <w:pStyle w:val="ListNumber"/>
      </w:pPr>
      <w:r>
        <w:t>Open a source document/event card to demonstrate traceability.</w:t>
      </w:r>
    </w:p>
    <w:p>
      <w:pPr>
        <w:pStyle w:val="ListNumber"/>
      </w:pPr>
      <w:r>
        <w:t>Conclude: “NWIS turns historical reports into a live, explainable drilling memory.”</w:t>
      </w:r>
    </w:p>
    <w:p>
      <w:pPr>
        <w:pStyle w:val="Heading1"/>
      </w:pPr>
      <w:r>
        <w:t>6. Judge-Facing Differentiators</w:t>
      </w:r>
    </w:p>
    <w:p>
      <w:pPr>
        <w:pStyle w:val="ListBullet"/>
      </w:pPr>
      <w:r>
        <w:t>Institutional memory rather than a generic chatbot.</w:t>
      </w:r>
    </w:p>
    <w:p>
      <w:pPr>
        <w:pStyle w:val="ListBullet"/>
      </w:pPr>
      <w:r>
        <w:t>Geospatial + depth/formation context before retrieval.</w:t>
      </w:r>
    </w:p>
    <w:p>
      <w:pPr>
        <w:pStyle w:val="ListBullet"/>
      </w:pPr>
      <w:r>
        <w:t>Evidence-backed AI with source traceability.</w:t>
      </w:r>
    </w:p>
    <w:p>
      <w:pPr>
        <w:pStyle w:val="ListBullet"/>
      </w:pPr>
      <w:r>
        <w:t>Explainable risk instead of unsupported black-box predictions.</w:t>
      </w:r>
    </w:p>
    <w:p>
      <w:pPr>
        <w:pStyle w:val="ListBullet"/>
      </w:pPr>
      <w:r>
        <w:t>Designed as a companion to eRTMAC rather than a replacement.</w:t>
      </w:r>
    </w:p>
    <w:p>
      <w:pPr>
        <w:pStyle w:val="Heading1"/>
      </w:pPr>
      <w:r>
        <w:t>7. Demo Data Disclosure</w:t>
      </w:r>
    </w:p>
    <w:p>
      <w:r>
        <w:t>Because the supplied statement does not include a dataset link, the hackathon prototype should use synthetic/representative data unless organizers provide approved data. The interface should label such data clearly and avoid implying that fabricated records are actual OIL operations.</w:t>
      </w:r>
    </w:p>
    <w:p>
      <w:pPr>
        <w:pStyle w:val="Heading1"/>
      </w:pPr>
      <w:r>
        <w:t>8. Final Submission Checklist</w:t>
      </w:r>
    </w:p>
    <w:p>
      <w:pPr>
        <w:pStyle w:val="ListBullet"/>
      </w:pPr>
      <w:r>
        <w:t>Working deployed or locally reproducible prototype.</w:t>
      </w:r>
    </w:p>
    <w:p>
      <w:pPr>
        <w:pStyle w:val="ListBullet"/>
      </w:pPr>
      <w:r>
        <w:t>README with setup and synthetic-data disclosure.</w:t>
      </w:r>
    </w:p>
    <w:p>
      <w:pPr>
        <w:pStyle w:val="ListBullet"/>
      </w:pPr>
      <w:r>
        <w:t>Architecture diagram.</w:t>
      </w:r>
    </w:p>
    <w:p>
      <w:pPr>
        <w:pStyle w:val="ListBullet"/>
      </w:pPr>
      <w:r>
        <w:t>PRD/SRS and API/data model.</w:t>
      </w:r>
    </w:p>
    <w:p>
      <w:pPr>
        <w:pStyle w:val="ListBullet"/>
      </w:pPr>
      <w:r>
        <w:t>RAG evaluation examples.</w:t>
      </w:r>
    </w:p>
    <w:p>
      <w:pPr>
        <w:pStyle w:val="ListBullet"/>
      </w:pPr>
      <w:r>
        <w:t>Demo script and 2-3 minute backup recording.</w:t>
      </w:r>
    </w:p>
    <w:p>
      <w:pPr>
        <w:pStyle w:val="ListBullet"/>
      </w:pPr>
      <w:r>
        <w:t>Known limitations and next-step roadmap.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eRTMAC-NWIS | Internal working document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6738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E5D6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6670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