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Selection &amp; Feasibility Decision Memo</w:t>
      </w:r>
    </w:p>
    <w:p>
      <w:pPr>
        <w:jc w:val="center"/>
      </w:pPr>
      <w:r>
        <w:rPr>
          <w:i/>
          <w:color w:val="667085"/>
          <w:sz w:val="24"/>
        </w:rPr>
        <w:t>eRTMAC-NWIS</w:t>
      </w:r>
    </w:p>
    <w:p>
      <w:pPr>
        <w:jc w:val="center"/>
      </w:pPr>
      <w:r>
        <w:rPr>
          <w:color w:val="667085"/>
          <w:sz w:val="18"/>
        </w:rPr>
        <w:t>Hackathon Planning Pack | 06 September 2026</w:t>
      </w:r>
    </w:p>
    <w:p>
      <w:pPr>
        <w:pStyle w:val="SmallNote"/>
      </w:pPr>
      <w:r>
        <w:t>Source basis: Oil India Limited Problem Statement 26121, “eRTMAC-NWIS (Nearby Wells Intelligence System): An AI-Powered Offset Well Knowledge and Decision Support Platform for Drilling Operations”. The source states the desired capabilities and potential internal data sources; it does not provide a dataset link.</w:t>
      </w:r>
    </w:p>
    <w:p>
      <w:pPr>
        <w:pStyle w:val="Heading1"/>
      </w:pPr>
      <w:r>
        <w:t>Recommendation</w:t>
      </w:r>
    </w:p>
    <w:p>
      <w:r>
        <w:t>Proceed with Problem Statement 26121 if the team can commit to a tightly scoped, evidence-first MVP. The problem is highly feasible as a software prototype, while the full production scope is not realistic for a hackathon without approved data, domain support and integration access.</w:t>
      </w:r>
    </w:p>
    <w:p>
      <w:pPr>
        <w:pStyle w:val="Heading1"/>
      </w:pPr>
      <w:r>
        <w:t>Feasibility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7324D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5040"/>
            <w:shd w:fill="17324D"/>
          </w:tcPr>
          <w:p>
            <w:r>
              <w:rPr>
                <w:b/>
                <w:color w:val="FFFFFF"/>
              </w:rPr>
              <w:t>Assessment</w:t>
            </w:r>
          </w:p>
        </w:tc>
      </w:tr>
      <w:tr>
        <w:tc>
          <w:tcPr>
            <w:tcW w:type="dxa" w:w="5040"/>
            <w:vAlign w:val="top"/>
          </w:tcPr>
          <w:p>
            <w:r>
              <w:t>Product feasibility</w:t>
            </w:r>
          </w:p>
        </w:tc>
        <w:tc>
          <w:tcPr>
            <w:tcW w:type="dxa" w:w="5040"/>
            <w:vAlign w:val="top"/>
          </w:tcPr>
          <w:p>
            <w:r>
              <w:t>High for MVP; medium/low for full production platform.</w:t>
            </w:r>
          </w:p>
        </w:tc>
      </w:tr>
      <w:tr>
        <w:tc>
          <w:tcPr>
            <w:tcW w:type="dxa" w:w="5040"/>
            <w:vAlign w:val="top"/>
          </w:tcPr>
          <w:p>
            <w:r>
              <w:t>Technical fit</w:t>
            </w:r>
          </w:p>
        </w:tc>
        <w:tc>
          <w:tcPr>
            <w:tcW w:type="dxa" w:w="5040"/>
            <w:vAlign w:val="top"/>
          </w:tcPr>
          <w:p>
            <w:r>
              <w:t>Strong match for a modern React/FastAPI/PostgreSQL/Python team.</w:t>
            </w:r>
          </w:p>
        </w:tc>
      </w:tr>
      <w:tr>
        <w:tc>
          <w:tcPr>
            <w:tcW w:type="dxa" w:w="5040"/>
            <w:vAlign w:val="top"/>
          </w:tcPr>
          <w:p>
            <w:r>
              <w:t>Data risk</w:t>
            </w:r>
          </w:p>
        </w:tc>
        <w:tc>
          <w:tcPr>
            <w:tcW w:type="dxa" w:w="5040"/>
            <w:vAlign w:val="top"/>
          </w:tcPr>
          <w:p>
            <w:r>
              <w:t>Highest unknown; no dataset link is provided in the supplied statement.</w:t>
            </w:r>
          </w:p>
        </w:tc>
      </w:tr>
      <w:tr>
        <w:tc>
          <w:tcPr>
            <w:tcW w:type="dxa" w:w="5040"/>
            <w:vAlign w:val="top"/>
          </w:tcPr>
          <w:p>
            <w:r>
              <w:t>AI feasibility</w:t>
            </w:r>
          </w:p>
        </w:tc>
        <w:tc>
          <w:tcPr>
            <w:tcW w:type="dxa" w:w="5040"/>
            <w:vAlign w:val="top"/>
          </w:tcPr>
          <w:p>
            <w:r>
              <w:t>High for extraction/RAG; moderate for trustworthy prediction.</w:t>
            </w:r>
          </w:p>
        </w:tc>
      </w:tr>
      <w:tr>
        <w:tc>
          <w:tcPr>
            <w:tcW w:type="dxa" w:w="5040"/>
            <w:vAlign w:val="top"/>
          </w:tcPr>
          <w:p>
            <w:r>
              <w:t>Integration feasibility</w:t>
            </w:r>
          </w:p>
        </w:tc>
        <w:tc>
          <w:tcPr>
            <w:tcW w:type="dxa" w:w="5040"/>
            <w:vAlign w:val="top"/>
          </w:tcPr>
          <w:p>
            <w:r>
              <w:t>Low during hackathon unless OIL exposes an approved interface.</w:t>
            </w:r>
          </w:p>
        </w:tc>
      </w:tr>
      <w:tr>
        <w:tc>
          <w:tcPr>
            <w:tcW w:type="dxa" w:w="5040"/>
            <w:vAlign w:val="top"/>
          </w:tcPr>
          <w:p>
            <w:r>
              <w:t>Selection potential</w:t>
            </w:r>
          </w:p>
        </w:tc>
        <w:tc>
          <w:tcPr>
            <w:tcW w:type="dxa" w:w="5040"/>
            <w:vAlign w:val="top"/>
          </w:tcPr>
          <w:p>
            <w:r>
              <w:t>High when the demo proves a single end-to-end “history repeats here” workflow.</w:t>
            </w:r>
          </w:p>
        </w:tc>
      </w:tr>
    </w:tbl>
    <w:p/>
    <w:p>
      <w:pPr>
        <w:pStyle w:val="Heading1"/>
      </w:pPr>
      <w:r>
        <w:t>What Must Be True to Be Competitive</w:t>
      </w:r>
    </w:p>
    <w:p>
      <w:pPr>
        <w:pStyle w:val="ListBullet"/>
      </w:pPr>
      <w:r>
        <w:t>The demo must show a meaningful event pattern, not only a chatbot.</w:t>
      </w:r>
    </w:p>
    <w:p>
      <w:pPr>
        <w:pStyle w:val="ListBullet"/>
      </w:pPr>
      <w:r>
        <w:t>Every alert must have visible evidence.</w:t>
      </w:r>
    </w:p>
    <w:p>
      <w:pPr>
        <w:pStyle w:val="ListBullet"/>
      </w:pPr>
      <w:r>
        <w:t>The risk score must be explainable.</w:t>
      </w:r>
    </w:p>
    <w:p>
      <w:pPr>
        <w:pStyle w:val="ListBullet"/>
      </w:pPr>
      <w:r>
        <w:t>The system should degrade gracefully when AI is unavailable.</w:t>
      </w:r>
    </w:p>
    <w:p>
      <w:pPr>
        <w:pStyle w:val="ListBullet"/>
      </w:pPr>
      <w:r>
        <w:t>The team must be honest about synthetic data and prototype limitations.</w:t>
      </w:r>
    </w:p>
    <w:p>
      <w:pPr>
        <w:pStyle w:val="Heading1"/>
      </w:pPr>
      <w:r>
        <w:t>Do Not Overbuild</w:t>
      </w:r>
    </w:p>
    <w:p>
      <w:r>
        <w:t>Do not make direct eRTMAC integration, production-grade predictive accuracy or automated drilling control a dependency for selection. Those belong in the roadmap.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eRTMAC-NWIS | Internal working document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673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E5D6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