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60" w:lineRule="auto"/>
        <w:jc w:val="center"/>
      </w:pPr>
      <w:r>
        <w:rPr>
          <w:rFonts w:ascii="Times New Roman" w:hAnsi="Times New Roman"/>
          <w:b/>
          <w:i w:val="0"/>
          <w:color w:val="000000"/>
          <w:sz w:val="30"/>
        </w:rPr>
        <w:t>AEMIIF: AGENTIC EXPLAINABLE MULTI-AGENT INVENTORY INTELLIGENCE FRAMEWORK FOR AUTONOMOUS SUPPLY CHAIN OPTIMIZATION</w:t>
      </w:r>
    </w:p>
    <w:p>
      <w:pPr>
        <w:spacing w:before="240" w:after="480" w:line="360" w:lineRule="auto"/>
        <w:jc w:val="center"/>
      </w:pPr>
      <w:r>
        <w:rPr>
          <w:rFonts w:ascii="Times New Roman" w:hAnsi="Times New Roman"/>
          <w:b/>
          <w:i w:val="0"/>
          <w:color w:val="000000"/>
          <w:sz w:val="26"/>
        </w:rPr>
        <w:t>PROJECT PHASE I REPORT</w:t>
      </w:r>
    </w:p>
    <w:p>
      <w:pPr>
        <w:spacing w:before="240" w:after="240" w:line="360" w:lineRule="auto"/>
        <w:jc w:val="center"/>
      </w:pPr>
      <w:r>
        <w:rPr>
          <w:rFonts w:ascii="Times New Roman" w:hAnsi="Times New Roman"/>
          <w:b w:val="0"/>
          <w:i/>
          <w:color w:val="000000"/>
          <w:sz w:val="24"/>
        </w:rPr>
        <w:t>Submitted by</w:t>
      </w:r>
    </w:p>
    <w:tbl>
      <w:tblPr>
        <w:tblW w:type="auto" w:w="0"/>
        <w:jc w:val="center"/>
        <w:tblLook w:firstColumn="1" w:firstRow="1" w:lastColumn="0" w:lastRow="0" w:noHBand="0" w:noVBand="1" w:val="04A0"/>
      </w:tblPr>
      <w:tblGrid>
        <w:gridCol w:w="4500"/>
        <w:gridCol w:w="4500"/>
      </w:tblGrid>
      <w:tr>
        <w:tc>
          <w:tcPr>
            <w:tcW w:type="dxa" w:w="4500"/>
          </w:tcPr>
          <w:p>
            <w:pPr>
              <w:spacing w:after="80"/>
              <w:jc w:val="left"/>
            </w:pPr>
            <w:r>
              <w:rPr>
                <w:b/>
              </w:rPr>
              <w:t>JAYANESH D</w:t>
            </w:r>
          </w:p>
        </w:tc>
        <w:tc>
          <w:tcPr>
            <w:tcW w:type="dxa" w:w="4500"/>
          </w:tcPr>
          <w:p>
            <w:pPr>
              <w:spacing w:after="80"/>
              <w:jc w:val="right"/>
            </w:pPr>
            <w:r>
              <w:rPr>
                <w:b/>
              </w:rPr>
              <w:t>2116221801020</w:t>
            </w:r>
          </w:p>
        </w:tc>
      </w:tr>
      <w:tr>
        <w:tc>
          <w:tcPr>
            <w:tcW w:type="dxa" w:w="4500"/>
          </w:tcPr>
          <w:p>
            <w:pPr>
              <w:spacing w:after="80"/>
              <w:jc w:val="left"/>
            </w:pPr>
            <w:r>
              <w:rPr>
                <w:b/>
              </w:rPr>
              <w:t>ATMAKURU SIVA SANDEEP</w:t>
            </w:r>
          </w:p>
        </w:tc>
        <w:tc>
          <w:tcPr>
            <w:tcW w:type="dxa" w:w="4500"/>
          </w:tcPr>
          <w:p>
            <w:pPr>
              <w:spacing w:after="80"/>
              <w:jc w:val="right"/>
            </w:pPr>
            <w:r>
              <w:rPr>
                <w:b/>
              </w:rPr>
              <w:t>2116221801501</w:t>
            </w:r>
          </w:p>
        </w:tc>
      </w:tr>
      <w:tr>
        <w:tc>
          <w:tcPr>
            <w:tcW w:type="dxa" w:w="4500"/>
          </w:tcPr>
          <w:p>
            <w:pPr>
              <w:spacing w:after="80"/>
              <w:jc w:val="left"/>
            </w:pPr>
            <w:r>
              <w:rPr>
                <w:b/>
              </w:rPr>
              <w:t>BUVANKALYAN P</w:t>
            </w:r>
          </w:p>
        </w:tc>
        <w:tc>
          <w:tcPr>
            <w:tcW w:type="dxa" w:w="4500"/>
          </w:tcPr>
          <w:p>
            <w:pPr>
              <w:spacing w:after="80"/>
              <w:jc w:val="right"/>
            </w:pPr>
            <w:r>
              <w:rPr>
                <w:b/>
              </w:rPr>
              <w:t>2116221801506</w:t>
            </w:r>
          </w:p>
        </w:tc>
      </w:tr>
    </w:tbl>
    <w:p>
      <w:pPr>
        <w:spacing w:before="360" w:after="240" w:line="360" w:lineRule="auto"/>
        <w:jc w:val="both"/>
      </w:pPr>
    </w:p>
    <w:p>
      <w:pPr>
        <w:spacing w:before="0" w:after="120" w:line="360" w:lineRule="auto"/>
        <w:jc w:val="center"/>
      </w:pPr>
      <w:r>
        <w:rPr>
          <w:rFonts w:ascii="Times New Roman" w:hAnsi="Times New Roman"/>
          <w:b w:val="0"/>
          <w:i/>
          <w:color w:val="000000"/>
          <w:sz w:val="24"/>
        </w:rPr>
        <w:t>in partial fulfilment for the award of the degree of</w:t>
      </w:r>
    </w:p>
    <w:p>
      <w:pPr>
        <w:spacing w:before="0" w:after="120" w:line="360" w:lineRule="auto"/>
        <w:jc w:val="center"/>
      </w:pPr>
      <w:r>
        <w:rPr>
          <w:rFonts w:ascii="Times New Roman" w:hAnsi="Times New Roman"/>
          <w:b/>
          <w:i w:val="0"/>
          <w:color w:val="000000"/>
          <w:sz w:val="26"/>
        </w:rPr>
        <w:t>BACHELOR OF TECHNOLOGY</w:t>
      </w:r>
    </w:p>
    <w:p>
      <w:pPr>
        <w:spacing w:before="0" w:after="120" w:line="360" w:lineRule="auto"/>
        <w:jc w:val="center"/>
      </w:pPr>
      <w:r>
        <w:rPr>
          <w:rFonts w:ascii="Times New Roman" w:hAnsi="Times New Roman"/>
          <w:b w:val="0"/>
          <w:i/>
          <w:color w:val="000000"/>
          <w:sz w:val="24"/>
        </w:rPr>
        <w:t>in</w:t>
      </w:r>
    </w:p>
    <w:p>
      <w:pPr>
        <w:spacing w:before="0" w:after="120" w:line="360" w:lineRule="auto"/>
        <w:jc w:val="center"/>
      </w:pPr>
      <w:r>
        <w:rPr>
          <w:rFonts w:ascii="Times New Roman" w:hAnsi="Times New Roman"/>
          <w:b/>
          <w:i w:val="0"/>
          <w:color w:val="000000"/>
          <w:sz w:val="26"/>
        </w:rPr>
        <w:t>ARTIFICIAL INTELLIGENCE AND DATA SCIENCE</w:t>
      </w:r>
    </w:p>
    <w:p>
      <w:pPr>
        <w:spacing w:before="480" w:after="240" w:line="360" w:lineRule="auto"/>
        <w:jc w:val="both"/>
      </w:pPr>
    </w:p>
    <w:p>
      <w:pPr>
        <w:spacing w:before="0" w:after="120" w:line="360" w:lineRule="auto"/>
        <w:jc w:val="center"/>
      </w:pPr>
      <w:r>
        <w:rPr>
          <w:rFonts w:ascii="Times New Roman" w:hAnsi="Times New Roman"/>
          <w:b/>
          <w:i w:val="0"/>
          <w:color w:val="000000"/>
          <w:sz w:val="24"/>
        </w:rPr>
        <w:t>RAJALAKSHMI ENGINEERING COLLEGE (AUTONOMOUS), CHENNAI – 602 105</w:t>
      </w:r>
    </w:p>
    <w:p>
      <w:pPr>
        <w:spacing w:before="0" w:after="120" w:line="360" w:lineRule="auto"/>
        <w:jc w:val="center"/>
      </w:pPr>
      <w:r>
        <w:rPr>
          <w:rFonts w:ascii="Times New Roman" w:hAnsi="Times New Roman"/>
          <w:b/>
          <w:i w:val="0"/>
          <w:color w:val="000000"/>
          <w:sz w:val="24"/>
        </w:rPr>
        <w:t>ANNA UNIVERSITY: CHENNAI 600 025</w:t>
      </w:r>
    </w:p>
    <w:p>
      <w:pPr>
        <w:spacing w:before="360" w:after="120" w:line="360" w:lineRule="auto"/>
        <w:jc w:val="center"/>
      </w:pPr>
      <w:r>
        <w:rPr>
          <w:rFonts w:ascii="Times New Roman" w:hAnsi="Times New Roman"/>
          <w:b/>
          <w:i w:val="0"/>
          <w:color w:val="000000"/>
          <w:sz w:val="24"/>
        </w:rPr>
        <w:t>MARCH 2026</w:t>
      </w:r>
    </w:p>
    <w:p>
      <w:r>
        <w:br w:type="page"/>
      </w:r>
    </w:p>
    <w:p>
      <w:pPr>
        <w:spacing w:before="0" w:after="120" w:line="360" w:lineRule="auto"/>
        <w:jc w:val="right"/>
      </w:pPr>
      <w:r>
        <w:rPr>
          <w:rFonts w:ascii="Times New Roman" w:hAnsi="Times New Roman"/>
          <w:b w:val="0"/>
          <w:i w:val="0"/>
          <w:color w:val="000000"/>
          <w:sz w:val="20"/>
        </w:rPr>
        <w:t>i</w:t>
      </w:r>
    </w:p>
    <w:p>
      <w:pPr>
        <w:spacing w:before="240" w:after="360" w:line="360" w:lineRule="auto"/>
        <w:jc w:val="center"/>
      </w:pPr>
      <w:r>
        <w:rPr>
          <w:rFonts w:ascii="Times New Roman" w:hAnsi="Times New Roman"/>
          <w:b/>
          <w:i w:val="0"/>
          <w:color w:val="000000"/>
          <w:sz w:val="28"/>
        </w:rPr>
        <w:t>BONAFIDE CERTIFICATE</w:t>
      </w:r>
    </w:p>
    <w:p>
      <w:pPr>
        <w:spacing w:before="0" w:after="480" w:line="360" w:lineRule="auto"/>
        <w:jc w:val="both"/>
      </w:pPr>
      <w:r>
        <w:rPr>
          <w:rFonts w:ascii="Times New Roman" w:hAnsi="Times New Roman"/>
          <w:b w:val="0"/>
          <w:i w:val="0"/>
          <w:color w:val="000000"/>
          <w:sz w:val="24"/>
        </w:rPr>
        <w:t>Certified that this Report titled “AEMIIF: AGENTIC EXPLAINABLE MULTI-AGENT INVENTORY INTELLIGENCE FRAMEWORK FOR AUTONOMOUS SUPPLY CHAIN OPTIMIZATION” is the bonafide work of “JAYANESH D (2116221801020), ATMAKURU SIVA SANDEEP (2116221801501), and BUVANKALYAN P (2116221801506)”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tbl>
      <w:tblPr>
        <w:tblW w:type="auto" w:w="0"/>
        <w:jc w:val="center"/>
        <w:tblLook w:firstColumn="1" w:firstRow="1" w:lastColumn="0" w:lastRow="0" w:noHBand="0" w:noVBand="1" w:val="04A0"/>
      </w:tblPr>
      <w:tblGrid>
        <w:gridCol w:w="4500"/>
        <w:gridCol w:w="4500"/>
      </w:tblGrid>
      <w:tr>
        <w:tc>
          <w:tcPr>
            <w:tcW w:type="dxa" w:w="4500"/>
          </w:tcPr>
          <w:p>
            <w:pPr>
              <w:jc w:val="left"/>
            </w:pPr>
            <w:r>
              <w:rPr>
                <w:b/>
              </w:rPr>
              <w:t>SIGNATURE</w:t>
              <w:br/>
              <w:br/>
              <w:br/>
              <w:br/>
              <w:t>Dr. S. Suresh Kumar M.E., Ph.D.,</w:t>
              <w:br/>
              <w:t>Professor &amp; Project Guide,</w:t>
              <w:br/>
              <w:t>Department of Artificial Intelligence</w:t>
              <w:br/>
              <w:t>and Data Science,</w:t>
              <w:br/>
              <w:t>Rajalakshmi Engineering College,</w:t>
              <w:br/>
              <w:t>Thandalam – 602 105.</w:t>
            </w:r>
          </w:p>
        </w:tc>
        <w:tc>
          <w:tcPr>
            <w:tcW w:type="dxa" w:w="4500"/>
          </w:tcPr>
          <w:p>
            <w:pPr>
              <w:jc w:val="left"/>
            </w:pPr>
            <w:r>
              <w:rPr>
                <w:b/>
              </w:rPr>
              <w:t>SIGNATURE</w:t>
              <w:br/>
              <w:br/>
              <w:br/>
              <w:br/>
              <w:t>Dr. J.M. Gnanasekar M.E., Ph.D.,</w:t>
              <w:br/>
              <w:t>Professor and Head,</w:t>
              <w:br/>
              <w:t>Department of Artificial Intelligence</w:t>
              <w:br/>
              <w:t>and Data Science,</w:t>
              <w:br/>
              <w:t>Rajalakshmi Engineering College,</w:t>
              <w:br/>
              <w:t>Thandalam – 602 105.</w:t>
            </w:r>
          </w:p>
        </w:tc>
      </w:tr>
    </w:tbl>
    <w:p>
      <w:pPr>
        <w:spacing w:before="720" w:after="240" w:line="360" w:lineRule="auto"/>
        <w:jc w:val="both"/>
      </w:pPr>
    </w:p>
    <w:p>
      <w:pPr>
        <w:spacing w:before="360" w:after="480" w:line="360" w:lineRule="auto"/>
        <w:jc w:val="left"/>
      </w:pPr>
      <w:r>
        <w:rPr>
          <w:rFonts w:ascii="Times New Roman" w:hAnsi="Times New Roman"/>
          <w:b w:val="0"/>
          <w:i w:val="0"/>
          <w:color w:val="000000"/>
          <w:sz w:val="24"/>
        </w:rPr>
        <w:t>Submitted to Project Viva-Voce Examination held on ____________________</w:t>
      </w:r>
    </w:p>
    <w:tbl>
      <w:tblPr>
        <w:tblW w:type="auto" w:w="0"/>
        <w:jc w:val="center"/>
        <w:tblLook w:firstColumn="1" w:firstRow="1" w:lastColumn="0" w:lastRow="0" w:noHBand="0" w:noVBand="1" w:val="04A0"/>
      </w:tblPr>
      <w:tblGrid>
        <w:gridCol w:w="4500"/>
        <w:gridCol w:w="4500"/>
      </w:tblGrid>
      <w:tr>
        <w:tc>
          <w:tcPr>
            <w:tcW w:type="dxa" w:w="4500"/>
          </w:tcPr>
          <w:p>
            <w:pPr>
              <w:jc w:val="left"/>
            </w:pPr>
            <w:r>
              <w:rPr>
                <w:b/>
              </w:rPr>
              <w:t>Internal Examiner</w:t>
            </w:r>
          </w:p>
        </w:tc>
        <w:tc>
          <w:tcPr>
            <w:tcW w:type="dxa" w:w="4500"/>
          </w:tcPr>
          <w:p>
            <w:pPr>
              <w:jc w:val="right"/>
            </w:pPr>
            <w:r>
              <w:rPr>
                <w:b/>
              </w:rPr>
              <w:t>External Examiner</w:t>
            </w:r>
          </w:p>
        </w:tc>
      </w:tr>
    </w:tbl>
    <w:p>
      <w:r>
        <w:br w:type="page"/>
      </w:r>
    </w:p>
    <w:p>
      <w:pPr>
        <w:spacing w:before="0" w:after="120" w:line="360" w:lineRule="auto"/>
        <w:jc w:val="right"/>
      </w:pPr>
      <w:r>
        <w:rPr>
          <w:rFonts w:ascii="Times New Roman" w:hAnsi="Times New Roman"/>
          <w:b w:val="0"/>
          <w:i w:val="0"/>
          <w:color w:val="000000"/>
          <w:sz w:val="20"/>
        </w:rPr>
        <w:t>ii</w:t>
      </w:r>
    </w:p>
    <w:p>
      <w:pPr>
        <w:spacing w:before="240" w:after="240" w:line="360" w:lineRule="auto"/>
        <w:jc w:val="center"/>
      </w:pPr>
      <w:r>
        <w:rPr>
          <w:rFonts w:ascii="Times New Roman" w:hAnsi="Times New Roman"/>
          <w:b/>
          <w:i w:val="0"/>
          <w:color w:val="000000"/>
          <w:sz w:val="26"/>
        </w:rPr>
        <w:t>DEPARTMENT VISION</w:t>
      </w:r>
    </w:p>
    <w:p>
      <w:pPr>
        <w:spacing w:before="0" w:after="360" w:line="360" w:lineRule="auto"/>
        <w:jc w:val="both"/>
      </w:pPr>
      <w:r>
        <w:rPr>
          <w:rFonts w:ascii="Times New Roman" w:hAnsi="Times New Roman"/>
          <w:b w:val="0"/>
          <w:i w:val="0"/>
          <w:color w:val="000000"/>
          <w:sz w:val="24"/>
        </w:rPr>
        <w:t>To become a global leader in Artificial Intelligence and Data Science by achieving through excellence in teaching, training, and research, to serve the society.</w:t>
      </w:r>
    </w:p>
    <w:p>
      <w:pPr>
        <w:spacing w:before="240" w:after="240" w:line="360" w:lineRule="auto"/>
        <w:jc w:val="center"/>
      </w:pPr>
      <w:r>
        <w:rPr>
          <w:rFonts w:ascii="Times New Roman" w:hAnsi="Times New Roman"/>
          <w:b/>
          <w:i w:val="0"/>
          <w:color w:val="000000"/>
          <w:sz w:val="26"/>
        </w:rPr>
        <w:t>DEPARTMENT MISSION</w:t>
      </w:r>
    </w:p>
    <w:p>
      <w:pPr>
        <w:spacing w:before="0" w:after="120" w:line="360" w:lineRule="auto"/>
        <w:jc w:val="both"/>
      </w:pPr>
      <w:r>
        <w:rPr>
          <w:rFonts w:ascii="Times New Roman" w:hAnsi="Times New Roman"/>
          <w:b w:val="0"/>
          <w:i w:val="0"/>
          <w:color w:val="000000"/>
          <w:sz w:val="24"/>
        </w:rPr>
        <w:t>• To develop students' skills in innovation, problem-solving, and professionalism through the guidance of well-trained faculty.</w:t>
      </w:r>
    </w:p>
    <w:p>
      <w:pPr>
        <w:spacing w:before="0" w:after="120" w:line="360" w:lineRule="auto"/>
        <w:jc w:val="both"/>
      </w:pPr>
      <w:r>
        <w:rPr>
          <w:rFonts w:ascii="Times New Roman" w:hAnsi="Times New Roman"/>
          <w:b w:val="0"/>
          <w:i w:val="0"/>
          <w:color w:val="000000"/>
          <w:sz w:val="24"/>
        </w:rPr>
        <w:t>• To encourage research activities among students and faculty members to address the evolving challenges of industry and society.</w:t>
      </w:r>
    </w:p>
    <w:p>
      <w:pPr>
        <w:spacing w:before="0" w:after="360" w:line="360" w:lineRule="auto"/>
        <w:jc w:val="both"/>
      </w:pPr>
      <w:r>
        <w:rPr>
          <w:rFonts w:ascii="Times New Roman" w:hAnsi="Times New Roman"/>
          <w:b w:val="0"/>
          <w:i w:val="0"/>
          <w:color w:val="000000"/>
          <w:sz w:val="24"/>
        </w:rPr>
        <w:t>• To impart qualities such as moral and ethical values, along with a commitment to lifelong learning.</w:t>
      </w:r>
    </w:p>
    <w:p>
      <w:pPr>
        <w:spacing w:before="240" w:after="240" w:line="360" w:lineRule="auto"/>
        <w:jc w:val="center"/>
      </w:pPr>
      <w:r>
        <w:rPr>
          <w:rFonts w:ascii="Times New Roman" w:hAnsi="Times New Roman"/>
          <w:b/>
          <w:i w:val="0"/>
          <w:color w:val="000000"/>
          <w:sz w:val="26"/>
        </w:rPr>
        <w:t>PROGRAMME EDUCATIONAL OBJECTIVES (PEOs)</w:t>
      </w:r>
    </w:p>
    <w:p>
      <w:pPr>
        <w:spacing w:before="0" w:after="120" w:line="360" w:lineRule="auto"/>
        <w:jc w:val="both"/>
      </w:pPr>
      <w:r>
        <w:rPr>
          <w:rFonts w:ascii="Times New Roman" w:hAnsi="Times New Roman"/>
          <w:b w:val="0"/>
          <w:i w:val="0"/>
          <w:color w:val="000000"/>
          <w:sz w:val="24"/>
        </w:rPr>
        <w:t>PEO 1: Build a successful professional career across industry, government, and academia by leveraging technology to develop innovative solutions for real-world problems.</w:t>
      </w:r>
    </w:p>
    <w:p>
      <w:pPr>
        <w:spacing w:before="0" w:after="120" w:line="360" w:lineRule="auto"/>
        <w:jc w:val="both"/>
      </w:pPr>
      <w:r>
        <w:rPr>
          <w:rFonts w:ascii="Times New Roman" w:hAnsi="Times New Roman"/>
          <w:b w:val="0"/>
          <w:i w:val="0"/>
          <w:color w:val="000000"/>
          <w:sz w:val="24"/>
        </w:rPr>
        <w:t>PEO 2: Maintain a learning mindset to continuously enhance knowledge through experience, formal education, and informal learning opportunities.</w:t>
      </w:r>
    </w:p>
    <w:p>
      <w:pPr>
        <w:spacing w:before="0" w:after="120" w:line="360" w:lineRule="auto"/>
        <w:jc w:val="both"/>
      </w:pPr>
      <w:r>
        <w:rPr>
          <w:rFonts w:ascii="Times New Roman" w:hAnsi="Times New Roman"/>
          <w:b w:val="0"/>
          <w:i w:val="0"/>
          <w:color w:val="000000"/>
          <w:sz w:val="24"/>
        </w:rPr>
        <w:t>PEO 3: Demonstrate an ethical attitude while excelling in communication, management, teamwork, and leadership skills.</w:t>
      </w:r>
    </w:p>
    <w:p>
      <w:pPr>
        <w:spacing w:before="0" w:after="360" w:line="360" w:lineRule="auto"/>
        <w:jc w:val="both"/>
      </w:pPr>
      <w:r>
        <w:rPr>
          <w:rFonts w:ascii="Times New Roman" w:hAnsi="Times New Roman"/>
          <w:b w:val="0"/>
          <w:i w:val="0"/>
          <w:color w:val="000000"/>
          <w:sz w:val="24"/>
        </w:rPr>
        <w:t>PEO 4: Utilize engineering, problem-solving, and critical thinking skills to drive social, economic, and sustainable impact.</w:t>
      </w:r>
    </w:p>
    <w:p>
      <w:r>
        <w:br w:type="page"/>
      </w:r>
    </w:p>
    <w:p>
      <w:pPr>
        <w:spacing w:before="0" w:after="120" w:line="360" w:lineRule="auto"/>
        <w:jc w:val="right"/>
      </w:pPr>
      <w:r>
        <w:rPr>
          <w:rFonts w:ascii="Times New Roman" w:hAnsi="Times New Roman"/>
          <w:b w:val="0"/>
          <w:i w:val="0"/>
          <w:color w:val="000000"/>
          <w:sz w:val="20"/>
        </w:rPr>
        <w:t>iii</w:t>
      </w:r>
    </w:p>
    <w:p>
      <w:pPr>
        <w:spacing w:before="240" w:after="240" w:line="360" w:lineRule="auto"/>
        <w:jc w:val="center"/>
      </w:pPr>
      <w:r>
        <w:rPr>
          <w:rFonts w:ascii="Times New Roman" w:hAnsi="Times New Roman"/>
          <w:b/>
          <w:i w:val="0"/>
          <w:color w:val="000000"/>
          <w:sz w:val="26"/>
        </w:rPr>
        <w:t>PROGRAMME OUTCOMES (POs)</w:t>
      </w:r>
    </w:p>
    <w:p>
      <w:pPr>
        <w:spacing w:after="80"/>
        <w:jc w:val="both"/>
      </w:pPr>
      <w:r>
        <w:rPr>
          <w:b/>
        </w:rPr>
        <w:t xml:space="preserve">PO1: Engineering Knowledge: </w:t>
      </w:r>
      <w:r>
        <w:t>Apply the knowledge of mathematics, science, engineering fundamentals and an engineering specialization to the solution of complex engineering problems.</w:t>
      </w:r>
    </w:p>
    <w:p>
      <w:pPr>
        <w:spacing w:after="80"/>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pPr>
        <w:spacing w:after="80"/>
        <w:jc w:val="both"/>
      </w:pPr>
      <w:r>
        <w:rPr>
          <w:b/>
        </w:rPr>
        <w:t xml:space="preserve">PO3: Design / Development of solutions: </w:t>
      </w:r>
      <w:r>
        <w:t>Design solutions for complex engineering problems and design system components or processes that meet the specified needs with appropriate consideration for the public health and safety, and the cultural, societal, and environmental considerations.</w:t>
      </w:r>
    </w:p>
    <w:p>
      <w:pPr>
        <w:spacing w:after="80"/>
        <w:jc w:val="both"/>
      </w:pPr>
      <w:r>
        <w:rPr>
          <w:b/>
        </w:rPr>
        <w:t xml:space="preserve">PO4: Conduct investigations of complex problems: </w:t>
      </w:r>
      <w:r>
        <w:t>Use research-based knowledge and research methods including design of experiments, analysis and interpretation of data, and synthesis of the information to provide valid conclusions.</w:t>
      </w:r>
    </w:p>
    <w:p>
      <w:pPr>
        <w:spacing w:after="80"/>
        <w:jc w:val="both"/>
      </w:pPr>
      <w:r>
        <w:rPr>
          <w:b/>
        </w:rPr>
        <w:t xml:space="preserve">PO5: Modern tool usage: </w:t>
      </w:r>
      <w:r>
        <w:t>Create, select, and apply appropriate techniques, resources, and modern engineering and IT tools including prediction and modeling to complex engineering activities with an understanding of the limitations.</w:t>
      </w:r>
    </w:p>
    <w:p>
      <w:pPr>
        <w:spacing w:after="80"/>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pPr>
        <w:spacing w:after="80"/>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pPr>
        <w:spacing w:after="80"/>
        <w:jc w:val="both"/>
      </w:pPr>
      <w:r>
        <w:rPr>
          <w:b/>
        </w:rPr>
        <w:t xml:space="preserve">PO8: Ethics: </w:t>
      </w:r>
      <w:r>
        <w:t>Apply ethical principles and commit to professional ethics and responsibilities and norms of the engineering practice.</w:t>
      </w:r>
    </w:p>
    <w:p>
      <w:pPr>
        <w:spacing w:after="80"/>
        <w:jc w:val="both"/>
      </w:pPr>
      <w:r>
        <w:rPr>
          <w:b/>
        </w:rPr>
        <w:t xml:space="preserve">PO9: Individual and team work: </w:t>
      </w:r>
      <w:r>
        <w:t>Function effectively as an individual and as a member or leader in diverse teams, and in multidisciplinary settings.</w:t>
      </w:r>
    </w:p>
    <w:p>
      <w:pPr>
        <w:spacing w:after="80"/>
        <w:jc w:val="both"/>
      </w:pPr>
      <w:r>
        <w:rPr>
          <w:b/>
        </w:rPr>
        <w:t xml:space="preserve">PO10: 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after="80"/>
        <w:jc w:val="both"/>
      </w:pPr>
      <w:r>
        <w:rPr>
          <w:b/>
        </w:rPr>
        <w:t xml:space="preserve">PO11: Project management and finance: </w:t>
      </w:r>
      <w:r>
        <w:t>Demonstrate knowledge and understanding of the engineering management principles and apply these to one's own work, as a member and leader in a team, to manage projects and in multidisciplinary environments.</w:t>
      </w:r>
    </w:p>
    <w:p>
      <w:pPr>
        <w:spacing w:after="80"/>
        <w:jc w:val="both"/>
      </w:pPr>
      <w:r>
        <w:rPr>
          <w:b/>
        </w:rPr>
        <w:t xml:space="preserve">PO12: Life-long learning: </w:t>
      </w:r>
      <w:r>
        <w:t>Recognize the need for and have the preparation and ability to engage in independent and lifelong learning in the broadest context of technological change.</w:t>
      </w:r>
    </w:p>
    <w:p>
      <w:r>
        <w:br w:type="page"/>
      </w:r>
    </w:p>
    <w:p>
      <w:pPr>
        <w:spacing w:before="0" w:after="120" w:line="360" w:lineRule="auto"/>
        <w:jc w:val="right"/>
      </w:pPr>
      <w:r>
        <w:rPr>
          <w:rFonts w:ascii="Times New Roman" w:hAnsi="Times New Roman"/>
          <w:b w:val="0"/>
          <w:i w:val="0"/>
          <w:color w:val="000000"/>
          <w:sz w:val="20"/>
        </w:rPr>
        <w:t>iv</w:t>
      </w:r>
    </w:p>
    <w:p>
      <w:pPr>
        <w:spacing w:before="240" w:after="240" w:line="360" w:lineRule="auto"/>
        <w:jc w:val="center"/>
      </w:pPr>
      <w:r>
        <w:rPr>
          <w:rFonts w:ascii="Times New Roman" w:hAnsi="Times New Roman"/>
          <w:b/>
          <w:i w:val="0"/>
          <w:color w:val="000000"/>
          <w:sz w:val="26"/>
        </w:rPr>
        <w:t>PROGRAM SPECIFIC OUTCOMES (PSOs)</w:t>
      </w:r>
    </w:p>
    <w:p>
      <w:pPr>
        <w:spacing w:before="0" w:after="160" w:line="360" w:lineRule="auto"/>
        <w:jc w:val="both"/>
      </w:pPr>
      <w:r>
        <w:rPr>
          <w:rFonts w:ascii="Times New Roman" w:hAnsi="Times New Roman"/>
          <w:b w:val="0"/>
          <w:i w:val="0"/>
          <w:color w:val="000000"/>
          <w:sz w:val="24"/>
        </w:rPr>
        <w:t>A graduate of the Artificial Intelligence and Data Science Learning Program will demonstrate:</w:t>
      </w:r>
    </w:p>
    <w:p>
      <w:pPr>
        <w:spacing w:before="0" w:after="120" w:line="360" w:lineRule="auto"/>
        <w:jc w:val="both"/>
      </w:pPr>
      <w:r>
        <w:rPr>
          <w:rFonts w:ascii="Times New Roman" w:hAnsi="Times New Roman"/>
          <w:b w:val="0"/>
          <w:i w:val="0"/>
          <w:color w:val="000000"/>
          <w:sz w:val="24"/>
        </w:rPr>
        <w:t>PSO 1: Foundation Skills: Apply the principles of artificial intelligence and data science by leveraging problem-solving skills, inference, perception, knowledge representation, and learning techniques.</w:t>
      </w:r>
    </w:p>
    <w:p>
      <w:pPr>
        <w:spacing w:before="0" w:after="120" w:line="360" w:lineRule="auto"/>
        <w:jc w:val="both"/>
      </w:pPr>
      <w:r>
        <w:rPr>
          <w:rFonts w:ascii="Times New Roman" w:hAnsi="Times New Roman"/>
          <w:b w:val="0"/>
          <w:i w:val="0"/>
          <w:color w:val="000000"/>
          <w:sz w:val="24"/>
        </w:rPr>
        <w:t>PSO 2: Problem-Solving Skills: Apply engineering principles and AI models to solve real-world problems across domains, delivering cutting-edge solutions through innovative ideas and methodologies.</w:t>
      </w:r>
    </w:p>
    <w:p>
      <w:pPr>
        <w:spacing w:before="0" w:after="360" w:line="360" w:lineRule="auto"/>
        <w:jc w:val="both"/>
      </w:pPr>
      <w:r>
        <w:rPr>
          <w:rFonts w:ascii="Times New Roman" w:hAnsi="Times New Roman"/>
          <w:b w:val="0"/>
          <w:i w:val="0"/>
          <w:color w:val="000000"/>
          <w:sz w:val="24"/>
        </w:rPr>
        <w:t>PSO 3: Successful Progression: Utilize interdisciplinary knowledge to identify problems and develop solutions, a passion for advanced studies, innovative career pathways to evolve as an ethically responsible artificial intelligence and data science professional, with a commitment to society.</w:t>
      </w:r>
    </w:p>
    <w:p>
      <w:pPr>
        <w:spacing w:before="240" w:after="240" w:line="360" w:lineRule="auto"/>
        <w:jc w:val="center"/>
      </w:pPr>
      <w:r>
        <w:rPr>
          <w:rFonts w:ascii="Times New Roman" w:hAnsi="Times New Roman"/>
          <w:b/>
          <w:i w:val="0"/>
          <w:color w:val="000000"/>
          <w:sz w:val="26"/>
        </w:rPr>
        <w:t>COURSE OBJECTIVES</w:t>
      </w:r>
    </w:p>
    <w:p>
      <w:pPr>
        <w:spacing w:before="0" w:after="80" w:line="360" w:lineRule="auto"/>
        <w:jc w:val="both"/>
      </w:pPr>
      <w:r>
        <w:rPr>
          <w:rFonts w:ascii="Times New Roman" w:hAnsi="Times New Roman"/>
          <w:b w:val="0"/>
          <w:i w:val="0"/>
          <w:color w:val="000000"/>
          <w:sz w:val="24"/>
        </w:rPr>
        <w:t>• To identify and formulate real-world problems that can be solved using Artificial Intelligence and Data Science techniques.</w:t>
      </w:r>
    </w:p>
    <w:p>
      <w:pPr>
        <w:spacing w:before="0" w:after="80" w:line="360" w:lineRule="auto"/>
        <w:jc w:val="both"/>
      </w:pPr>
      <w:r>
        <w:rPr>
          <w:rFonts w:ascii="Times New Roman" w:hAnsi="Times New Roman"/>
          <w:b w:val="0"/>
          <w:i w:val="0"/>
          <w:color w:val="000000"/>
          <w:sz w:val="24"/>
        </w:rPr>
        <w:t>• To apply theoretical and practical knowledge of AI &amp; DS for designing innovative, data-driven solutions.</w:t>
      </w:r>
    </w:p>
    <w:p>
      <w:pPr>
        <w:spacing w:before="0" w:after="80" w:line="360" w:lineRule="auto"/>
        <w:jc w:val="both"/>
      </w:pPr>
      <w:r>
        <w:rPr>
          <w:rFonts w:ascii="Times New Roman" w:hAnsi="Times New Roman"/>
          <w:b w:val="0"/>
          <w:i w:val="0"/>
          <w:color w:val="000000"/>
          <w:sz w:val="24"/>
        </w:rPr>
        <w:t>• To integrate various tools, frameworks, and mathematical algorithms to develop, test, and validate AI models.</w:t>
      </w:r>
    </w:p>
    <w:p>
      <w:pPr>
        <w:spacing w:before="0" w:after="80" w:line="360" w:lineRule="auto"/>
        <w:jc w:val="both"/>
      </w:pPr>
      <w:r>
        <w:rPr>
          <w:rFonts w:ascii="Times New Roman" w:hAnsi="Times New Roman"/>
          <w:b w:val="0"/>
          <w:i w:val="0"/>
          <w:color w:val="000000"/>
          <w:sz w:val="24"/>
        </w:rPr>
        <w:t>• To demonstrate effective teamwork, project management, and communication skills through collaborative project execution.</w:t>
      </w:r>
    </w:p>
    <w:p>
      <w:pPr>
        <w:spacing w:before="0" w:after="360" w:line="360" w:lineRule="auto"/>
        <w:jc w:val="both"/>
      </w:pPr>
      <w:r>
        <w:rPr>
          <w:rFonts w:ascii="Times New Roman" w:hAnsi="Times New Roman"/>
          <w:b w:val="0"/>
          <w:i w:val="0"/>
          <w:color w:val="000000"/>
          <w:sz w:val="24"/>
        </w:rPr>
        <w:t>• To instill awareness of ethical, societal, and economic considerations in the design and deployment of intelligent autonomous systems.</w:t>
      </w:r>
    </w:p>
    <w:p>
      <w:pPr>
        <w:spacing w:before="240" w:after="240" w:line="360" w:lineRule="auto"/>
        <w:jc w:val="center"/>
      </w:pPr>
      <w:r>
        <w:rPr>
          <w:rFonts w:ascii="Times New Roman" w:hAnsi="Times New Roman"/>
          <w:b/>
          <w:i w:val="0"/>
          <w:color w:val="000000"/>
          <w:sz w:val="26"/>
        </w:rPr>
        <w:t>COURSE OUTCOMES</w:t>
      </w:r>
    </w:p>
    <w:p>
      <w:pPr>
        <w:spacing w:before="0" w:after="80" w:line="360" w:lineRule="auto"/>
        <w:jc w:val="both"/>
      </w:pPr>
      <w:r>
        <w:rPr>
          <w:rFonts w:ascii="Times New Roman" w:hAnsi="Times New Roman"/>
          <w:b w:val="0"/>
          <w:i w:val="0"/>
          <w:color w:val="000000"/>
          <w:sz w:val="24"/>
        </w:rPr>
        <w:t>CO 1: Analyze and define a real-world supply chain problem by identifying key inventory challenges, constraints, and demand parameters.</w:t>
      </w:r>
    </w:p>
    <w:p>
      <w:pPr>
        <w:spacing w:before="0" w:after="80" w:line="360" w:lineRule="auto"/>
        <w:jc w:val="both"/>
      </w:pPr>
      <w:r>
        <w:rPr>
          <w:rFonts w:ascii="Times New Roman" w:hAnsi="Times New Roman"/>
          <w:b w:val="0"/>
          <w:i w:val="0"/>
          <w:color w:val="000000"/>
          <w:sz w:val="24"/>
        </w:rPr>
        <w:t>CO 2: Conduct a thorough literature review to evaluate existing heuristic and deep learning inventory solutions, identify research gaps, and formulate methodology.</w:t>
      </w:r>
    </w:p>
    <w:p>
      <w:pPr>
        <w:spacing w:before="0" w:after="80" w:line="360" w:lineRule="auto"/>
        <w:jc w:val="both"/>
      </w:pPr>
      <w:r>
        <w:rPr>
          <w:rFonts w:ascii="Times New Roman" w:hAnsi="Times New Roman"/>
          <w:b w:val="0"/>
          <w:i w:val="0"/>
          <w:color w:val="000000"/>
          <w:sz w:val="24"/>
        </w:rPr>
        <w:t>CO 3: Develop a detailed project plan by defining architectural objectives, setting mathematical formulations, and identifying key deliverables.</w:t>
      </w:r>
    </w:p>
    <w:p>
      <w:pPr>
        <w:spacing w:before="0" w:after="80" w:line="360" w:lineRule="auto"/>
        <w:jc w:val="both"/>
      </w:pPr>
      <w:r>
        <w:rPr>
          <w:rFonts w:ascii="Times New Roman" w:hAnsi="Times New Roman"/>
          <w:b w:val="0"/>
          <w:i w:val="0"/>
          <w:color w:val="000000"/>
          <w:sz w:val="24"/>
        </w:rPr>
        <w:t>CO 4: Design and implement a working multi-agent prototype integrating LangGraph, deterministic MILP optimization, and explainable decision interfaces.</w:t>
      </w:r>
    </w:p>
    <w:p>
      <w:pPr>
        <w:spacing w:before="0" w:after="360" w:line="360" w:lineRule="auto"/>
        <w:jc w:val="both"/>
      </w:pPr>
      <w:r>
        <w:rPr>
          <w:rFonts w:ascii="Times New Roman" w:hAnsi="Times New Roman"/>
          <w:b w:val="0"/>
          <w:i w:val="0"/>
          <w:color w:val="000000"/>
          <w:sz w:val="24"/>
        </w:rPr>
        <w:t>CO 5: Demonstrate teamwork, technical communication, and project evaluation skills by presenting rigorous validation results and architectural documentation.</w:t>
      </w:r>
    </w:p>
    <w:p>
      <w:r>
        <w:br w:type="page"/>
      </w:r>
    </w:p>
    <w:p>
      <w:pPr>
        <w:spacing w:before="0" w:after="120" w:line="360" w:lineRule="auto"/>
        <w:jc w:val="right"/>
      </w:pPr>
      <w:r>
        <w:rPr>
          <w:rFonts w:ascii="Times New Roman" w:hAnsi="Times New Roman"/>
          <w:b w:val="0"/>
          <w:i w:val="0"/>
          <w:color w:val="000000"/>
          <w:sz w:val="20"/>
        </w:rPr>
        <w:t>v</w:t>
      </w:r>
    </w:p>
    <w:p>
      <w:pPr>
        <w:spacing w:before="240" w:after="280" w:line="360" w:lineRule="auto"/>
        <w:jc w:val="center"/>
      </w:pPr>
      <w:r>
        <w:rPr>
          <w:rFonts w:ascii="Times New Roman" w:hAnsi="Times New Roman"/>
          <w:b/>
          <w:i w:val="0"/>
          <w:color w:val="000000"/>
          <w:sz w:val="26"/>
        </w:rPr>
        <w:t>CO-PO-PSO MAPPING</w:t>
      </w:r>
    </w:p>
    <w:tbl>
      <w:tblPr>
        <w:tblW w:type="auto" w:w="0"/>
        <w:jc w:val="center"/>
        <w:tblLook w:firstColumn="1" w:firstRow="1" w:lastColumn="0" w:lastRow="0" w:noHBand="0" w:noVBand="1" w:val="04A0"/>
      </w:tblPr>
      <w:tblGrid>
        <w:gridCol w:w="562"/>
        <w:gridCol w:w="562"/>
        <w:gridCol w:w="562"/>
        <w:gridCol w:w="562"/>
        <w:gridCol w:w="562"/>
        <w:gridCol w:w="562"/>
        <w:gridCol w:w="562"/>
        <w:gridCol w:w="562"/>
        <w:gridCol w:w="562"/>
        <w:gridCol w:w="562"/>
        <w:gridCol w:w="562"/>
        <w:gridCol w:w="562"/>
        <w:gridCol w:w="562"/>
        <w:gridCol w:w="562"/>
        <w:gridCol w:w="562"/>
        <w:gridCol w:w="562"/>
      </w:tblGrid>
      <w:tr>
        <w:tc>
          <w:tcPr>
            <w:tcW w:type="dxa" w:w="562"/>
            <w:shd w:fill="F1F5F9"/>
            <w:tcMar>
              <w:top w:w="60" w:type="dxa"/>
              <w:bottom w:w="60" w:type="dxa"/>
              <w:left w:w="40" w:type="dxa"/>
              <w:right w:w="40" w:type="dxa"/>
            </w:tcMar>
          </w:tcPr>
          <w:p>
            <w:pPr>
              <w:jc w:val="center"/>
            </w:pPr>
            <w:r>
              <w:rPr>
                <w:b/>
              </w:rPr>
              <w:t>CO</w:t>
            </w:r>
          </w:p>
        </w:tc>
        <w:tc>
          <w:tcPr>
            <w:tcW w:type="dxa" w:w="562"/>
            <w:shd w:fill="F1F5F9"/>
            <w:tcMar>
              <w:top w:w="60" w:type="dxa"/>
              <w:bottom w:w="60" w:type="dxa"/>
              <w:left w:w="40" w:type="dxa"/>
              <w:right w:w="40" w:type="dxa"/>
            </w:tcMar>
          </w:tcPr>
          <w:p>
            <w:pPr>
              <w:jc w:val="center"/>
            </w:pPr>
            <w:r>
              <w:rPr>
                <w:b/>
              </w:rPr>
              <w:t>PO1</w:t>
            </w:r>
          </w:p>
        </w:tc>
        <w:tc>
          <w:tcPr>
            <w:tcW w:type="dxa" w:w="562"/>
            <w:shd w:fill="F1F5F9"/>
            <w:tcMar>
              <w:top w:w="60" w:type="dxa"/>
              <w:bottom w:w="60" w:type="dxa"/>
              <w:left w:w="40" w:type="dxa"/>
              <w:right w:w="40" w:type="dxa"/>
            </w:tcMar>
          </w:tcPr>
          <w:p>
            <w:pPr>
              <w:jc w:val="center"/>
            </w:pPr>
            <w:r>
              <w:rPr>
                <w:b/>
              </w:rPr>
              <w:t>PO2</w:t>
            </w:r>
          </w:p>
        </w:tc>
        <w:tc>
          <w:tcPr>
            <w:tcW w:type="dxa" w:w="562"/>
            <w:shd w:fill="F1F5F9"/>
            <w:tcMar>
              <w:top w:w="60" w:type="dxa"/>
              <w:bottom w:w="60" w:type="dxa"/>
              <w:left w:w="40" w:type="dxa"/>
              <w:right w:w="40" w:type="dxa"/>
            </w:tcMar>
          </w:tcPr>
          <w:p>
            <w:pPr>
              <w:jc w:val="center"/>
            </w:pPr>
            <w:r>
              <w:rPr>
                <w:b/>
              </w:rPr>
              <w:t>PO3</w:t>
            </w:r>
          </w:p>
        </w:tc>
        <w:tc>
          <w:tcPr>
            <w:tcW w:type="dxa" w:w="562"/>
            <w:shd w:fill="F1F5F9"/>
            <w:tcMar>
              <w:top w:w="60" w:type="dxa"/>
              <w:bottom w:w="60" w:type="dxa"/>
              <w:left w:w="40" w:type="dxa"/>
              <w:right w:w="40" w:type="dxa"/>
            </w:tcMar>
          </w:tcPr>
          <w:p>
            <w:pPr>
              <w:jc w:val="center"/>
            </w:pPr>
            <w:r>
              <w:rPr>
                <w:b/>
              </w:rPr>
              <w:t>PO4</w:t>
            </w:r>
          </w:p>
        </w:tc>
        <w:tc>
          <w:tcPr>
            <w:tcW w:type="dxa" w:w="562"/>
            <w:shd w:fill="F1F5F9"/>
            <w:tcMar>
              <w:top w:w="60" w:type="dxa"/>
              <w:bottom w:w="60" w:type="dxa"/>
              <w:left w:w="40" w:type="dxa"/>
              <w:right w:w="40" w:type="dxa"/>
            </w:tcMar>
          </w:tcPr>
          <w:p>
            <w:pPr>
              <w:jc w:val="center"/>
            </w:pPr>
            <w:r>
              <w:rPr>
                <w:b/>
              </w:rPr>
              <w:t>PO5</w:t>
            </w:r>
          </w:p>
        </w:tc>
        <w:tc>
          <w:tcPr>
            <w:tcW w:type="dxa" w:w="562"/>
            <w:shd w:fill="F1F5F9"/>
            <w:tcMar>
              <w:top w:w="60" w:type="dxa"/>
              <w:bottom w:w="60" w:type="dxa"/>
              <w:left w:w="40" w:type="dxa"/>
              <w:right w:w="40" w:type="dxa"/>
            </w:tcMar>
          </w:tcPr>
          <w:p>
            <w:pPr>
              <w:jc w:val="center"/>
            </w:pPr>
            <w:r>
              <w:rPr>
                <w:b/>
              </w:rPr>
              <w:t>PO6</w:t>
            </w:r>
          </w:p>
        </w:tc>
        <w:tc>
          <w:tcPr>
            <w:tcW w:type="dxa" w:w="562"/>
            <w:shd w:fill="F1F5F9"/>
            <w:tcMar>
              <w:top w:w="60" w:type="dxa"/>
              <w:bottom w:w="60" w:type="dxa"/>
              <w:left w:w="40" w:type="dxa"/>
              <w:right w:w="40" w:type="dxa"/>
            </w:tcMar>
          </w:tcPr>
          <w:p>
            <w:pPr>
              <w:jc w:val="center"/>
            </w:pPr>
            <w:r>
              <w:rPr>
                <w:b/>
              </w:rPr>
              <w:t>PO7</w:t>
            </w:r>
          </w:p>
        </w:tc>
        <w:tc>
          <w:tcPr>
            <w:tcW w:type="dxa" w:w="562"/>
            <w:shd w:fill="F1F5F9"/>
            <w:tcMar>
              <w:top w:w="60" w:type="dxa"/>
              <w:bottom w:w="60" w:type="dxa"/>
              <w:left w:w="40" w:type="dxa"/>
              <w:right w:w="40" w:type="dxa"/>
            </w:tcMar>
          </w:tcPr>
          <w:p>
            <w:pPr>
              <w:jc w:val="center"/>
            </w:pPr>
            <w:r>
              <w:rPr>
                <w:b/>
              </w:rPr>
              <w:t>PO8</w:t>
            </w:r>
          </w:p>
        </w:tc>
        <w:tc>
          <w:tcPr>
            <w:tcW w:type="dxa" w:w="562"/>
            <w:shd w:fill="F1F5F9"/>
            <w:tcMar>
              <w:top w:w="60" w:type="dxa"/>
              <w:bottom w:w="60" w:type="dxa"/>
              <w:left w:w="40" w:type="dxa"/>
              <w:right w:w="40" w:type="dxa"/>
            </w:tcMar>
          </w:tcPr>
          <w:p>
            <w:pPr>
              <w:jc w:val="center"/>
            </w:pPr>
            <w:r>
              <w:rPr>
                <w:b/>
              </w:rPr>
              <w:t>PO9</w:t>
            </w:r>
          </w:p>
        </w:tc>
        <w:tc>
          <w:tcPr>
            <w:tcW w:type="dxa" w:w="562"/>
            <w:shd w:fill="F1F5F9"/>
            <w:tcMar>
              <w:top w:w="60" w:type="dxa"/>
              <w:bottom w:w="60" w:type="dxa"/>
              <w:left w:w="40" w:type="dxa"/>
              <w:right w:w="40" w:type="dxa"/>
            </w:tcMar>
          </w:tcPr>
          <w:p>
            <w:pPr>
              <w:jc w:val="center"/>
            </w:pPr>
            <w:r>
              <w:rPr>
                <w:b/>
              </w:rPr>
              <w:t>PO10</w:t>
            </w:r>
          </w:p>
        </w:tc>
        <w:tc>
          <w:tcPr>
            <w:tcW w:type="dxa" w:w="562"/>
            <w:shd w:fill="F1F5F9"/>
            <w:tcMar>
              <w:top w:w="60" w:type="dxa"/>
              <w:bottom w:w="60" w:type="dxa"/>
              <w:left w:w="40" w:type="dxa"/>
              <w:right w:w="40" w:type="dxa"/>
            </w:tcMar>
          </w:tcPr>
          <w:p>
            <w:pPr>
              <w:jc w:val="center"/>
            </w:pPr>
            <w:r>
              <w:rPr>
                <w:b/>
              </w:rPr>
              <w:t>PO11</w:t>
            </w:r>
          </w:p>
        </w:tc>
        <w:tc>
          <w:tcPr>
            <w:tcW w:type="dxa" w:w="562"/>
            <w:shd w:fill="F1F5F9"/>
            <w:tcMar>
              <w:top w:w="60" w:type="dxa"/>
              <w:bottom w:w="60" w:type="dxa"/>
              <w:left w:w="40" w:type="dxa"/>
              <w:right w:w="40" w:type="dxa"/>
            </w:tcMar>
          </w:tcPr>
          <w:p>
            <w:pPr>
              <w:jc w:val="center"/>
            </w:pPr>
            <w:r>
              <w:rPr>
                <w:b/>
              </w:rPr>
              <w:t>PO12</w:t>
            </w:r>
          </w:p>
        </w:tc>
        <w:tc>
          <w:tcPr>
            <w:tcW w:type="dxa" w:w="562"/>
            <w:shd w:fill="F1F5F9"/>
            <w:tcMar>
              <w:top w:w="60" w:type="dxa"/>
              <w:bottom w:w="60" w:type="dxa"/>
              <w:left w:w="40" w:type="dxa"/>
              <w:right w:w="40" w:type="dxa"/>
            </w:tcMar>
          </w:tcPr>
          <w:p>
            <w:pPr>
              <w:jc w:val="center"/>
            </w:pPr>
            <w:r>
              <w:rPr>
                <w:b/>
              </w:rPr>
              <w:t>PSO1</w:t>
            </w:r>
          </w:p>
        </w:tc>
        <w:tc>
          <w:tcPr>
            <w:tcW w:type="dxa" w:w="562"/>
            <w:shd w:fill="F1F5F9"/>
            <w:tcMar>
              <w:top w:w="60" w:type="dxa"/>
              <w:bottom w:w="60" w:type="dxa"/>
              <w:left w:w="40" w:type="dxa"/>
              <w:right w:w="40" w:type="dxa"/>
            </w:tcMar>
          </w:tcPr>
          <w:p>
            <w:pPr>
              <w:jc w:val="center"/>
            </w:pPr>
            <w:r>
              <w:rPr>
                <w:b/>
              </w:rPr>
              <w:t>PSO2</w:t>
            </w:r>
          </w:p>
        </w:tc>
        <w:tc>
          <w:tcPr>
            <w:tcW w:type="dxa" w:w="562"/>
            <w:shd w:fill="F1F5F9"/>
            <w:tcMar>
              <w:top w:w="60" w:type="dxa"/>
              <w:bottom w:w="60" w:type="dxa"/>
              <w:left w:w="40" w:type="dxa"/>
              <w:right w:w="40" w:type="dxa"/>
            </w:tcMar>
          </w:tcPr>
          <w:p>
            <w:pPr>
              <w:jc w:val="center"/>
            </w:pPr>
            <w:r>
              <w:rPr>
                <w:b/>
              </w:rPr>
              <w:t>PSO3</w:t>
            </w:r>
          </w:p>
        </w:tc>
      </w:tr>
      <w:tr>
        <w:tc>
          <w:tcPr>
            <w:tcW w:type="dxa" w:w="562"/>
            <w:tcMar>
              <w:top w:w="50" w:type="dxa"/>
              <w:bottom w:w="50" w:type="dxa"/>
              <w:left w:w="40" w:type="dxa"/>
              <w:right w:w="40" w:type="dxa"/>
            </w:tcMar>
          </w:tcPr>
          <w:p>
            <w:pPr>
              <w:jc w:val="center"/>
            </w:pPr>
            <w:r>
              <w:t>CO1</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r>
      <w:tr>
        <w:tc>
          <w:tcPr>
            <w:tcW w:type="dxa" w:w="562"/>
            <w:tcMar>
              <w:top w:w="50" w:type="dxa"/>
              <w:bottom w:w="50" w:type="dxa"/>
              <w:left w:w="40" w:type="dxa"/>
              <w:right w:w="40" w:type="dxa"/>
            </w:tcMar>
          </w:tcPr>
          <w:p>
            <w:pPr>
              <w:jc w:val="center"/>
            </w:pPr>
            <w:r>
              <w:t>CO2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r>
      <w:tr>
        <w:tc>
          <w:tcPr>
            <w:tcW w:type="dxa" w:w="562"/>
            <w:tcMar>
              <w:top w:w="50" w:type="dxa"/>
              <w:bottom w:w="50" w:type="dxa"/>
              <w:left w:w="40" w:type="dxa"/>
              <w:right w:w="40" w:type="dxa"/>
            </w:tcMar>
          </w:tcPr>
          <w:p>
            <w:pPr>
              <w:jc w:val="center"/>
            </w:pPr>
            <w:r>
              <w:t>CO3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r>
      <w:tr>
        <w:tc>
          <w:tcPr>
            <w:tcW w:type="dxa" w:w="562"/>
            <w:tcMar>
              <w:top w:w="50" w:type="dxa"/>
              <w:bottom w:w="50" w:type="dxa"/>
              <w:left w:w="40" w:type="dxa"/>
              <w:right w:w="40" w:type="dxa"/>
            </w:tcMar>
          </w:tcPr>
          <w:p>
            <w:pPr>
              <w:jc w:val="center"/>
            </w:pPr>
            <w:r>
              <w:t>CO4</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r>
      <w:tr>
        <w:tc>
          <w:tcPr>
            <w:tcW w:type="dxa" w:w="562"/>
            <w:tcMar>
              <w:top w:w="50" w:type="dxa"/>
              <w:bottom w:w="50" w:type="dxa"/>
              <w:left w:w="40" w:type="dxa"/>
              <w:right w:w="40" w:type="dxa"/>
            </w:tcMar>
          </w:tcPr>
          <w:p>
            <w:pPr>
              <w:jc w:val="center"/>
            </w:pPr>
            <w:r>
              <w:t>CO5</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1</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3</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2</w:t>
            </w:r>
          </w:p>
        </w:tc>
        <w:tc>
          <w:tcPr>
            <w:tcW w:type="dxa" w:w="562"/>
            <w:tcMar>
              <w:top w:w="50" w:type="dxa"/>
              <w:bottom w:w="50" w:type="dxa"/>
              <w:left w:w="40" w:type="dxa"/>
              <w:right w:w="40" w:type="dxa"/>
            </w:tcMar>
          </w:tcPr>
          <w:p>
            <w:pPr>
              <w:jc w:val="center"/>
            </w:pPr>
            <w:r>
              <w:t>3</w:t>
            </w:r>
          </w:p>
        </w:tc>
      </w:tr>
    </w:tbl>
    <w:p>
      <w:pPr>
        <w:spacing w:before="200" w:after="80" w:line="360" w:lineRule="auto"/>
        <w:jc w:val="both"/>
      </w:pPr>
    </w:p>
    <w:p>
      <w:pPr>
        <w:spacing w:before="0" w:after="120" w:line="360" w:lineRule="auto"/>
        <w:jc w:val="both"/>
      </w:pPr>
      <w:r>
        <w:rPr>
          <w:rFonts w:ascii="Times New Roman" w:hAnsi="Times New Roman"/>
          <w:b w:val="0"/>
          <w:i/>
          <w:color w:val="000000"/>
          <w:sz w:val="21"/>
        </w:rPr>
        <w:t>Note: Correlation levels 1, 2 or 3 are defined as: 1: Slight (Low), 2: Moderate (Medium), 3: Substantial (High).</w:t>
      </w:r>
    </w:p>
    <w:p>
      <w:r>
        <w:br w:type="page"/>
      </w:r>
    </w:p>
    <w:p>
      <w:pPr>
        <w:spacing w:before="0" w:after="120" w:line="360" w:lineRule="auto"/>
        <w:jc w:val="right"/>
      </w:pPr>
      <w:r>
        <w:rPr>
          <w:rFonts w:ascii="Times New Roman" w:hAnsi="Times New Roman"/>
          <w:b w:val="0"/>
          <w:i w:val="0"/>
          <w:color w:val="000000"/>
          <w:sz w:val="20"/>
        </w:rPr>
        <w:t>vi</w:t>
      </w:r>
    </w:p>
    <w:p>
      <w:pPr>
        <w:spacing w:before="240" w:after="360" w:line="360" w:lineRule="auto"/>
        <w:jc w:val="center"/>
      </w:pPr>
      <w:r>
        <w:rPr>
          <w:rFonts w:ascii="Times New Roman" w:hAnsi="Times New Roman"/>
          <w:b/>
          <w:i w:val="0"/>
          <w:color w:val="000000"/>
          <w:sz w:val="28"/>
        </w:rPr>
        <w:t>ABSTRACT</w:t>
      </w:r>
    </w:p>
    <w:p>
      <w:pPr>
        <w:spacing w:before="0" w:after="240" w:line="360" w:lineRule="auto"/>
        <w:jc w:val="both"/>
      </w:pPr>
      <w:r>
        <w:rPr>
          <w:rFonts w:ascii="Times New Roman" w:hAnsi="Times New Roman"/>
          <w:b w:val="0"/>
          <w:i w:val="0"/>
          <w:color w:val="000000"/>
          <w:sz w:val="24"/>
        </w:rPr>
        <w:t>Modern enterprise supply chains face unprecedented operational challenges characterized by dynamic customer demand, fluctuating lead times, stringent supplier constraints, and multi-objective trade-offs. Traditional Enterprise Resource Planning (ERP) systems rely heavily on manual spreadsheets, static safety-stock formulas, or opaque heuristic rules that struggle to balance conflicting objectives such as inventory holding costs, stockout penalties, transport logistics, and supplier reliability. Conversely, emerging Generative AI and Large Language Model (LLM) implementations often suffer from hallucinated arithmetic, non-deterministic quantities, and an inability to respect strict operational constraints such as Minimum Order Quantities (MOQ) and finite supplier capacities.</w:t>
      </w:r>
    </w:p>
    <w:p>
      <w:pPr>
        <w:spacing w:before="0" w:after="240" w:line="360" w:lineRule="auto"/>
        <w:jc w:val="both"/>
      </w:pPr>
      <w:r>
        <w:rPr>
          <w:rFonts w:ascii="Times New Roman" w:hAnsi="Times New Roman"/>
          <w:b w:val="0"/>
          <w:i w:val="0"/>
          <w:color w:val="000000"/>
          <w:sz w:val="24"/>
        </w:rPr>
        <w:t>To address these critical shortcomings, this project presents AEMIIF (Agentic Explainable Multi-Agent Inventory Intelligence Framework), an autonomous, mathematically grounded inventory decision platform. AEMIIF introduces a decoupled, multi-agent architecture orchestrated via LangGraph that enforces a strict separation between linguistic intelligence and numerical optimization. Natural language procurement directives and business priorities are parsed by a specialized Requirement Parser Agent and mapped into mathematically normalized objective weights. Historical sales data and current warehouse levels are accessed via Model Context Protocol (MCP) data connectors, feeding a 7-day moving average Forecast Agent and a deterministic Inventory Agent. Crucially, a novel pre-solver Capacity Intelligence layer validates aggregate supplier capacities and enforces candidate reduction under Strict Hard Cap and Proportional modes, filtering infeasible suppliers before solver invocation.</w:t>
      </w:r>
    </w:p>
    <w:p>
      <w:pPr>
        <w:spacing w:before="0" w:after="360" w:line="360" w:lineRule="auto"/>
        <w:jc w:val="both"/>
      </w:pPr>
      <w:r>
        <w:rPr>
          <w:rFonts w:ascii="Times New Roman" w:hAnsi="Times New Roman"/>
          <w:b w:val="0"/>
          <w:i w:val="0"/>
          <w:color w:val="000000"/>
          <w:sz w:val="24"/>
        </w:rPr>
        <w:t>The mathematical optimization is executed deterministically by a Mixed-Integer Linear Programming (MILP) engine formulated in PuLP, guaranteeing optimal order quantities and supplier selections that respect hard capacity limits, MOQs, maximum lead times, service level targets, and budget caps. Post-solver solutions are formally audited against business rules before being converted into grounded, anti-hallucinatory explanations by an Explanation Agent. An interactive Streamlit Decision Intelligence dashboard provides human managers with end-to-end transparency, execution timelines, scenario presets, and governance guarantees with zero automated purchasing. Rigorous regression testing across 54 test cases confirms 100% mathematical constraint compliance, optimal solver convergence in under 6.5 seconds, and complete explainability, establishing AEMIIF as a robust foundation for next-generation enterprise supply chain decision intelligence.</w:t>
      </w:r>
    </w:p>
    <w:p>
      <w:pPr>
        <w:spacing w:before="0" w:after="120" w:line="360" w:lineRule="auto"/>
        <w:jc w:val="both"/>
      </w:pPr>
      <w:r>
        <w:rPr>
          <w:rFonts w:ascii="Times New Roman" w:hAnsi="Times New Roman"/>
          <w:b/>
          <w:i w:val="0"/>
          <w:color w:val="000000"/>
          <w:sz w:val="22"/>
        </w:rPr>
        <w:t>Keywords — Multi-Agent Systems, Inventory Optimization, Mixed-Integer Linear Programming (MILP), LangGraph, Explainable AI, Supply Chain Management, Capacity Intelligence, PuLP, Streamlit.</w:t>
      </w:r>
    </w:p>
    <w:p>
      <w:r>
        <w:br w:type="page"/>
      </w:r>
    </w:p>
    <w:p>
      <w:pPr>
        <w:spacing w:before="0" w:after="120" w:line="360" w:lineRule="auto"/>
        <w:jc w:val="right"/>
      </w:pPr>
      <w:r>
        <w:rPr>
          <w:rFonts w:ascii="Times New Roman" w:hAnsi="Times New Roman"/>
          <w:b w:val="0"/>
          <w:i w:val="0"/>
          <w:color w:val="000000"/>
          <w:sz w:val="20"/>
        </w:rPr>
        <w:t>vii</w:t>
      </w:r>
    </w:p>
    <w:p>
      <w:pPr>
        <w:spacing w:before="240" w:after="360" w:line="360" w:lineRule="auto"/>
        <w:jc w:val="center"/>
      </w:pPr>
      <w:r>
        <w:rPr>
          <w:rFonts w:ascii="Times New Roman" w:hAnsi="Times New Roman"/>
          <w:b/>
          <w:i w:val="0"/>
          <w:color w:val="000000"/>
          <w:sz w:val="28"/>
        </w:rPr>
        <w:t>ACKNOWLEDGEMENT</w:t>
      </w:r>
    </w:p>
    <w:p>
      <w:pPr>
        <w:spacing w:before="0" w:after="240" w:line="360" w:lineRule="auto"/>
        <w:jc w:val="both"/>
      </w:pPr>
      <w:r>
        <w:rPr>
          <w:rFonts w:ascii="Times New Roman" w:hAnsi="Times New Roman"/>
          <w:b w:val="0"/>
          <w:i w:val="0"/>
          <w:color w:val="000000"/>
          <w:sz w:val="24"/>
        </w:rPr>
        <w:t>Initially we thank the Almighty for being with us through every walk of our life and showering his blessings through the endeavor to put forth this project report.</w:t>
      </w:r>
    </w:p>
    <w:p>
      <w:pPr>
        <w:spacing w:before="0" w:after="240" w:line="360" w:lineRule="auto"/>
        <w:jc w:val="both"/>
      </w:pPr>
      <w:r>
        <w:rPr>
          <w:rFonts w:ascii="Times New Roman" w:hAnsi="Times New Roman"/>
          <w:b w:val="0"/>
          <w:i w:val="0"/>
          <w:color w:val="000000"/>
          <w:sz w:val="24"/>
        </w:rPr>
        <w:t>Our sincere thanks to our Chairman Mr. S. MEGANATHAN, B.E., F.I.E., our Vice Chairman Mr. ABHAY SHANKAR MEGANATHAN, B.E., M.S., and our respected Chairperson Dr. (Mrs.) THANGAM MEGANATHAN, Ph.D., for providing us with the requisite infrastructure and sincere endeavoring in educating us in their premier institution.</w:t>
      </w:r>
    </w:p>
    <w:p>
      <w:pPr>
        <w:spacing w:before="0" w:after="240" w:line="360" w:lineRule="auto"/>
        <w:jc w:val="both"/>
      </w:pPr>
      <w:r>
        <w:rPr>
          <w:rFonts w:ascii="Times New Roman" w:hAnsi="Times New Roman"/>
          <w:b w:val="0"/>
          <w:i w:val="0"/>
          <w:color w:val="000000"/>
          <w:sz w:val="24"/>
        </w:rPr>
        <w:t>Our sincere thanks to Dr. S.N. MURUGESAN, M.E., Ph.D., our beloved Principal for his kind support and facilities provided to complete our work in time. We express our sincere thanks to Dr. J.M. GNANASEKAR, M.E., Ph.D., Professor and Head of the Department of Artificial Intelligence and Data Science for his constant encouragement, guidance, and academic leadership throughout the project work.</w:t>
      </w:r>
    </w:p>
    <w:p>
      <w:pPr>
        <w:spacing w:before="0" w:after="240" w:line="360" w:lineRule="auto"/>
        <w:jc w:val="both"/>
      </w:pPr>
      <w:r>
        <w:rPr>
          <w:rFonts w:ascii="Times New Roman" w:hAnsi="Times New Roman"/>
          <w:b w:val="0"/>
          <w:i w:val="0"/>
          <w:color w:val="000000"/>
          <w:sz w:val="24"/>
        </w:rPr>
        <w:t>We convey our sincere and deepest gratitude to our internal guide and project coordinator, Dr. S. SURESH KUMAR, M.E., Ph.D., Professor, Department of Artificial Intelligence and Data Science, Rajalakshmi Engineering College, for his invaluable technical guidance, insightful critiques, and unwavering support throughout the lifecycle of this project.</w:t>
      </w:r>
    </w:p>
    <w:p>
      <w:pPr>
        <w:spacing w:before="0" w:after="480" w:line="360" w:lineRule="auto"/>
        <w:jc w:val="both"/>
      </w:pPr>
      <w:r>
        <w:rPr>
          <w:rFonts w:ascii="Times New Roman" w:hAnsi="Times New Roman"/>
          <w:b w:val="0"/>
          <w:i w:val="0"/>
          <w:color w:val="000000"/>
          <w:sz w:val="24"/>
        </w:rPr>
        <w:t>We also extend our heartfelt appreciation to all faculty members, technical staff, our families, and fellow peers for their continuous support and cooperation.</w:t>
      </w:r>
    </w:p>
    <w:tbl>
      <w:tblPr>
        <w:tblW w:type="auto" w:w="0"/>
        <w:jc w:val="center"/>
        <w:tblLook w:firstColumn="1" w:firstRow="1" w:lastColumn="0" w:lastRow="0" w:noHBand="0" w:noVBand="1" w:val="04A0"/>
      </w:tblPr>
      <w:tblGrid>
        <w:gridCol w:w="3000"/>
        <w:gridCol w:w="3000"/>
        <w:gridCol w:w="3000"/>
      </w:tblGrid>
      <w:tr>
        <w:tc>
          <w:tcPr>
            <w:tcW w:type="dxa" w:w="3000"/>
          </w:tcPr>
          <w:p>
            <w:pPr>
              <w:jc w:val="center"/>
            </w:pPr>
            <w:r>
              <w:rPr>
                <w:b/>
              </w:rPr>
              <w:t>JAYANESH D</w:t>
              <w:br/>
              <w:t>(2116221801020)</w:t>
            </w:r>
          </w:p>
        </w:tc>
        <w:tc>
          <w:tcPr>
            <w:tcW w:type="dxa" w:w="3000"/>
          </w:tcPr>
          <w:p>
            <w:pPr>
              <w:jc w:val="center"/>
            </w:pPr>
            <w:r>
              <w:rPr>
                <w:b/>
              </w:rPr>
              <w:t>ATMAKURU SIVA SANDEEP</w:t>
              <w:br/>
              <w:t>(2116221801501)</w:t>
            </w:r>
          </w:p>
        </w:tc>
        <w:tc>
          <w:tcPr>
            <w:tcW w:type="dxa" w:w="3000"/>
          </w:tcPr>
          <w:p>
            <w:pPr>
              <w:jc w:val="center"/>
            </w:pPr>
            <w:r>
              <w:rPr>
                <w:b/>
              </w:rPr>
              <w:t>BUVANKALYAN P</w:t>
              <w:br/>
              <w:t>(2116221801506)</w:t>
            </w:r>
          </w:p>
        </w:tc>
      </w:tr>
    </w:tbl>
    <w:p>
      <w:r>
        <w:br w:type="page"/>
      </w:r>
    </w:p>
    <w:p>
      <w:pPr>
        <w:spacing w:before="0" w:after="120" w:line="360" w:lineRule="auto"/>
        <w:jc w:val="right"/>
      </w:pPr>
      <w:r>
        <w:rPr>
          <w:rFonts w:ascii="Times New Roman" w:hAnsi="Times New Roman"/>
          <w:b w:val="0"/>
          <w:i w:val="0"/>
          <w:color w:val="000000"/>
          <w:sz w:val="20"/>
        </w:rPr>
        <w:t>viii</w:t>
      </w:r>
    </w:p>
    <w:p>
      <w:pPr>
        <w:spacing w:before="240" w:after="320" w:line="36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3000"/>
            <w:shd w:fill="F8FAFC"/>
          </w:tcPr>
          <w:p>
            <w:r>
              <w:rPr>
                <w:b/>
              </w:rPr>
              <w:t>CHAPTER NO</w:t>
            </w:r>
          </w:p>
        </w:tc>
        <w:tc>
          <w:tcPr>
            <w:tcW w:type="dxa" w:w="3000"/>
            <w:shd w:fill="F8FAFC"/>
          </w:tcPr>
          <w:p>
            <w:r>
              <w:rPr>
                <w:b/>
              </w:rPr>
              <w:t>TITLE</w:t>
            </w:r>
          </w:p>
        </w:tc>
        <w:tc>
          <w:tcPr>
            <w:tcW w:type="dxa" w:w="3000"/>
            <w:shd w:fill="F8FAFC"/>
          </w:tcPr>
          <w:p>
            <w:r>
              <w:rPr>
                <w:b/>
              </w:rPr>
              <w:t>PAGE NO</w:t>
            </w:r>
          </w:p>
        </w:tc>
      </w:tr>
      <w:tr>
        <w:tc>
          <w:tcPr>
            <w:tcW w:type="dxa" w:w="3000"/>
          </w:tcPr>
          <w:p>
            <w:pPr>
              <w:spacing w:line="276" w:lineRule="auto" w:after="40"/>
            </w:pPr>
            <w:r>
              <w:rPr>
                <w:b/>
              </w:rPr>
            </w:r>
          </w:p>
        </w:tc>
        <w:tc>
          <w:tcPr>
            <w:tcW w:type="dxa" w:w="3000"/>
          </w:tcPr>
          <w:p>
            <w:pPr>
              <w:spacing w:line="276" w:lineRule="auto" w:after="40"/>
            </w:pPr>
            <w:r>
              <w:rPr>
                <w:b/>
              </w:rPr>
              <w:t>ABSTRACT</w:t>
            </w:r>
          </w:p>
        </w:tc>
        <w:tc>
          <w:tcPr>
            <w:tcW w:type="dxa" w:w="3000"/>
          </w:tcPr>
          <w:p>
            <w:pPr>
              <w:spacing w:line="276" w:lineRule="auto" w:after="40"/>
              <w:jc w:val="right"/>
            </w:pPr>
            <w:r>
              <w:rPr>
                <w:b/>
              </w:rPr>
              <w:t>vi</w:t>
            </w:r>
          </w:p>
        </w:tc>
      </w:tr>
      <w:tr>
        <w:tc>
          <w:tcPr>
            <w:tcW w:type="dxa" w:w="3000"/>
          </w:tcPr>
          <w:p>
            <w:pPr>
              <w:spacing w:line="276" w:lineRule="auto" w:after="40"/>
            </w:pPr>
            <w:r>
              <w:rPr>
                <w:b/>
              </w:rPr>
            </w:r>
          </w:p>
        </w:tc>
        <w:tc>
          <w:tcPr>
            <w:tcW w:type="dxa" w:w="3000"/>
          </w:tcPr>
          <w:p>
            <w:pPr>
              <w:spacing w:line="276" w:lineRule="auto" w:after="40"/>
            </w:pPr>
            <w:r>
              <w:rPr>
                <w:b/>
              </w:rPr>
              <w:t>ACKNOWLEDGEMENT</w:t>
            </w:r>
          </w:p>
        </w:tc>
        <w:tc>
          <w:tcPr>
            <w:tcW w:type="dxa" w:w="3000"/>
          </w:tcPr>
          <w:p>
            <w:pPr>
              <w:spacing w:line="276" w:lineRule="auto" w:after="40"/>
              <w:jc w:val="right"/>
            </w:pPr>
            <w:r>
              <w:rPr>
                <w:b/>
              </w:rPr>
              <w:t>vii</w:t>
            </w:r>
          </w:p>
        </w:tc>
      </w:tr>
      <w:tr>
        <w:tc>
          <w:tcPr>
            <w:tcW w:type="dxa" w:w="3000"/>
          </w:tcPr>
          <w:p>
            <w:pPr>
              <w:spacing w:line="276" w:lineRule="auto" w:after="40"/>
            </w:pPr>
            <w:r>
              <w:rPr>
                <w:b/>
              </w:rPr>
            </w:r>
          </w:p>
        </w:tc>
        <w:tc>
          <w:tcPr>
            <w:tcW w:type="dxa" w:w="3000"/>
          </w:tcPr>
          <w:p>
            <w:pPr>
              <w:spacing w:line="276" w:lineRule="auto" w:after="40"/>
            </w:pPr>
            <w:r>
              <w:rPr>
                <w:b/>
              </w:rPr>
              <w:t>LIST OF FIGURES</w:t>
            </w:r>
          </w:p>
        </w:tc>
        <w:tc>
          <w:tcPr>
            <w:tcW w:type="dxa" w:w="3000"/>
          </w:tcPr>
          <w:p>
            <w:pPr>
              <w:spacing w:line="276" w:lineRule="auto" w:after="40"/>
              <w:jc w:val="right"/>
            </w:pPr>
            <w:r>
              <w:rPr>
                <w:b/>
              </w:rPr>
              <w:t>xi</w:t>
            </w:r>
          </w:p>
        </w:tc>
      </w:tr>
      <w:tr>
        <w:tc>
          <w:tcPr>
            <w:tcW w:type="dxa" w:w="3000"/>
          </w:tcPr>
          <w:p>
            <w:pPr>
              <w:spacing w:line="276" w:lineRule="auto" w:after="40"/>
            </w:pPr>
            <w:r>
              <w:rPr>
                <w:b/>
              </w:rPr>
            </w:r>
          </w:p>
        </w:tc>
        <w:tc>
          <w:tcPr>
            <w:tcW w:type="dxa" w:w="3000"/>
          </w:tcPr>
          <w:p>
            <w:pPr>
              <w:spacing w:line="276" w:lineRule="auto" w:after="40"/>
            </w:pPr>
            <w:r>
              <w:rPr>
                <w:b/>
              </w:rPr>
              <w:t>LIST OF TABLES</w:t>
            </w:r>
          </w:p>
        </w:tc>
        <w:tc>
          <w:tcPr>
            <w:tcW w:type="dxa" w:w="3000"/>
          </w:tcPr>
          <w:p>
            <w:pPr>
              <w:spacing w:line="276" w:lineRule="auto" w:after="40"/>
              <w:jc w:val="right"/>
            </w:pPr>
            <w:r>
              <w:rPr>
                <w:b/>
              </w:rPr>
              <w:t>xii</w:t>
            </w:r>
          </w:p>
        </w:tc>
      </w:tr>
      <w:tr>
        <w:tc>
          <w:tcPr>
            <w:tcW w:type="dxa" w:w="3000"/>
          </w:tcPr>
          <w:p>
            <w:pPr>
              <w:spacing w:line="276" w:lineRule="auto" w:after="40"/>
            </w:pPr>
            <w:r>
              <w:rPr>
                <w:b/>
              </w:rPr>
            </w:r>
          </w:p>
        </w:tc>
        <w:tc>
          <w:tcPr>
            <w:tcW w:type="dxa" w:w="3000"/>
          </w:tcPr>
          <w:p>
            <w:pPr>
              <w:spacing w:line="276" w:lineRule="auto" w:after="40"/>
            </w:pPr>
            <w:r>
              <w:rPr>
                <w:b/>
              </w:rPr>
              <w:t>LIST OF ABBREVIATIONS</w:t>
            </w:r>
          </w:p>
        </w:tc>
        <w:tc>
          <w:tcPr>
            <w:tcW w:type="dxa" w:w="3000"/>
          </w:tcPr>
          <w:p>
            <w:pPr>
              <w:spacing w:line="276" w:lineRule="auto" w:after="40"/>
              <w:jc w:val="right"/>
            </w:pPr>
            <w:r>
              <w:rPr>
                <w:b/>
              </w:rPr>
              <w:t>xiii</w:t>
            </w:r>
          </w:p>
        </w:tc>
      </w:tr>
      <w:tr>
        <w:tc>
          <w:tcPr>
            <w:tcW w:type="dxa" w:w="3000"/>
          </w:tcPr>
          <w:p>
            <w:pPr>
              <w:spacing w:line="276" w:lineRule="auto" w:after="40"/>
            </w:pPr>
            <w:r>
              <w:rPr>
                <w:b/>
              </w:rPr>
              <w:t>1</w:t>
            </w:r>
          </w:p>
        </w:tc>
        <w:tc>
          <w:tcPr>
            <w:tcW w:type="dxa" w:w="3000"/>
          </w:tcPr>
          <w:p>
            <w:pPr>
              <w:spacing w:line="276" w:lineRule="auto" w:after="40"/>
            </w:pPr>
            <w:r>
              <w:rPr>
                <w:b/>
              </w:rPr>
              <w:t>INTRODUCTION</w:t>
            </w:r>
          </w:p>
        </w:tc>
        <w:tc>
          <w:tcPr>
            <w:tcW w:type="dxa" w:w="3000"/>
          </w:tcPr>
          <w:p>
            <w:pPr>
              <w:spacing w:line="276" w:lineRule="auto" w:after="40"/>
              <w:jc w:val="right"/>
            </w:pPr>
            <w:r>
              <w:rPr>
                <w:b/>
              </w:rPr>
            </w:r>
          </w:p>
        </w:tc>
      </w:tr>
      <w:tr>
        <w:tc>
          <w:tcPr>
            <w:tcW w:type="dxa" w:w="3000"/>
          </w:tcPr>
          <w:p>
            <w:pPr>
              <w:spacing w:line="276" w:lineRule="auto" w:after="40"/>
            </w:pPr>
            <w:r>
              <w:rPr>
                <w:b w:val="0"/>
              </w:rPr>
            </w:r>
          </w:p>
        </w:tc>
        <w:tc>
          <w:tcPr>
            <w:tcW w:type="dxa" w:w="3000"/>
          </w:tcPr>
          <w:p>
            <w:pPr>
              <w:spacing w:line="276" w:lineRule="auto" w:after="40"/>
            </w:pPr>
            <w:r>
              <w:rPr>
                <w:b w:val="0"/>
              </w:rPr>
              <w:t xml:space="preserve">    1.1 GENERAL</w:t>
            </w:r>
          </w:p>
        </w:tc>
        <w:tc>
          <w:tcPr>
            <w:tcW w:type="dxa" w:w="3000"/>
          </w:tcPr>
          <w:p>
            <w:pPr>
              <w:spacing w:line="276" w:lineRule="auto" w:after="40"/>
              <w:jc w:val="right"/>
            </w:pPr>
            <w:r>
              <w:rPr>
                <w:b w:val="0"/>
              </w:rPr>
              <w:t>1</w:t>
            </w:r>
          </w:p>
        </w:tc>
      </w:tr>
      <w:tr>
        <w:tc>
          <w:tcPr>
            <w:tcW w:type="dxa" w:w="3000"/>
          </w:tcPr>
          <w:p>
            <w:pPr>
              <w:spacing w:line="276" w:lineRule="auto" w:after="40"/>
            </w:pPr>
            <w:r>
              <w:rPr>
                <w:b w:val="0"/>
              </w:rPr>
            </w:r>
          </w:p>
        </w:tc>
        <w:tc>
          <w:tcPr>
            <w:tcW w:type="dxa" w:w="3000"/>
          </w:tcPr>
          <w:p>
            <w:pPr>
              <w:spacing w:line="276" w:lineRule="auto" w:after="40"/>
            </w:pPr>
            <w:r>
              <w:rPr>
                <w:b w:val="0"/>
              </w:rPr>
              <w:t xml:space="preserve">        1.1.1 Supply Chain Volatility and Modern Inventory Management</w:t>
            </w:r>
          </w:p>
        </w:tc>
        <w:tc>
          <w:tcPr>
            <w:tcW w:type="dxa" w:w="3000"/>
          </w:tcPr>
          <w:p>
            <w:pPr>
              <w:spacing w:line="276" w:lineRule="auto" w:after="40"/>
              <w:jc w:val="right"/>
            </w:pPr>
            <w:r>
              <w:rPr>
                <w:b w:val="0"/>
              </w:rPr>
              <w:t>1</w:t>
            </w:r>
          </w:p>
        </w:tc>
      </w:tr>
      <w:tr>
        <w:tc>
          <w:tcPr>
            <w:tcW w:type="dxa" w:w="3000"/>
          </w:tcPr>
          <w:p>
            <w:pPr>
              <w:spacing w:line="276" w:lineRule="auto" w:after="40"/>
            </w:pPr>
            <w:r>
              <w:rPr>
                <w:b w:val="0"/>
              </w:rPr>
            </w:r>
          </w:p>
        </w:tc>
        <w:tc>
          <w:tcPr>
            <w:tcW w:type="dxa" w:w="3000"/>
          </w:tcPr>
          <w:p>
            <w:pPr>
              <w:spacing w:line="276" w:lineRule="auto" w:after="40"/>
            </w:pPr>
            <w:r>
              <w:rPr>
                <w:b w:val="0"/>
              </w:rPr>
              <w:t xml:space="preserve">        1.1.2 Multi-Agent Systems in Supply Chain Intelligence</w:t>
            </w:r>
          </w:p>
        </w:tc>
        <w:tc>
          <w:tcPr>
            <w:tcW w:type="dxa" w:w="3000"/>
          </w:tcPr>
          <w:p>
            <w:pPr>
              <w:spacing w:line="276" w:lineRule="auto" w:after="40"/>
              <w:jc w:val="right"/>
            </w:pPr>
            <w:r>
              <w:rPr>
                <w:b w:val="0"/>
              </w:rPr>
              <w:t>2</w:t>
            </w:r>
          </w:p>
        </w:tc>
      </w:tr>
      <w:tr>
        <w:tc>
          <w:tcPr>
            <w:tcW w:type="dxa" w:w="3000"/>
          </w:tcPr>
          <w:p>
            <w:pPr>
              <w:spacing w:line="276" w:lineRule="auto" w:after="40"/>
            </w:pPr>
            <w:r>
              <w:rPr>
                <w:b w:val="0"/>
              </w:rPr>
            </w:r>
          </w:p>
        </w:tc>
        <w:tc>
          <w:tcPr>
            <w:tcW w:type="dxa" w:w="3000"/>
          </w:tcPr>
          <w:p>
            <w:pPr>
              <w:spacing w:line="276" w:lineRule="auto" w:after="40"/>
            </w:pPr>
            <w:r>
              <w:rPr>
                <w:b w:val="0"/>
              </w:rPr>
              <w:t xml:space="preserve">        1.1.3 Mathematical Optimization vs. Pure Generative AI</w:t>
            </w:r>
          </w:p>
        </w:tc>
        <w:tc>
          <w:tcPr>
            <w:tcW w:type="dxa" w:w="3000"/>
          </w:tcPr>
          <w:p>
            <w:pPr>
              <w:spacing w:line="276" w:lineRule="auto" w:after="40"/>
              <w:jc w:val="right"/>
            </w:pPr>
            <w:r>
              <w:rPr>
                <w:b w:val="0"/>
              </w:rPr>
              <w:t>3</w:t>
            </w:r>
          </w:p>
        </w:tc>
      </w:tr>
      <w:tr>
        <w:tc>
          <w:tcPr>
            <w:tcW w:type="dxa" w:w="3000"/>
          </w:tcPr>
          <w:p>
            <w:pPr>
              <w:spacing w:line="276" w:lineRule="auto" w:after="40"/>
            </w:pPr>
            <w:r>
              <w:rPr>
                <w:b w:val="0"/>
              </w:rPr>
            </w:r>
          </w:p>
        </w:tc>
        <w:tc>
          <w:tcPr>
            <w:tcW w:type="dxa" w:w="3000"/>
          </w:tcPr>
          <w:p>
            <w:pPr>
              <w:spacing w:line="276" w:lineRule="auto" w:after="40"/>
            </w:pPr>
            <w:r>
              <w:rPr>
                <w:b w:val="0"/>
              </w:rPr>
              <w:t xml:space="preserve">        1.1.4 Natural Language Interfaces for Business Decision Making</w:t>
            </w:r>
          </w:p>
        </w:tc>
        <w:tc>
          <w:tcPr>
            <w:tcW w:type="dxa" w:w="3000"/>
          </w:tcPr>
          <w:p>
            <w:pPr>
              <w:spacing w:line="276" w:lineRule="auto" w:after="40"/>
              <w:jc w:val="right"/>
            </w:pPr>
            <w:r>
              <w:rPr>
                <w:b w:val="0"/>
              </w:rPr>
              <w:t>4</w:t>
            </w:r>
          </w:p>
        </w:tc>
      </w:tr>
      <w:tr>
        <w:tc>
          <w:tcPr>
            <w:tcW w:type="dxa" w:w="3000"/>
          </w:tcPr>
          <w:p>
            <w:pPr>
              <w:spacing w:line="276" w:lineRule="auto" w:after="40"/>
            </w:pPr>
            <w:r>
              <w:rPr>
                <w:b w:val="0"/>
              </w:rPr>
            </w:r>
          </w:p>
        </w:tc>
        <w:tc>
          <w:tcPr>
            <w:tcW w:type="dxa" w:w="3000"/>
          </w:tcPr>
          <w:p>
            <w:pPr>
              <w:spacing w:line="276" w:lineRule="auto" w:after="40"/>
            </w:pPr>
            <w:r>
              <w:rPr>
                <w:b w:val="0"/>
              </w:rPr>
              <w:t xml:space="preserve">        1.1.5 Explainable AI and Human-in-the-Loop Governance</w:t>
            </w:r>
          </w:p>
        </w:tc>
        <w:tc>
          <w:tcPr>
            <w:tcW w:type="dxa" w:w="3000"/>
          </w:tcPr>
          <w:p>
            <w:pPr>
              <w:spacing w:line="276" w:lineRule="auto" w:after="40"/>
              <w:jc w:val="right"/>
            </w:pPr>
            <w:r>
              <w:rPr>
                <w:b w:val="0"/>
              </w:rPr>
              <w:t>5</w:t>
            </w:r>
          </w:p>
        </w:tc>
      </w:tr>
      <w:tr>
        <w:tc>
          <w:tcPr>
            <w:tcW w:type="dxa" w:w="3000"/>
          </w:tcPr>
          <w:p>
            <w:pPr>
              <w:spacing w:line="276" w:lineRule="auto" w:after="40"/>
            </w:pPr>
            <w:r>
              <w:rPr>
                <w:b w:val="0"/>
              </w:rPr>
            </w:r>
          </w:p>
        </w:tc>
        <w:tc>
          <w:tcPr>
            <w:tcW w:type="dxa" w:w="3000"/>
          </w:tcPr>
          <w:p>
            <w:pPr>
              <w:spacing w:line="276" w:lineRule="auto" w:after="40"/>
            </w:pPr>
            <w:r>
              <w:rPr>
                <w:b w:val="0"/>
              </w:rPr>
              <w:t xml:space="preserve">    1.2 OBJECTIVES</w:t>
            </w:r>
          </w:p>
        </w:tc>
        <w:tc>
          <w:tcPr>
            <w:tcW w:type="dxa" w:w="3000"/>
          </w:tcPr>
          <w:p>
            <w:pPr>
              <w:spacing w:line="276" w:lineRule="auto" w:after="40"/>
              <w:jc w:val="right"/>
            </w:pPr>
            <w:r>
              <w:rPr>
                <w:b w:val="0"/>
              </w:rPr>
              <w:t>5</w:t>
            </w:r>
          </w:p>
        </w:tc>
      </w:tr>
      <w:tr>
        <w:tc>
          <w:tcPr>
            <w:tcW w:type="dxa" w:w="3000"/>
          </w:tcPr>
          <w:p>
            <w:pPr>
              <w:spacing w:line="276" w:lineRule="auto" w:after="40"/>
            </w:pPr>
            <w:r>
              <w:rPr>
                <w:b w:val="0"/>
              </w:rPr>
            </w:r>
          </w:p>
        </w:tc>
        <w:tc>
          <w:tcPr>
            <w:tcW w:type="dxa" w:w="3000"/>
          </w:tcPr>
          <w:p>
            <w:pPr>
              <w:spacing w:line="276" w:lineRule="auto" w:after="40"/>
            </w:pPr>
            <w:r>
              <w:rPr>
                <w:b w:val="0"/>
              </w:rPr>
              <w:t xml:space="preserve">    1.3 EXISTING SYSTEM</w:t>
            </w:r>
          </w:p>
        </w:tc>
        <w:tc>
          <w:tcPr>
            <w:tcW w:type="dxa" w:w="3000"/>
          </w:tcPr>
          <w:p>
            <w:pPr>
              <w:spacing w:line="276" w:lineRule="auto" w:after="40"/>
              <w:jc w:val="right"/>
            </w:pPr>
            <w:r>
              <w:rPr>
                <w:b w:val="0"/>
              </w:rPr>
              <w:t>6</w:t>
            </w:r>
          </w:p>
        </w:tc>
      </w:tr>
      <w:tr>
        <w:tc>
          <w:tcPr>
            <w:tcW w:type="dxa" w:w="3000"/>
          </w:tcPr>
          <w:p>
            <w:pPr>
              <w:spacing w:line="276" w:lineRule="auto" w:after="40"/>
            </w:pPr>
            <w:r>
              <w:rPr>
                <w:b w:val="0"/>
              </w:rPr>
            </w:r>
          </w:p>
        </w:tc>
        <w:tc>
          <w:tcPr>
            <w:tcW w:type="dxa" w:w="3000"/>
          </w:tcPr>
          <w:p>
            <w:pPr>
              <w:spacing w:line="276" w:lineRule="auto" w:after="40"/>
            </w:pPr>
            <w:r>
              <w:rPr>
                <w:b w:val="0"/>
              </w:rPr>
              <w:t xml:space="preserve">    1.4 PROPOSED SYSTEM</w:t>
            </w:r>
          </w:p>
        </w:tc>
        <w:tc>
          <w:tcPr>
            <w:tcW w:type="dxa" w:w="3000"/>
          </w:tcPr>
          <w:p>
            <w:pPr>
              <w:spacing w:line="276" w:lineRule="auto" w:after="40"/>
              <w:jc w:val="right"/>
            </w:pPr>
            <w:r>
              <w:rPr>
                <w:b w:val="0"/>
              </w:rPr>
              <w:t>7</w:t>
            </w:r>
          </w:p>
        </w:tc>
      </w:tr>
      <w:tr>
        <w:tc>
          <w:tcPr>
            <w:tcW w:type="dxa" w:w="3000"/>
          </w:tcPr>
          <w:p>
            <w:pPr>
              <w:spacing w:line="276" w:lineRule="auto" w:after="40"/>
            </w:pPr>
            <w:r>
              <w:rPr>
                <w:b/>
              </w:rPr>
              <w:t>2</w:t>
            </w:r>
          </w:p>
        </w:tc>
        <w:tc>
          <w:tcPr>
            <w:tcW w:type="dxa" w:w="3000"/>
          </w:tcPr>
          <w:p>
            <w:pPr>
              <w:spacing w:line="276" w:lineRule="auto" w:after="40"/>
            </w:pPr>
            <w:r>
              <w:rPr>
                <w:b/>
              </w:rPr>
              <w:t>LITERATURE SURVEY</w:t>
            </w:r>
          </w:p>
        </w:tc>
        <w:tc>
          <w:tcPr>
            <w:tcW w:type="dxa" w:w="3000"/>
          </w:tcPr>
          <w:p>
            <w:pPr>
              <w:spacing w:line="276" w:lineRule="auto" w:after="40"/>
              <w:jc w:val="right"/>
            </w:pPr>
            <w:r>
              <w:rPr>
                <w:b/>
              </w:rPr>
            </w:r>
          </w:p>
        </w:tc>
      </w:tr>
      <w:tr>
        <w:tc>
          <w:tcPr>
            <w:tcW w:type="dxa" w:w="3000"/>
          </w:tcPr>
          <w:p>
            <w:pPr>
              <w:spacing w:line="276" w:lineRule="auto" w:after="40"/>
            </w:pPr>
            <w:r>
              <w:rPr>
                <w:b w:val="0"/>
              </w:rPr>
            </w:r>
          </w:p>
        </w:tc>
        <w:tc>
          <w:tcPr>
            <w:tcW w:type="dxa" w:w="3000"/>
          </w:tcPr>
          <w:p>
            <w:pPr>
              <w:spacing w:line="276" w:lineRule="auto" w:after="40"/>
            </w:pPr>
            <w:r>
              <w:rPr>
                <w:b w:val="0"/>
              </w:rPr>
              <w:t xml:space="preserve">    2.1 OVERVIEW</w:t>
            </w:r>
          </w:p>
        </w:tc>
        <w:tc>
          <w:tcPr>
            <w:tcW w:type="dxa" w:w="3000"/>
          </w:tcPr>
          <w:p>
            <w:pPr>
              <w:spacing w:line="276" w:lineRule="auto" w:after="40"/>
              <w:jc w:val="right"/>
            </w:pPr>
            <w:r>
              <w:rPr>
                <w:b w:val="0"/>
              </w:rPr>
              <w:t>9</w:t>
            </w:r>
          </w:p>
        </w:tc>
      </w:tr>
      <w:tr>
        <w:tc>
          <w:tcPr>
            <w:tcW w:type="dxa" w:w="3000"/>
          </w:tcPr>
          <w:p>
            <w:pPr>
              <w:spacing w:line="276" w:lineRule="auto" w:after="40"/>
            </w:pPr>
            <w:r>
              <w:rPr>
                <w:b w:val="0"/>
              </w:rPr>
            </w:r>
          </w:p>
        </w:tc>
        <w:tc>
          <w:tcPr>
            <w:tcW w:type="dxa" w:w="3000"/>
          </w:tcPr>
          <w:p>
            <w:pPr>
              <w:spacing w:line="276" w:lineRule="auto" w:after="40"/>
            </w:pPr>
            <w:r>
              <w:rPr>
                <w:b w:val="0"/>
              </w:rPr>
              <w:t xml:space="preserve">    2.2 LITERATURE SURVEY</w:t>
            </w:r>
          </w:p>
        </w:tc>
        <w:tc>
          <w:tcPr>
            <w:tcW w:type="dxa" w:w="3000"/>
          </w:tcPr>
          <w:p>
            <w:pPr>
              <w:spacing w:line="276" w:lineRule="auto" w:after="40"/>
              <w:jc w:val="right"/>
            </w:pPr>
            <w:r>
              <w:rPr>
                <w:b w:val="0"/>
              </w:rPr>
              <w:t>10</w:t>
            </w:r>
          </w:p>
        </w:tc>
      </w:tr>
      <w:tr>
        <w:tc>
          <w:tcPr>
            <w:tcW w:type="dxa" w:w="3000"/>
          </w:tcPr>
          <w:p>
            <w:pPr>
              <w:spacing w:line="276" w:lineRule="auto" w:after="40"/>
            </w:pPr>
            <w:r>
              <w:rPr>
                <w:b/>
              </w:rPr>
              <w:t>3</w:t>
            </w:r>
          </w:p>
        </w:tc>
        <w:tc>
          <w:tcPr>
            <w:tcW w:type="dxa" w:w="3000"/>
          </w:tcPr>
          <w:p>
            <w:pPr>
              <w:spacing w:line="276" w:lineRule="auto" w:after="40"/>
            </w:pPr>
            <w:r>
              <w:rPr>
                <w:b/>
              </w:rPr>
              <w:t>SYSTEM DESIGN</w:t>
            </w:r>
          </w:p>
        </w:tc>
        <w:tc>
          <w:tcPr>
            <w:tcW w:type="dxa" w:w="3000"/>
          </w:tcPr>
          <w:p>
            <w:pPr>
              <w:spacing w:line="276" w:lineRule="auto" w:after="40"/>
              <w:jc w:val="right"/>
            </w:pPr>
            <w:r>
              <w:rPr>
                <w:b/>
              </w:rPr>
            </w:r>
          </w:p>
        </w:tc>
      </w:tr>
      <w:tr>
        <w:tc>
          <w:tcPr>
            <w:tcW w:type="dxa" w:w="3000"/>
          </w:tcPr>
          <w:p>
            <w:pPr>
              <w:spacing w:line="276" w:lineRule="auto" w:after="40"/>
            </w:pPr>
            <w:r>
              <w:rPr>
                <w:b w:val="0"/>
              </w:rPr>
            </w:r>
          </w:p>
        </w:tc>
        <w:tc>
          <w:tcPr>
            <w:tcW w:type="dxa" w:w="3000"/>
          </w:tcPr>
          <w:p>
            <w:pPr>
              <w:spacing w:line="276" w:lineRule="auto" w:after="40"/>
            </w:pPr>
            <w:r>
              <w:rPr>
                <w:b w:val="0"/>
              </w:rPr>
              <w:t xml:space="preserve">    3.1 DATASET LOADING AND DATABASE SCHEMA</w:t>
            </w:r>
          </w:p>
        </w:tc>
        <w:tc>
          <w:tcPr>
            <w:tcW w:type="dxa" w:w="3000"/>
          </w:tcPr>
          <w:p>
            <w:pPr>
              <w:spacing w:line="276" w:lineRule="auto" w:after="40"/>
              <w:jc w:val="right"/>
            </w:pPr>
            <w:r>
              <w:rPr>
                <w:b w:val="0"/>
              </w:rPr>
              <w:t>13</w:t>
            </w:r>
          </w:p>
        </w:tc>
      </w:tr>
      <w:tr>
        <w:tc>
          <w:tcPr>
            <w:tcW w:type="dxa" w:w="3000"/>
          </w:tcPr>
          <w:p>
            <w:pPr>
              <w:spacing w:line="276" w:lineRule="auto" w:after="40"/>
            </w:pPr>
            <w:r>
              <w:rPr>
                <w:b w:val="0"/>
              </w:rPr>
            </w:r>
          </w:p>
        </w:tc>
        <w:tc>
          <w:tcPr>
            <w:tcW w:type="dxa" w:w="3000"/>
          </w:tcPr>
          <w:p>
            <w:pPr>
              <w:spacing w:line="276" w:lineRule="auto" w:after="40"/>
            </w:pPr>
            <w:r>
              <w:rPr>
                <w:b w:val="0"/>
              </w:rPr>
              <w:t xml:space="preserve">    3.2 DEVELOPMENT ENVIRONMENT</w:t>
            </w:r>
          </w:p>
        </w:tc>
        <w:tc>
          <w:tcPr>
            <w:tcW w:type="dxa" w:w="3000"/>
          </w:tcPr>
          <w:p>
            <w:pPr>
              <w:spacing w:line="276" w:lineRule="auto" w:after="40"/>
              <w:jc w:val="right"/>
            </w:pPr>
            <w:r>
              <w:rPr>
                <w:b w:val="0"/>
              </w:rPr>
              <w:t>14</w:t>
            </w:r>
          </w:p>
        </w:tc>
      </w:tr>
      <w:tr>
        <w:tc>
          <w:tcPr>
            <w:tcW w:type="dxa" w:w="3000"/>
          </w:tcPr>
          <w:p>
            <w:pPr>
              <w:spacing w:line="276" w:lineRule="auto" w:after="40"/>
            </w:pPr>
            <w:r>
              <w:rPr>
                <w:b w:val="0"/>
              </w:rPr>
            </w:r>
          </w:p>
        </w:tc>
        <w:tc>
          <w:tcPr>
            <w:tcW w:type="dxa" w:w="3000"/>
          </w:tcPr>
          <w:p>
            <w:pPr>
              <w:spacing w:line="276" w:lineRule="auto" w:after="40"/>
            </w:pPr>
            <w:r>
              <w:rPr>
                <w:b w:val="0"/>
              </w:rPr>
              <w:t xml:space="preserve">        3.2.1 Hardware Specifications</w:t>
            </w:r>
          </w:p>
        </w:tc>
        <w:tc>
          <w:tcPr>
            <w:tcW w:type="dxa" w:w="3000"/>
          </w:tcPr>
          <w:p>
            <w:pPr>
              <w:spacing w:line="276" w:lineRule="auto" w:after="40"/>
              <w:jc w:val="right"/>
            </w:pPr>
            <w:r>
              <w:rPr>
                <w:b w:val="0"/>
              </w:rPr>
              <w:t>14</w:t>
            </w:r>
          </w:p>
        </w:tc>
      </w:tr>
      <w:tr>
        <w:tc>
          <w:tcPr>
            <w:tcW w:type="dxa" w:w="3000"/>
          </w:tcPr>
          <w:p>
            <w:pPr>
              <w:spacing w:line="276" w:lineRule="auto" w:after="40"/>
            </w:pPr>
            <w:r>
              <w:rPr>
                <w:b w:val="0"/>
              </w:rPr>
            </w:r>
          </w:p>
        </w:tc>
        <w:tc>
          <w:tcPr>
            <w:tcW w:type="dxa" w:w="3000"/>
          </w:tcPr>
          <w:p>
            <w:pPr>
              <w:spacing w:line="276" w:lineRule="auto" w:after="40"/>
            </w:pPr>
            <w:r>
              <w:rPr>
                <w:b w:val="0"/>
              </w:rPr>
              <w:t xml:space="preserve">        3.2.2 Software Specifications</w:t>
            </w:r>
          </w:p>
        </w:tc>
        <w:tc>
          <w:tcPr>
            <w:tcW w:type="dxa" w:w="3000"/>
          </w:tcPr>
          <w:p>
            <w:pPr>
              <w:spacing w:line="276" w:lineRule="auto" w:after="40"/>
              <w:jc w:val="right"/>
            </w:pPr>
            <w:r>
              <w:rPr>
                <w:b w:val="0"/>
              </w:rPr>
              <w:t>15</w:t>
            </w:r>
          </w:p>
        </w:tc>
      </w:tr>
      <w:tr>
        <w:tc>
          <w:tcPr>
            <w:tcW w:type="dxa" w:w="3000"/>
          </w:tcPr>
          <w:p>
            <w:pPr>
              <w:spacing w:line="276" w:lineRule="auto" w:after="40"/>
            </w:pPr>
            <w:r>
              <w:rPr>
                <w:b w:val="0"/>
              </w:rPr>
            </w:r>
          </w:p>
        </w:tc>
        <w:tc>
          <w:tcPr>
            <w:tcW w:type="dxa" w:w="3000"/>
          </w:tcPr>
          <w:p>
            <w:pPr>
              <w:spacing w:line="276" w:lineRule="auto" w:after="40"/>
            </w:pPr>
            <w:r>
              <w:rPr>
                <w:b w:val="0"/>
              </w:rPr>
              <w:t xml:space="preserve">    3.3 ARCHITECTURE</w:t>
            </w:r>
          </w:p>
        </w:tc>
        <w:tc>
          <w:tcPr>
            <w:tcW w:type="dxa" w:w="3000"/>
          </w:tcPr>
          <w:p>
            <w:pPr>
              <w:spacing w:line="276" w:lineRule="auto" w:after="40"/>
              <w:jc w:val="right"/>
            </w:pPr>
            <w:r>
              <w:rPr>
                <w:b w:val="0"/>
              </w:rPr>
              <w:t>15</w:t>
            </w:r>
          </w:p>
        </w:tc>
      </w:tr>
      <w:tr>
        <w:tc>
          <w:tcPr>
            <w:tcW w:type="dxa" w:w="3000"/>
          </w:tcPr>
          <w:p>
            <w:pPr>
              <w:spacing w:line="276" w:lineRule="auto" w:after="40"/>
            </w:pPr>
            <w:r>
              <w:rPr>
                <w:b w:val="0"/>
              </w:rPr>
            </w:r>
          </w:p>
        </w:tc>
        <w:tc>
          <w:tcPr>
            <w:tcW w:type="dxa" w:w="3000"/>
          </w:tcPr>
          <w:p>
            <w:pPr>
              <w:spacing w:line="276" w:lineRule="auto" w:after="40"/>
            </w:pPr>
            <w:r>
              <w:rPr>
                <w:b w:val="0"/>
              </w:rPr>
              <w:t xml:space="preserve">    3.4 NLP AND REQUIREMENT PARSER DESIGN</w:t>
            </w:r>
          </w:p>
        </w:tc>
        <w:tc>
          <w:tcPr>
            <w:tcW w:type="dxa" w:w="3000"/>
          </w:tcPr>
          <w:p>
            <w:pPr>
              <w:spacing w:line="276" w:lineRule="auto" w:after="40"/>
              <w:jc w:val="right"/>
            </w:pPr>
            <w:r>
              <w:rPr>
                <w:b w:val="0"/>
              </w:rPr>
              <w:t>18</w:t>
            </w:r>
          </w:p>
        </w:tc>
      </w:tr>
      <w:tr>
        <w:tc>
          <w:tcPr>
            <w:tcW w:type="dxa" w:w="3000"/>
          </w:tcPr>
          <w:p>
            <w:pPr>
              <w:spacing w:line="276" w:lineRule="auto" w:after="40"/>
            </w:pPr>
            <w:r>
              <w:rPr>
                <w:b w:val="0"/>
              </w:rPr>
            </w:r>
          </w:p>
        </w:tc>
        <w:tc>
          <w:tcPr>
            <w:tcW w:type="dxa" w:w="3000"/>
          </w:tcPr>
          <w:p>
            <w:pPr>
              <w:spacing w:line="276" w:lineRule="auto" w:after="40"/>
            </w:pPr>
            <w:r>
              <w:rPr>
                <w:b w:val="0"/>
              </w:rPr>
              <w:t xml:space="preserve">    3.5 AGENT INTELLIGENCE AND MCP DATA ACCESS LAYER</w:t>
            </w:r>
          </w:p>
        </w:tc>
        <w:tc>
          <w:tcPr>
            <w:tcW w:type="dxa" w:w="3000"/>
          </w:tcPr>
          <w:p>
            <w:pPr>
              <w:spacing w:line="276" w:lineRule="auto" w:after="40"/>
              <w:jc w:val="right"/>
            </w:pPr>
            <w:r>
              <w:rPr>
                <w:b w:val="0"/>
              </w:rPr>
              <w:t>19</w:t>
            </w:r>
          </w:p>
        </w:tc>
      </w:tr>
      <w:tr>
        <w:tc>
          <w:tcPr>
            <w:tcW w:type="dxa" w:w="3000"/>
          </w:tcPr>
          <w:p>
            <w:pPr>
              <w:spacing w:line="276" w:lineRule="auto" w:after="40"/>
            </w:pPr>
            <w:r>
              <w:rPr>
                <w:b w:val="0"/>
              </w:rPr>
            </w:r>
          </w:p>
        </w:tc>
        <w:tc>
          <w:tcPr>
            <w:tcW w:type="dxa" w:w="3000"/>
          </w:tcPr>
          <w:p>
            <w:pPr>
              <w:spacing w:line="276" w:lineRule="auto" w:after="40"/>
            </w:pPr>
            <w:r>
              <w:rPr>
                <w:b w:val="0"/>
              </w:rPr>
              <w:t xml:space="preserve">    3.6 CAPACITY INTELLIGENCE AND OPTIMIZATION LAYER</w:t>
            </w:r>
          </w:p>
        </w:tc>
        <w:tc>
          <w:tcPr>
            <w:tcW w:type="dxa" w:w="3000"/>
          </w:tcPr>
          <w:p>
            <w:pPr>
              <w:spacing w:line="276" w:lineRule="auto" w:after="40"/>
              <w:jc w:val="right"/>
            </w:pPr>
            <w:r>
              <w:rPr>
                <w:b w:val="0"/>
              </w:rPr>
              <w:t>21</w:t>
            </w:r>
          </w:p>
        </w:tc>
      </w:tr>
      <w:tr>
        <w:tc>
          <w:tcPr>
            <w:tcW w:type="dxa" w:w="3000"/>
          </w:tcPr>
          <w:p>
            <w:pPr>
              <w:spacing w:line="276" w:lineRule="auto" w:after="40"/>
            </w:pPr>
            <w:r>
              <w:rPr>
                <w:b w:val="0"/>
              </w:rPr>
            </w:r>
          </w:p>
        </w:tc>
        <w:tc>
          <w:tcPr>
            <w:tcW w:type="dxa" w:w="3000"/>
          </w:tcPr>
          <w:p>
            <w:pPr>
              <w:spacing w:line="276" w:lineRule="auto" w:after="40"/>
            </w:pPr>
            <w:r>
              <w:rPr>
                <w:b w:val="0"/>
              </w:rPr>
              <w:t xml:space="preserve">    3.7 GROUNDED EXPLANATION AND DECISION UI MODULE</w:t>
            </w:r>
          </w:p>
        </w:tc>
        <w:tc>
          <w:tcPr>
            <w:tcW w:type="dxa" w:w="3000"/>
          </w:tcPr>
          <w:p>
            <w:pPr>
              <w:spacing w:line="276" w:lineRule="auto" w:after="40"/>
              <w:jc w:val="right"/>
            </w:pPr>
            <w:r>
              <w:rPr>
                <w:b w:val="0"/>
              </w:rPr>
              <w:t>22</w:t>
            </w:r>
          </w:p>
        </w:tc>
      </w:tr>
      <w:tr>
        <w:tc>
          <w:tcPr>
            <w:tcW w:type="dxa" w:w="3000"/>
          </w:tcPr>
          <w:p>
            <w:pPr>
              <w:spacing w:line="276" w:lineRule="auto" w:after="40"/>
            </w:pPr>
            <w:r>
              <w:rPr>
                <w:b/>
              </w:rPr>
              <w:t>4</w:t>
            </w:r>
          </w:p>
        </w:tc>
        <w:tc>
          <w:tcPr>
            <w:tcW w:type="dxa" w:w="3000"/>
          </w:tcPr>
          <w:p>
            <w:pPr>
              <w:spacing w:line="276" w:lineRule="auto" w:after="40"/>
            </w:pPr>
            <w:r>
              <w:rPr>
                <w:b/>
              </w:rPr>
              <w:t>METHODOLOGY</w:t>
            </w:r>
          </w:p>
        </w:tc>
        <w:tc>
          <w:tcPr>
            <w:tcW w:type="dxa" w:w="3000"/>
          </w:tcPr>
          <w:p>
            <w:pPr>
              <w:spacing w:line="276" w:lineRule="auto" w:after="40"/>
              <w:jc w:val="right"/>
            </w:pPr>
            <w:r>
              <w:rPr>
                <w:b/>
              </w:rPr>
            </w:r>
          </w:p>
        </w:tc>
      </w:tr>
      <w:tr>
        <w:tc>
          <w:tcPr>
            <w:tcW w:type="dxa" w:w="3000"/>
          </w:tcPr>
          <w:p>
            <w:pPr>
              <w:spacing w:line="276" w:lineRule="auto" w:after="40"/>
            </w:pPr>
            <w:r>
              <w:rPr>
                <w:b w:val="0"/>
              </w:rPr>
            </w:r>
          </w:p>
        </w:tc>
        <w:tc>
          <w:tcPr>
            <w:tcW w:type="dxa" w:w="3000"/>
          </w:tcPr>
          <w:p>
            <w:pPr>
              <w:spacing w:line="276" w:lineRule="auto" w:after="40"/>
            </w:pPr>
            <w:r>
              <w:rPr>
                <w:b w:val="0"/>
              </w:rPr>
              <w:t xml:space="preserve">    4.1 DATA COLLECTION, RELATIONAL MODELING, AND PRE-PROCESSING</w:t>
            </w:r>
          </w:p>
        </w:tc>
        <w:tc>
          <w:tcPr>
            <w:tcW w:type="dxa" w:w="3000"/>
          </w:tcPr>
          <w:p>
            <w:pPr>
              <w:spacing w:line="276" w:lineRule="auto" w:after="40"/>
              <w:jc w:val="right"/>
            </w:pPr>
            <w:r>
              <w:rPr>
                <w:b w:val="0"/>
              </w:rPr>
              <w:t>24</w:t>
            </w:r>
          </w:p>
        </w:tc>
      </w:tr>
      <w:tr>
        <w:tc>
          <w:tcPr>
            <w:tcW w:type="dxa" w:w="3000"/>
          </w:tcPr>
          <w:p>
            <w:pPr>
              <w:spacing w:line="276" w:lineRule="auto" w:after="40"/>
            </w:pPr>
            <w:r>
              <w:rPr>
                <w:b w:val="0"/>
              </w:rPr>
            </w:r>
          </w:p>
        </w:tc>
        <w:tc>
          <w:tcPr>
            <w:tcW w:type="dxa" w:w="3000"/>
          </w:tcPr>
          <w:p>
            <w:pPr>
              <w:spacing w:line="276" w:lineRule="auto" w:after="40"/>
            </w:pPr>
            <w:r>
              <w:rPr>
                <w:b w:val="0"/>
              </w:rPr>
              <w:t xml:space="preserve">    4.2 MULTI-AGENT ORCHESTRATION USING LANGGRAPH</w:t>
            </w:r>
          </w:p>
        </w:tc>
        <w:tc>
          <w:tcPr>
            <w:tcW w:type="dxa" w:w="3000"/>
          </w:tcPr>
          <w:p>
            <w:pPr>
              <w:spacing w:line="276" w:lineRule="auto" w:after="40"/>
              <w:jc w:val="right"/>
            </w:pPr>
            <w:r>
              <w:rPr>
                <w:b w:val="0"/>
              </w:rPr>
              <w:t>25</w:t>
            </w:r>
          </w:p>
        </w:tc>
      </w:tr>
      <w:tr>
        <w:tc>
          <w:tcPr>
            <w:tcW w:type="dxa" w:w="3000"/>
          </w:tcPr>
          <w:p>
            <w:pPr>
              <w:spacing w:line="276" w:lineRule="auto" w:after="40"/>
            </w:pPr>
            <w:r>
              <w:rPr>
                <w:b w:val="0"/>
              </w:rPr>
            </w:r>
          </w:p>
        </w:tc>
        <w:tc>
          <w:tcPr>
            <w:tcW w:type="dxa" w:w="3000"/>
          </w:tcPr>
          <w:p>
            <w:pPr>
              <w:spacing w:line="276" w:lineRule="auto" w:after="40"/>
            </w:pPr>
            <w:r>
              <w:rPr>
                <w:b w:val="0"/>
              </w:rPr>
              <w:t xml:space="preserve">    4.3 CAPACITY INTELLIGENCE AND CANDIDATE GATING</w:t>
            </w:r>
          </w:p>
        </w:tc>
        <w:tc>
          <w:tcPr>
            <w:tcW w:type="dxa" w:w="3000"/>
          </w:tcPr>
          <w:p>
            <w:pPr>
              <w:spacing w:line="276" w:lineRule="auto" w:after="40"/>
              <w:jc w:val="right"/>
            </w:pPr>
            <w:r>
              <w:rPr>
                <w:b w:val="0"/>
              </w:rPr>
              <w:t>27</w:t>
            </w:r>
          </w:p>
        </w:tc>
      </w:tr>
      <w:tr>
        <w:tc>
          <w:tcPr>
            <w:tcW w:type="dxa" w:w="3000"/>
          </w:tcPr>
          <w:p>
            <w:pPr>
              <w:spacing w:line="276" w:lineRule="auto" w:after="40"/>
            </w:pPr>
            <w:r>
              <w:rPr>
                <w:b w:val="0"/>
              </w:rPr>
            </w:r>
          </w:p>
        </w:tc>
        <w:tc>
          <w:tcPr>
            <w:tcW w:type="dxa" w:w="3000"/>
          </w:tcPr>
          <w:p>
            <w:pPr>
              <w:spacing w:line="276" w:lineRule="auto" w:after="40"/>
            </w:pPr>
            <w:r>
              <w:rPr>
                <w:b w:val="0"/>
              </w:rPr>
              <w:t xml:space="preserve">    4.4 MATHEMATICAL OPTIMIZATION FORMULATION (MILP)</w:t>
            </w:r>
          </w:p>
        </w:tc>
        <w:tc>
          <w:tcPr>
            <w:tcW w:type="dxa" w:w="3000"/>
          </w:tcPr>
          <w:p>
            <w:pPr>
              <w:spacing w:line="276" w:lineRule="auto" w:after="40"/>
              <w:jc w:val="right"/>
            </w:pPr>
            <w:r>
              <w:rPr>
                <w:b w:val="0"/>
              </w:rPr>
              <w:t>28</w:t>
            </w:r>
          </w:p>
        </w:tc>
      </w:tr>
      <w:tr>
        <w:tc>
          <w:tcPr>
            <w:tcW w:type="dxa" w:w="3000"/>
          </w:tcPr>
          <w:p>
            <w:pPr>
              <w:spacing w:line="276" w:lineRule="auto" w:after="40"/>
            </w:pPr>
            <w:r>
              <w:rPr>
                <w:b w:val="0"/>
              </w:rPr>
            </w:r>
          </w:p>
        </w:tc>
        <w:tc>
          <w:tcPr>
            <w:tcW w:type="dxa" w:w="3000"/>
          </w:tcPr>
          <w:p>
            <w:pPr>
              <w:spacing w:line="276" w:lineRule="auto" w:after="40"/>
            </w:pPr>
            <w:r>
              <w:rPr>
                <w:b w:val="0"/>
              </w:rPr>
              <w:t xml:space="preserve">    4.5 POST-SOLVER VERIFICATION AND GROUNDED EXPLANATIONS</w:t>
            </w:r>
          </w:p>
        </w:tc>
        <w:tc>
          <w:tcPr>
            <w:tcW w:type="dxa" w:w="3000"/>
          </w:tcPr>
          <w:p>
            <w:pPr>
              <w:spacing w:line="276" w:lineRule="auto" w:after="40"/>
              <w:jc w:val="right"/>
            </w:pPr>
            <w:r>
              <w:rPr>
                <w:b w:val="0"/>
              </w:rPr>
              <w:t>30</w:t>
            </w:r>
          </w:p>
        </w:tc>
      </w:tr>
      <w:tr>
        <w:tc>
          <w:tcPr>
            <w:tcW w:type="dxa" w:w="3000"/>
          </w:tcPr>
          <w:p>
            <w:pPr>
              <w:spacing w:line="276" w:lineRule="auto" w:after="40"/>
            </w:pPr>
            <w:r>
              <w:rPr>
                <w:b/>
              </w:rPr>
              <w:t>5</w:t>
            </w:r>
          </w:p>
        </w:tc>
        <w:tc>
          <w:tcPr>
            <w:tcW w:type="dxa" w:w="3000"/>
          </w:tcPr>
          <w:p>
            <w:pPr>
              <w:spacing w:line="276" w:lineRule="auto" w:after="40"/>
            </w:pPr>
            <w:r>
              <w:rPr>
                <w:b/>
              </w:rPr>
              <w:t>RESULTS AND DISCUSSIONS</w:t>
            </w:r>
          </w:p>
        </w:tc>
        <w:tc>
          <w:tcPr>
            <w:tcW w:type="dxa" w:w="3000"/>
          </w:tcPr>
          <w:p>
            <w:pPr>
              <w:spacing w:line="276" w:lineRule="auto" w:after="40"/>
              <w:jc w:val="right"/>
            </w:pPr>
            <w:r>
              <w:rPr>
                <w:b/>
              </w:rPr>
            </w:r>
          </w:p>
        </w:tc>
      </w:tr>
      <w:tr>
        <w:tc>
          <w:tcPr>
            <w:tcW w:type="dxa" w:w="3000"/>
          </w:tcPr>
          <w:p>
            <w:pPr>
              <w:spacing w:line="276" w:lineRule="auto" w:after="40"/>
            </w:pPr>
            <w:r>
              <w:rPr>
                <w:b w:val="0"/>
              </w:rPr>
            </w:r>
          </w:p>
        </w:tc>
        <w:tc>
          <w:tcPr>
            <w:tcW w:type="dxa" w:w="3000"/>
          </w:tcPr>
          <w:p>
            <w:pPr>
              <w:spacing w:line="276" w:lineRule="auto" w:after="40"/>
            </w:pPr>
            <w:r>
              <w:rPr>
                <w:b w:val="0"/>
              </w:rPr>
              <w:t xml:space="preserve">    5.1 OVERVIEW</w:t>
            </w:r>
          </w:p>
        </w:tc>
        <w:tc>
          <w:tcPr>
            <w:tcW w:type="dxa" w:w="3000"/>
          </w:tcPr>
          <w:p>
            <w:pPr>
              <w:spacing w:line="276" w:lineRule="auto" w:after="40"/>
              <w:jc w:val="right"/>
            </w:pPr>
            <w:r>
              <w:rPr>
                <w:b w:val="0"/>
              </w:rPr>
              <w:t>31</w:t>
            </w:r>
          </w:p>
        </w:tc>
      </w:tr>
      <w:tr>
        <w:tc>
          <w:tcPr>
            <w:tcW w:type="dxa" w:w="3000"/>
          </w:tcPr>
          <w:p>
            <w:pPr>
              <w:spacing w:line="276" w:lineRule="auto" w:after="40"/>
            </w:pPr>
            <w:r>
              <w:rPr>
                <w:b w:val="0"/>
              </w:rPr>
            </w:r>
          </w:p>
        </w:tc>
        <w:tc>
          <w:tcPr>
            <w:tcW w:type="dxa" w:w="3000"/>
          </w:tcPr>
          <w:p>
            <w:pPr>
              <w:spacing w:line="276" w:lineRule="auto" w:after="40"/>
            </w:pPr>
            <w:r>
              <w:rPr>
                <w:b w:val="0"/>
              </w:rPr>
              <w:t xml:space="preserve">    5.2 FUNCTIONAL VERIFICATION AND CASE STUDIES</w:t>
            </w:r>
          </w:p>
        </w:tc>
        <w:tc>
          <w:tcPr>
            <w:tcW w:type="dxa" w:w="3000"/>
          </w:tcPr>
          <w:p>
            <w:pPr>
              <w:spacing w:line="276" w:lineRule="auto" w:after="40"/>
              <w:jc w:val="right"/>
            </w:pPr>
            <w:r>
              <w:rPr>
                <w:b w:val="0"/>
              </w:rPr>
              <w:t>31</w:t>
            </w:r>
          </w:p>
        </w:tc>
      </w:tr>
      <w:tr>
        <w:tc>
          <w:tcPr>
            <w:tcW w:type="dxa" w:w="3000"/>
          </w:tcPr>
          <w:p>
            <w:pPr>
              <w:spacing w:line="276" w:lineRule="auto" w:after="40"/>
            </w:pPr>
            <w:r>
              <w:rPr>
                <w:b w:val="0"/>
              </w:rPr>
            </w:r>
          </w:p>
        </w:tc>
        <w:tc>
          <w:tcPr>
            <w:tcW w:type="dxa" w:w="3000"/>
          </w:tcPr>
          <w:p>
            <w:pPr>
              <w:spacing w:line="276" w:lineRule="auto" w:after="40"/>
            </w:pPr>
            <w:r>
              <w:rPr>
                <w:b w:val="0"/>
              </w:rPr>
              <w:t xml:space="preserve">    5.3 MILP OPTIMIZATION AND SOLVER CONVERGENCE</w:t>
            </w:r>
          </w:p>
        </w:tc>
        <w:tc>
          <w:tcPr>
            <w:tcW w:type="dxa" w:w="3000"/>
          </w:tcPr>
          <w:p>
            <w:pPr>
              <w:spacing w:line="276" w:lineRule="auto" w:after="40"/>
              <w:jc w:val="right"/>
            </w:pPr>
            <w:r>
              <w:rPr>
                <w:b w:val="0"/>
              </w:rPr>
              <w:t>32</w:t>
            </w:r>
          </w:p>
        </w:tc>
      </w:tr>
      <w:tr>
        <w:tc>
          <w:tcPr>
            <w:tcW w:type="dxa" w:w="3000"/>
          </w:tcPr>
          <w:p>
            <w:pPr>
              <w:spacing w:line="276" w:lineRule="auto" w:after="40"/>
            </w:pPr>
            <w:r>
              <w:rPr>
                <w:b w:val="0"/>
              </w:rPr>
            </w:r>
          </w:p>
        </w:tc>
        <w:tc>
          <w:tcPr>
            <w:tcW w:type="dxa" w:w="3000"/>
          </w:tcPr>
          <w:p>
            <w:pPr>
              <w:spacing w:line="276" w:lineRule="auto" w:after="40"/>
            </w:pPr>
            <w:r>
              <w:rPr>
                <w:b w:val="0"/>
              </w:rPr>
              <w:t xml:space="preserve">    5.4 CAPACITY INTELLIGENCE AND CANDIDATE REDUCTION RESULTS</w:t>
            </w:r>
          </w:p>
        </w:tc>
        <w:tc>
          <w:tcPr>
            <w:tcW w:type="dxa" w:w="3000"/>
          </w:tcPr>
          <w:p>
            <w:pPr>
              <w:spacing w:line="276" w:lineRule="auto" w:after="40"/>
              <w:jc w:val="right"/>
            </w:pPr>
            <w:r>
              <w:rPr>
                <w:b w:val="0"/>
              </w:rPr>
              <w:t>33</w:t>
            </w:r>
          </w:p>
        </w:tc>
      </w:tr>
      <w:tr>
        <w:tc>
          <w:tcPr>
            <w:tcW w:type="dxa" w:w="3000"/>
          </w:tcPr>
          <w:p>
            <w:pPr>
              <w:spacing w:line="276" w:lineRule="auto" w:after="40"/>
            </w:pPr>
            <w:r>
              <w:rPr>
                <w:b w:val="0"/>
              </w:rPr>
            </w:r>
          </w:p>
        </w:tc>
        <w:tc>
          <w:tcPr>
            <w:tcW w:type="dxa" w:w="3000"/>
          </w:tcPr>
          <w:p>
            <w:pPr>
              <w:spacing w:line="276" w:lineRule="auto" w:after="40"/>
            </w:pPr>
            <w:r>
              <w:rPr>
                <w:b w:val="0"/>
              </w:rPr>
              <w:t xml:space="preserve">    5.5 PIPELINE LATENCY AND PERFORMANCE PROFILING</w:t>
            </w:r>
          </w:p>
        </w:tc>
        <w:tc>
          <w:tcPr>
            <w:tcW w:type="dxa" w:w="3000"/>
          </w:tcPr>
          <w:p>
            <w:pPr>
              <w:spacing w:line="276" w:lineRule="auto" w:after="40"/>
              <w:jc w:val="right"/>
            </w:pPr>
            <w:r>
              <w:rPr>
                <w:b w:val="0"/>
              </w:rPr>
              <w:t>34</w:t>
            </w:r>
          </w:p>
        </w:tc>
      </w:tr>
      <w:tr>
        <w:tc>
          <w:tcPr>
            <w:tcW w:type="dxa" w:w="3000"/>
          </w:tcPr>
          <w:p>
            <w:pPr>
              <w:spacing w:line="276" w:lineRule="auto" w:after="40"/>
            </w:pPr>
            <w:r>
              <w:rPr>
                <w:b w:val="0"/>
              </w:rPr>
            </w:r>
          </w:p>
        </w:tc>
        <w:tc>
          <w:tcPr>
            <w:tcW w:type="dxa" w:w="3000"/>
          </w:tcPr>
          <w:p>
            <w:pPr>
              <w:spacing w:line="276" w:lineRule="auto" w:after="40"/>
            </w:pPr>
            <w:r>
              <w:rPr>
                <w:b w:val="0"/>
              </w:rPr>
              <w:t xml:space="preserve">    5.6 GROUNDED EXPLANATION FIDELITY AUDIT</w:t>
            </w:r>
          </w:p>
        </w:tc>
        <w:tc>
          <w:tcPr>
            <w:tcW w:type="dxa" w:w="3000"/>
          </w:tcPr>
          <w:p>
            <w:pPr>
              <w:spacing w:line="276" w:lineRule="auto" w:after="40"/>
              <w:jc w:val="right"/>
            </w:pPr>
            <w:r>
              <w:rPr>
                <w:b w:val="0"/>
              </w:rPr>
              <w:t>35</w:t>
            </w:r>
          </w:p>
        </w:tc>
      </w:tr>
      <w:tr>
        <w:tc>
          <w:tcPr>
            <w:tcW w:type="dxa" w:w="3000"/>
          </w:tcPr>
          <w:p>
            <w:pPr>
              <w:spacing w:line="276" w:lineRule="auto" w:after="40"/>
            </w:pPr>
            <w:r>
              <w:rPr>
                <w:b w:val="0"/>
              </w:rPr>
            </w:r>
          </w:p>
        </w:tc>
        <w:tc>
          <w:tcPr>
            <w:tcW w:type="dxa" w:w="3000"/>
          </w:tcPr>
          <w:p>
            <w:pPr>
              <w:spacing w:line="276" w:lineRule="auto" w:after="40"/>
            </w:pPr>
            <w:r>
              <w:rPr>
                <w:b w:val="0"/>
              </w:rPr>
              <w:t xml:space="preserve">    5.7 COMPARATIVE EVALUATION</w:t>
            </w:r>
          </w:p>
        </w:tc>
        <w:tc>
          <w:tcPr>
            <w:tcW w:type="dxa" w:w="3000"/>
          </w:tcPr>
          <w:p>
            <w:pPr>
              <w:spacing w:line="276" w:lineRule="auto" w:after="40"/>
              <w:jc w:val="right"/>
            </w:pPr>
            <w:r>
              <w:rPr>
                <w:b w:val="0"/>
              </w:rPr>
              <w:t>36</w:t>
            </w:r>
          </w:p>
        </w:tc>
      </w:tr>
      <w:tr>
        <w:tc>
          <w:tcPr>
            <w:tcW w:type="dxa" w:w="3000"/>
          </w:tcPr>
          <w:p>
            <w:pPr>
              <w:spacing w:line="276" w:lineRule="auto" w:after="40"/>
            </w:pPr>
            <w:r>
              <w:rPr>
                <w:b w:val="0"/>
              </w:rPr>
            </w:r>
          </w:p>
        </w:tc>
        <w:tc>
          <w:tcPr>
            <w:tcW w:type="dxa" w:w="3000"/>
          </w:tcPr>
          <w:p>
            <w:pPr>
              <w:spacing w:line="276" w:lineRule="auto" w:after="40"/>
            </w:pPr>
            <w:r>
              <w:rPr>
                <w:b w:val="0"/>
              </w:rPr>
              <w:t xml:space="preserve">    5.8 DISCUSSION AND OPERATIONAL INSIGHTS</w:t>
            </w:r>
          </w:p>
        </w:tc>
        <w:tc>
          <w:tcPr>
            <w:tcW w:type="dxa" w:w="3000"/>
          </w:tcPr>
          <w:p>
            <w:pPr>
              <w:spacing w:line="276" w:lineRule="auto" w:after="40"/>
              <w:jc w:val="right"/>
            </w:pPr>
            <w:r>
              <w:rPr>
                <w:b w:val="0"/>
              </w:rPr>
              <w:t>37</w:t>
            </w:r>
          </w:p>
        </w:tc>
      </w:tr>
      <w:tr>
        <w:tc>
          <w:tcPr>
            <w:tcW w:type="dxa" w:w="3000"/>
          </w:tcPr>
          <w:p>
            <w:pPr>
              <w:spacing w:line="276" w:lineRule="auto" w:after="40"/>
            </w:pPr>
            <w:r>
              <w:rPr>
                <w:b/>
              </w:rPr>
              <w:t>6</w:t>
            </w:r>
          </w:p>
        </w:tc>
        <w:tc>
          <w:tcPr>
            <w:tcW w:type="dxa" w:w="3000"/>
          </w:tcPr>
          <w:p>
            <w:pPr>
              <w:spacing w:line="276" w:lineRule="auto" w:after="40"/>
            </w:pPr>
            <w:r>
              <w:rPr>
                <w:b/>
              </w:rPr>
              <w:t>CONCLUSION AND FUTURE ENHANCEMENTS</w:t>
            </w:r>
          </w:p>
        </w:tc>
        <w:tc>
          <w:tcPr>
            <w:tcW w:type="dxa" w:w="3000"/>
          </w:tcPr>
          <w:p>
            <w:pPr>
              <w:spacing w:line="276" w:lineRule="auto" w:after="40"/>
              <w:jc w:val="right"/>
            </w:pPr>
            <w:r>
              <w:rPr>
                <w:b/>
              </w:rPr>
            </w:r>
          </w:p>
        </w:tc>
      </w:tr>
      <w:tr>
        <w:tc>
          <w:tcPr>
            <w:tcW w:type="dxa" w:w="3000"/>
          </w:tcPr>
          <w:p>
            <w:pPr>
              <w:spacing w:line="276" w:lineRule="auto" w:after="40"/>
            </w:pPr>
            <w:r>
              <w:rPr>
                <w:b w:val="0"/>
              </w:rPr>
            </w:r>
          </w:p>
        </w:tc>
        <w:tc>
          <w:tcPr>
            <w:tcW w:type="dxa" w:w="3000"/>
          </w:tcPr>
          <w:p>
            <w:pPr>
              <w:spacing w:line="276" w:lineRule="auto" w:after="40"/>
            </w:pPr>
            <w:r>
              <w:rPr>
                <w:b w:val="0"/>
              </w:rPr>
              <w:t xml:space="preserve">    6.1 CONCLUSION</w:t>
            </w:r>
          </w:p>
        </w:tc>
        <w:tc>
          <w:tcPr>
            <w:tcW w:type="dxa" w:w="3000"/>
          </w:tcPr>
          <w:p>
            <w:pPr>
              <w:spacing w:line="276" w:lineRule="auto" w:after="40"/>
              <w:jc w:val="right"/>
            </w:pPr>
            <w:r>
              <w:rPr>
                <w:b w:val="0"/>
              </w:rPr>
              <w:t>38</w:t>
            </w:r>
          </w:p>
        </w:tc>
      </w:tr>
      <w:tr>
        <w:tc>
          <w:tcPr>
            <w:tcW w:type="dxa" w:w="3000"/>
          </w:tcPr>
          <w:p>
            <w:pPr>
              <w:spacing w:line="276" w:lineRule="auto" w:after="40"/>
            </w:pPr>
            <w:r>
              <w:rPr>
                <w:b w:val="0"/>
              </w:rPr>
            </w:r>
          </w:p>
        </w:tc>
        <w:tc>
          <w:tcPr>
            <w:tcW w:type="dxa" w:w="3000"/>
          </w:tcPr>
          <w:p>
            <w:pPr>
              <w:spacing w:line="276" w:lineRule="auto" w:after="40"/>
            </w:pPr>
            <w:r>
              <w:rPr>
                <w:b w:val="0"/>
              </w:rPr>
              <w:t xml:space="preserve">    6.2 FUTURE ENHANCEMENTS</w:t>
            </w:r>
          </w:p>
        </w:tc>
        <w:tc>
          <w:tcPr>
            <w:tcW w:type="dxa" w:w="3000"/>
          </w:tcPr>
          <w:p>
            <w:pPr>
              <w:spacing w:line="276" w:lineRule="auto" w:after="40"/>
              <w:jc w:val="right"/>
            </w:pPr>
            <w:r>
              <w:rPr>
                <w:b w:val="0"/>
              </w:rPr>
              <w:t>39</w:t>
            </w:r>
          </w:p>
        </w:tc>
      </w:tr>
      <w:tr>
        <w:tc>
          <w:tcPr>
            <w:tcW w:type="dxa" w:w="3000"/>
          </w:tcPr>
          <w:p>
            <w:pPr>
              <w:spacing w:line="276" w:lineRule="auto" w:after="40"/>
            </w:pPr>
            <w:r>
              <w:rPr>
                <w:b/>
              </w:rPr>
            </w:r>
          </w:p>
        </w:tc>
        <w:tc>
          <w:tcPr>
            <w:tcW w:type="dxa" w:w="3000"/>
          </w:tcPr>
          <w:p>
            <w:pPr>
              <w:spacing w:line="276" w:lineRule="auto" w:after="40"/>
            </w:pPr>
            <w:r>
              <w:rPr>
                <w:b/>
              </w:rPr>
              <w:t>APPENDIX: PAPER PUBLICATION CONFIRMATION</w:t>
            </w:r>
          </w:p>
        </w:tc>
        <w:tc>
          <w:tcPr>
            <w:tcW w:type="dxa" w:w="3000"/>
          </w:tcPr>
          <w:p>
            <w:pPr>
              <w:spacing w:line="276" w:lineRule="auto" w:after="40"/>
              <w:jc w:val="right"/>
            </w:pPr>
            <w:r>
              <w:rPr>
                <w:b/>
              </w:rPr>
              <w:t>40</w:t>
            </w:r>
          </w:p>
        </w:tc>
      </w:tr>
      <w:tr>
        <w:tc>
          <w:tcPr>
            <w:tcW w:type="dxa" w:w="3000"/>
          </w:tcPr>
          <w:p>
            <w:pPr>
              <w:spacing w:line="276" w:lineRule="auto" w:after="40"/>
            </w:pPr>
            <w:r>
              <w:rPr>
                <w:b/>
              </w:rPr>
            </w:r>
          </w:p>
        </w:tc>
        <w:tc>
          <w:tcPr>
            <w:tcW w:type="dxa" w:w="3000"/>
          </w:tcPr>
          <w:p>
            <w:pPr>
              <w:spacing w:line="276" w:lineRule="auto" w:after="40"/>
            </w:pPr>
            <w:r>
              <w:rPr>
                <w:b/>
              </w:rPr>
              <w:t>REFERENCES</w:t>
            </w:r>
          </w:p>
        </w:tc>
        <w:tc>
          <w:tcPr>
            <w:tcW w:type="dxa" w:w="3000"/>
          </w:tcPr>
          <w:p>
            <w:pPr>
              <w:spacing w:line="276" w:lineRule="auto" w:after="40"/>
              <w:jc w:val="right"/>
            </w:pPr>
            <w:r>
              <w:rPr>
                <w:b/>
              </w:rPr>
              <w:t>41</w:t>
            </w:r>
          </w:p>
        </w:tc>
      </w:tr>
    </w:tbl>
    <w:p>
      <w:r>
        <w:br w:type="page"/>
      </w:r>
    </w:p>
    <w:p>
      <w:pPr>
        <w:spacing w:before="0" w:after="120" w:line="360" w:lineRule="auto"/>
        <w:jc w:val="right"/>
      </w:pPr>
      <w:r>
        <w:rPr>
          <w:rFonts w:ascii="Times New Roman" w:hAnsi="Times New Roman"/>
          <w:b w:val="0"/>
          <w:i w:val="0"/>
          <w:color w:val="000000"/>
          <w:sz w:val="20"/>
        </w:rPr>
        <w:t>xi</w:t>
      </w:r>
    </w:p>
    <w:p>
      <w:pPr>
        <w:spacing w:before="240" w:after="320" w:line="360"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Pr>
      <w:tblGrid>
        <w:gridCol w:w="3000"/>
        <w:gridCol w:w="3000"/>
        <w:gridCol w:w="3000"/>
      </w:tblGrid>
      <w:tr>
        <w:tc>
          <w:tcPr>
            <w:tcW w:type="dxa" w:w="3000"/>
            <w:shd w:fill="F8FAFC"/>
          </w:tcPr>
          <w:p>
            <w:r>
              <w:rPr>
                <w:b/>
              </w:rPr>
              <w:t>FIGURE NO</w:t>
            </w:r>
          </w:p>
        </w:tc>
        <w:tc>
          <w:tcPr>
            <w:tcW w:type="dxa" w:w="3000"/>
            <w:shd w:fill="F8FAFC"/>
          </w:tcPr>
          <w:p>
            <w:r>
              <w:rPr>
                <w:b/>
              </w:rPr>
              <w:t>NAME</w:t>
            </w:r>
          </w:p>
        </w:tc>
        <w:tc>
          <w:tcPr>
            <w:tcW w:type="dxa" w:w="3000"/>
            <w:shd w:fill="F8FAFC"/>
          </w:tcPr>
          <w:p>
            <w:r>
              <w:rPr>
                <w:b/>
              </w:rPr>
              <w:t>PAGE NO</w:t>
            </w:r>
          </w:p>
        </w:tc>
      </w:tr>
      <w:tr>
        <w:tc>
          <w:tcPr>
            <w:tcW w:type="dxa" w:w="3000"/>
          </w:tcPr>
          <w:p>
            <w:pPr>
              <w:spacing w:line="276" w:lineRule="auto" w:after="60"/>
              <w:jc w:val="center"/>
            </w:pPr>
            <w:r>
              <w:t>3.1</w:t>
            </w:r>
          </w:p>
        </w:tc>
        <w:tc>
          <w:tcPr>
            <w:tcW w:type="dxa" w:w="3000"/>
          </w:tcPr>
          <w:p>
            <w:pPr>
              <w:spacing w:line="276" w:lineRule="auto" w:after="60"/>
            </w:pPr>
            <w:r>
              <w:t>System Architecture of AEMIIF</w:t>
            </w:r>
          </w:p>
        </w:tc>
        <w:tc>
          <w:tcPr>
            <w:tcW w:type="dxa" w:w="3000"/>
          </w:tcPr>
          <w:p>
            <w:pPr>
              <w:spacing w:line="276" w:lineRule="auto" w:after="60"/>
              <w:jc w:val="right"/>
            </w:pPr>
            <w:r>
              <w:t>17</w:t>
            </w:r>
          </w:p>
        </w:tc>
      </w:tr>
      <w:tr>
        <w:tc>
          <w:tcPr>
            <w:tcW w:type="dxa" w:w="3000"/>
          </w:tcPr>
          <w:p>
            <w:pPr>
              <w:spacing w:line="276" w:lineRule="auto" w:after="60"/>
              <w:jc w:val="center"/>
            </w:pPr>
            <w:r>
              <w:t>4.1</w:t>
            </w:r>
          </w:p>
        </w:tc>
        <w:tc>
          <w:tcPr>
            <w:tcW w:type="dxa" w:w="3000"/>
          </w:tcPr>
          <w:p>
            <w:pPr>
              <w:spacing w:line="276" w:lineRule="auto" w:after="60"/>
            </w:pPr>
            <w:r>
              <w:t>LangGraph 10-Node Workflow and Conditional Execution Routing</w:t>
            </w:r>
          </w:p>
        </w:tc>
        <w:tc>
          <w:tcPr>
            <w:tcW w:type="dxa" w:w="3000"/>
          </w:tcPr>
          <w:p>
            <w:pPr>
              <w:spacing w:line="276" w:lineRule="auto" w:after="60"/>
              <w:jc w:val="right"/>
            </w:pPr>
            <w:r>
              <w:t>26</w:t>
            </w:r>
          </w:p>
        </w:tc>
      </w:tr>
      <w:tr>
        <w:tc>
          <w:tcPr>
            <w:tcW w:type="dxa" w:w="3000"/>
          </w:tcPr>
          <w:p>
            <w:pPr>
              <w:spacing w:line="276" w:lineRule="auto" w:after="60"/>
              <w:jc w:val="center"/>
            </w:pPr>
            <w:r>
              <w:t>5.1</w:t>
            </w:r>
          </w:p>
        </w:tc>
        <w:tc>
          <w:tcPr>
            <w:tcW w:type="dxa" w:w="3000"/>
          </w:tcPr>
          <w:p>
            <w:pPr>
              <w:spacing w:line="276" w:lineRule="auto" w:after="60"/>
            </w:pPr>
            <w:r>
              <w:t>Streamlit Decision Intelligence Interface and Live Execution Panel</w:t>
            </w:r>
          </w:p>
        </w:tc>
        <w:tc>
          <w:tcPr>
            <w:tcW w:type="dxa" w:w="3000"/>
          </w:tcPr>
          <w:p>
            <w:pPr>
              <w:spacing w:line="276" w:lineRule="auto" w:after="60"/>
              <w:jc w:val="right"/>
            </w:pPr>
            <w:r>
              <w:t>32</w:t>
            </w:r>
          </w:p>
        </w:tc>
      </w:tr>
      <w:tr>
        <w:tc>
          <w:tcPr>
            <w:tcW w:type="dxa" w:w="3000"/>
          </w:tcPr>
          <w:p>
            <w:pPr>
              <w:spacing w:line="276" w:lineRule="auto" w:after="60"/>
              <w:jc w:val="center"/>
            </w:pPr>
            <w:r>
              <w:t>6.1</w:t>
            </w:r>
          </w:p>
        </w:tc>
        <w:tc>
          <w:tcPr>
            <w:tcW w:type="dxa" w:w="3000"/>
          </w:tcPr>
          <w:p>
            <w:pPr>
              <w:spacing w:line="276" w:lineRule="auto" w:after="60"/>
            </w:pPr>
            <w:r>
              <w:t>Conference Paper Submission and Review Confirmation</w:t>
            </w:r>
          </w:p>
        </w:tc>
        <w:tc>
          <w:tcPr>
            <w:tcW w:type="dxa" w:w="3000"/>
          </w:tcPr>
          <w:p>
            <w:pPr>
              <w:spacing w:line="276" w:lineRule="auto" w:after="60"/>
              <w:jc w:val="right"/>
            </w:pPr>
            <w:r>
              <w:t>40</w:t>
            </w:r>
          </w:p>
        </w:tc>
      </w:tr>
    </w:tbl>
    <w:p>
      <w:pPr>
        <w:spacing w:before="480" w:after="240" w:line="360" w:lineRule="auto"/>
        <w:jc w:val="both"/>
      </w:pPr>
    </w:p>
    <w:p>
      <w:pPr>
        <w:spacing w:before="0" w:after="120" w:line="360" w:lineRule="auto"/>
        <w:jc w:val="right"/>
      </w:pPr>
      <w:r>
        <w:rPr>
          <w:rFonts w:ascii="Times New Roman" w:hAnsi="Times New Roman"/>
          <w:b w:val="0"/>
          <w:i w:val="0"/>
          <w:color w:val="000000"/>
          <w:sz w:val="20"/>
        </w:rPr>
        <w:t>xii</w:t>
      </w:r>
    </w:p>
    <w:p>
      <w:pPr>
        <w:spacing w:before="240" w:after="320" w:line="360"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Pr>
      <w:tblGrid>
        <w:gridCol w:w="3000"/>
        <w:gridCol w:w="3000"/>
        <w:gridCol w:w="3000"/>
      </w:tblGrid>
      <w:tr>
        <w:tc>
          <w:tcPr>
            <w:tcW w:type="dxa" w:w="3000"/>
            <w:shd w:fill="F8FAFC"/>
          </w:tcPr>
          <w:p>
            <w:r>
              <w:rPr>
                <w:b/>
              </w:rPr>
              <w:t>TABLE NO</w:t>
            </w:r>
          </w:p>
        </w:tc>
        <w:tc>
          <w:tcPr>
            <w:tcW w:type="dxa" w:w="3000"/>
            <w:shd w:fill="F8FAFC"/>
          </w:tcPr>
          <w:p>
            <w:r>
              <w:rPr>
                <w:b/>
              </w:rPr>
              <w:t>NAME</w:t>
            </w:r>
          </w:p>
        </w:tc>
        <w:tc>
          <w:tcPr>
            <w:tcW w:type="dxa" w:w="3000"/>
            <w:shd w:fill="F8FAFC"/>
          </w:tcPr>
          <w:p>
            <w:r>
              <w:rPr>
                <w:b/>
              </w:rPr>
              <w:t>PAGE NO</w:t>
            </w:r>
          </w:p>
        </w:tc>
      </w:tr>
      <w:tr>
        <w:tc>
          <w:tcPr>
            <w:tcW w:type="dxa" w:w="3000"/>
          </w:tcPr>
          <w:p>
            <w:pPr>
              <w:spacing w:line="276" w:lineRule="auto" w:after="60"/>
              <w:jc w:val="center"/>
            </w:pPr>
            <w:r>
              <w:t>3.1</w:t>
            </w:r>
          </w:p>
        </w:tc>
        <w:tc>
          <w:tcPr>
            <w:tcW w:type="dxa" w:w="3000"/>
          </w:tcPr>
          <w:p>
            <w:pPr>
              <w:spacing w:line="276" w:lineRule="auto" w:after="60"/>
            </w:pPr>
            <w:r>
              <w:t>Hardware Specifications</w:t>
            </w:r>
          </w:p>
        </w:tc>
        <w:tc>
          <w:tcPr>
            <w:tcW w:type="dxa" w:w="3000"/>
          </w:tcPr>
          <w:p>
            <w:pPr>
              <w:spacing w:line="276" w:lineRule="auto" w:after="60"/>
              <w:jc w:val="right"/>
            </w:pPr>
            <w:r>
              <w:t>14</w:t>
            </w:r>
          </w:p>
        </w:tc>
      </w:tr>
      <w:tr>
        <w:tc>
          <w:tcPr>
            <w:tcW w:type="dxa" w:w="3000"/>
          </w:tcPr>
          <w:p>
            <w:pPr>
              <w:spacing w:line="276" w:lineRule="auto" w:after="60"/>
              <w:jc w:val="center"/>
            </w:pPr>
            <w:r>
              <w:t>3.2</w:t>
            </w:r>
          </w:p>
        </w:tc>
        <w:tc>
          <w:tcPr>
            <w:tcW w:type="dxa" w:w="3000"/>
          </w:tcPr>
          <w:p>
            <w:pPr>
              <w:spacing w:line="276" w:lineRule="auto" w:after="60"/>
            </w:pPr>
            <w:r>
              <w:t>Software Specifications and Frameworks</w:t>
            </w:r>
          </w:p>
        </w:tc>
        <w:tc>
          <w:tcPr>
            <w:tcW w:type="dxa" w:w="3000"/>
          </w:tcPr>
          <w:p>
            <w:pPr>
              <w:spacing w:line="276" w:lineRule="auto" w:after="60"/>
              <w:jc w:val="right"/>
            </w:pPr>
            <w:r>
              <w:t>15</w:t>
            </w:r>
          </w:p>
        </w:tc>
      </w:tr>
      <w:tr>
        <w:tc>
          <w:tcPr>
            <w:tcW w:type="dxa" w:w="3000"/>
          </w:tcPr>
          <w:p>
            <w:pPr>
              <w:spacing w:line="276" w:lineRule="auto" w:after="60"/>
              <w:jc w:val="center"/>
            </w:pPr>
            <w:r>
              <w:t>4.1</w:t>
            </w:r>
          </w:p>
        </w:tc>
        <w:tc>
          <w:tcPr>
            <w:tcW w:type="dxa" w:w="3000"/>
          </w:tcPr>
          <w:p>
            <w:pPr>
              <w:spacing w:line="276" w:lineRule="auto" w:after="60"/>
            </w:pPr>
            <w:r>
              <w:t>PostgreSQL Relational Schema and Synthetic Seed Dataset</w:t>
            </w:r>
          </w:p>
        </w:tc>
        <w:tc>
          <w:tcPr>
            <w:tcW w:type="dxa" w:w="3000"/>
          </w:tcPr>
          <w:p>
            <w:pPr>
              <w:spacing w:line="276" w:lineRule="auto" w:after="60"/>
              <w:jc w:val="right"/>
            </w:pPr>
            <w:r>
              <w:t>25</w:t>
            </w:r>
          </w:p>
        </w:tc>
      </w:tr>
      <w:tr>
        <w:tc>
          <w:tcPr>
            <w:tcW w:type="dxa" w:w="3000"/>
          </w:tcPr>
          <w:p>
            <w:pPr>
              <w:spacing w:line="276" w:lineRule="auto" w:after="60"/>
              <w:jc w:val="center"/>
            </w:pPr>
            <w:r>
              <w:t>4.2</w:t>
            </w:r>
          </w:p>
        </w:tc>
        <w:tc>
          <w:tcPr>
            <w:tcW w:type="dxa" w:w="3000"/>
          </w:tcPr>
          <w:p>
            <w:pPr>
              <w:spacing w:line="276" w:lineRule="auto" w:after="60"/>
            </w:pPr>
            <w:r>
              <w:t>Deterministic MILP Objective Weights Normalization Matrix</w:t>
            </w:r>
          </w:p>
        </w:tc>
        <w:tc>
          <w:tcPr>
            <w:tcW w:type="dxa" w:w="3000"/>
          </w:tcPr>
          <w:p>
            <w:pPr>
              <w:spacing w:line="276" w:lineRule="auto" w:after="60"/>
              <w:jc w:val="right"/>
            </w:pPr>
            <w:r>
              <w:t>29</w:t>
            </w:r>
          </w:p>
        </w:tc>
      </w:tr>
      <w:tr>
        <w:tc>
          <w:tcPr>
            <w:tcW w:type="dxa" w:w="3000"/>
          </w:tcPr>
          <w:p>
            <w:pPr>
              <w:spacing w:line="276" w:lineRule="auto" w:after="60"/>
              <w:jc w:val="center"/>
            </w:pPr>
            <w:r>
              <w:t>5.1</w:t>
            </w:r>
          </w:p>
        </w:tc>
        <w:tc>
          <w:tcPr>
            <w:tcW w:type="dxa" w:w="3000"/>
          </w:tcPr>
          <w:p>
            <w:pPr>
              <w:spacing w:line="276" w:lineRule="auto" w:after="60"/>
            </w:pPr>
            <w:r>
              <w:t>Capacity Intelligence Candidate Reduction Evaluation</w:t>
            </w:r>
          </w:p>
        </w:tc>
        <w:tc>
          <w:tcPr>
            <w:tcW w:type="dxa" w:w="3000"/>
          </w:tcPr>
          <w:p>
            <w:pPr>
              <w:spacing w:line="276" w:lineRule="auto" w:after="60"/>
              <w:jc w:val="right"/>
            </w:pPr>
            <w:r>
              <w:t>33</w:t>
            </w:r>
          </w:p>
        </w:tc>
      </w:tr>
      <w:tr>
        <w:tc>
          <w:tcPr>
            <w:tcW w:type="dxa" w:w="3000"/>
          </w:tcPr>
          <w:p>
            <w:pPr>
              <w:spacing w:line="276" w:lineRule="auto" w:after="60"/>
              <w:jc w:val="center"/>
            </w:pPr>
            <w:r>
              <w:t>5.2</w:t>
            </w:r>
          </w:p>
        </w:tc>
        <w:tc>
          <w:tcPr>
            <w:tcW w:type="dxa" w:w="3000"/>
          </w:tcPr>
          <w:p>
            <w:pPr>
              <w:spacing w:line="276" w:lineRule="auto" w:after="60"/>
            </w:pPr>
            <w:r>
              <w:t>Pipeline Execution Latency Across Workflow Nodes</w:t>
            </w:r>
          </w:p>
        </w:tc>
        <w:tc>
          <w:tcPr>
            <w:tcW w:type="dxa" w:w="3000"/>
          </w:tcPr>
          <w:p>
            <w:pPr>
              <w:spacing w:line="276" w:lineRule="auto" w:after="60"/>
              <w:jc w:val="right"/>
            </w:pPr>
            <w:r>
              <w:t>34</w:t>
            </w:r>
          </w:p>
        </w:tc>
      </w:tr>
      <w:tr>
        <w:tc>
          <w:tcPr>
            <w:tcW w:type="dxa" w:w="3000"/>
          </w:tcPr>
          <w:p>
            <w:pPr>
              <w:spacing w:line="276" w:lineRule="auto" w:after="60"/>
              <w:jc w:val="center"/>
            </w:pPr>
            <w:r>
              <w:t>5.3</w:t>
            </w:r>
          </w:p>
        </w:tc>
        <w:tc>
          <w:tcPr>
            <w:tcW w:type="dxa" w:w="3000"/>
          </w:tcPr>
          <w:p>
            <w:pPr>
              <w:spacing w:line="276" w:lineRule="auto" w:after="60"/>
            </w:pPr>
            <w:r>
              <w:t>Comparative Benchmark: Heuristics vs. LLM vs. AEMIIF</w:t>
            </w:r>
          </w:p>
        </w:tc>
        <w:tc>
          <w:tcPr>
            <w:tcW w:type="dxa" w:w="3000"/>
          </w:tcPr>
          <w:p>
            <w:pPr>
              <w:spacing w:line="276" w:lineRule="auto" w:after="60"/>
              <w:jc w:val="right"/>
            </w:pPr>
            <w:r>
              <w:t>36</w:t>
            </w:r>
          </w:p>
        </w:tc>
      </w:tr>
    </w:tbl>
    <w:p>
      <w:r>
        <w:br w:type="page"/>
      </w:r>
    </w:p>
    <w:p>
      <w:pPr>
        <w:spacing w:before="0" w:after="120" w:line="360" w:lineRule="auto"/>
        <w:jc w:val="right"/>
      </w:pPr>
      <w:r>
        <w:rPr>
          <w:rFonts w:ascii="Times New Roman" w:hAnsi="Times New Roman"/>
          <w:b w:val="0"/>
          <w:i w:val="0"/>
          <w:color w:val="000000"/>
          <w:sz w:val="20"/>
        </w:rPr>
        <w:t>xiii</w:t>
      </w:r>
    </w:p>
    <w:p>
      <w:pPr>
        <w:spacing w:before="240" w:after="320" w:line="360" w:lineRule="auto"/>
        <w:jc w:val="center"/>
      </w:pPr>
      <w:r>
        <w:rPr>
          <w:rFonts w:ascii="Times New Roman" w:hAnsi="Times New Roman"/>
          <w:b/>
          <w:i w:val="0"/>
          <w:color w:val="000000"/>
          <w:sz w:val="28"/>
        </w:rPr>
        <w:t>LIST OF ABBREVIATIONS</w:t>
      </w:r>
    </w:p>
    <w:tbl>
      <w:tblPr>
        <w:tblW w:type="auto" w:w="0"/>
        <w:jc w:val="center"/>
        <w:tblLook w:firstColumn="1" w:firstRow="1" w:lastColumn="0" w:lastRow="0" w:noHBand="0" w:noVBand="1" w:val="04A0"/>
      </w:tblPr>
      <w:tblGrid>
        <w:gridCol w:w="4500"/>
        <w:gridCol w:w="4500"/>
      </w:tblGrid>
      <w:tr>
        <w:tc>
          <w:tcPr>
            <w:tcW w:type="dxa" w:w="4500"/>
            <w:shd w:fill="F8FAFC"/>
          </w:tcPr>
          <w:p>
            <w:r>
              <w:rPr>
                <w:b/>
              </w:rPr>
              <w:t>ABBREVIATION</w:t>
            </w:r>
          </w:p>
        </w:tc>
        <w:tc>
          <w:tcPr>
            <w:tcW w:type="dxa" w:w="4500"/>
            <w:shd w:fill="F8FAFC"/>
          </w:tcPr>
          <w:p>
            <w:r>
              <w:rPr>
                <w:b/>
              </w:rPr>
              <w:t>FULL FORM</w:t>
            </w:r>
          </w:p>
        </w:tc>
      </w:tr>
      <w:tr>
        <w:tc>
          <w:tcPr>
            <w:tcW w:type="dxa" w:w="4500"/>
          </w:tcPr>
          <w:p>
            <w:pPr>
              <w:spacing w:line="276" w:lineRule="auto" w:after="40"/>
              <w:jc w:val="left"/>
            </w:pPr>
            <w:r>
              <w:rPr>
                <w:b/>
              </w:rPr>
              <w:t>AEMIIF</w:t>
            </w:r>
          </w:p>
        </w:tc>
        <w:tc>
          <w:tcPr>
            <w:tcW w:type="dxa" w:w="4500"/>
          </w:tcPr>
          <w:p>
            <w:pPr>
              <w:spacing w:line="276" w:lineRule="auto" w:after="40"/>
            </w:pPr>
            <w:r>
              <w:t>Agentic Explainable Multi-Agent Inventory Intelligence Framework</w:t>
            </w:r>
          </w:p>
        </w:tc>
      </w:tr>
      <w:tr>
        <w:tc>
          <w:tcPr>
            <w:tcW w:type="dxa" w:w="4500"/>
          </w:tcPr>
          <w:p>
            <w:pPr>
              <w:spacing w:line="276" w:lineRule="auto" w:after="40"/>
              <w:jc w:val="left"/>
            </w:pPr>
            <w:r>
              <w:rPr>
                <w:b/>
              </w:rPr>
              <w:t>MILP</w:t>
            </w:r>
          </w:p>
        </w:tc>
        <w:tc>
          <w:tcPr>
            <w:tcW w:type="dxa" w:w="4500"/>
          </w:tcPr>
          <w:p>
            <w:pPr>
              <w:spacing w:line="276" w:lineRule="auto" w:after="40"/>
            </w:pPr>
            <w:r>
              <w:t>Mixed-Integer Linear Programming</w:t>
            </w:r>
          </w:p>
        </w:tc>
      </w:tr>
      <w:tr>
        <w:tc>
          <w:tcPr>
            <w:tcW w:type="dxa" w:w="4500"/>
          </w:tcPr>
          <w:p>
            <w:pPr>
              <w:spacing w:line="276" w:lineRule="auto" w:after="40"/>
              <w:jc w:val="left"/>
            </w:pPr>
            <w:r>
              <w:rPr>
                <w:b/>
              </w:rPr>
              <w:t>LLM</w:t>
            </w:r>
          </w:p>
        </w:tc>
        <w:tc>
          <w:tcPr>
            <w:tcW w:type="dxa" w:w="4500"/>
          </w:tcPr>
          <w:p>
            <w:pPr>
              <w:spacing w:line="276" w:lineRule="auto" w:after="40"/>
            </w:pPr>
            <w:r>
              <w:t>Large Language Model</w:t>
            </w:r>
          </w:p>
        </w:tc>
      </w:tr>
      <w:tr>
        <w:tc>
          <w:tcPr>
            <w:tcW w:type="dxa" w:w="4500"/>
          </w:tcPr>
          <w:p>
            <w:pPr>
              <w:spacing w:line="276" w:lineRule="auto" w:after="40"/>
              <w:jc w:val="left"/>
            </w:pPr>
            <w:r>
              <w:rPr>
                <w:b/>
              </w:rPr>
              <w:t>NLP</w:t>
            </w:r>
          </w:p>
        </w:tc>
        <w:tc>
          <w:tcPr>
            <w:tcW w:type="dxa" w:w="4500"/>
          </w:tcPr>
          <w:p>
            <w:pPr>
              <w:spacing w:line="276" w:lineRule="auto" w:after="40"/>
            </w:pPr>
            <w:r>
              <w:t>Natural Language Processing</w:t>
            </w:r>
          </w:p>
        </w:tc>
      </w:tr>
      <w:tr>
        <w:tc>
          <w:tcPr>
            <w:tcW w:type="dxa" w:w="4500"/>
          </w:tcPr>
          <w:p>
            <w:pPr>
              <w:spacing w:line="276" w:lineRule="auto" w:after="40"/>
              <w:jc w:val="left"/>
            </w:pPr>
            <w:r>
              <w:rPr>
                <w:b/>
              </w:rPr>
              <w:t>NLU</w:t>
            </w:r>
          </w:p>
        </w:tc>
        <w:tc>
          <w:tcPr>
            <w:tcW w:type="dxa" w:w="4500"/>
          </w:tcPr>
          <w:p>
            <w:pPr>
              <w:spacing w:line="276" w:lineRule="auto" w:after="40"/>
            </w:pPr>
            <w:r>
              <w:t>Natural Language Understanding</w:t>
            </w:r>
          </w:p>
        </w:tc>
      </w:tr>
      <w:tr>
        <w:tc>
          <w:tcPr>
            <w:tcW w:type="dxa" w:w="4500"/>
          </w:tcPr>
          <w:p>
            <w:pPr>
              <w:spacing w:line="276" w:lineRule="auto" w:after="40"/>
              <w:jc w:val="left"/>
            </w:pPr>
            <w:r>
              <w:rPr>
                <w:b/>
              </w:rPr>
              <w:t>MCP</w:t>
            </w:r>
          </w:p>
        </w:tc>
        <w:tc>
          <w:tcPr>
            <w:tcW w:type="dxa" w:w="4500"/>
          </w:tcPr>
          <w:p>
            <w:pPr>
              <w:spacing w:line="276" w:lineRule="auto" w:after="40"/>
            </w:pPr>
            <w:r>
              <w:t>Model Context Protocol</w:t>
            </w:r>
          </w:p>
        </w:tc>
      </w:tr>
      <w:tr>
        <w:tc>
          <w:tcPr>
            <w:tcW w:type="dxa" w:w="4500"/>
          </w:tcPr>
          <w:p>
            <w:pPr>
              <w:spacing w:line="276" w:lineRule="auto" w:after="40"/>
              <w:jc w:val="left"/>
            </w:pPr>
            <w:r>
              <w:rPr>
                <w:b/>
              </w:rPr>
              <w:t>MOQ</w:t>
            </w:r>
          </w:p>
        </w:tc>
        <w:tc>
          <w:tcPr>
            <w:tcW w:type="dxa" w:w="4500"/>
          </w:tcPr>
          <w:p>
            <w:pPr>
              <w:spacing w:line="276" w:lineRule="auto" w:after="40"/>
            </w:pPr>
            <w:r>
              <w:t>Minimum Order Quantity</w:t>
            </w:r>
          </w:p>
        </w:tc>
      </w:tr>
      <w:tr>
        <w:tc>
          <w:tcPr>
            <w:tcW w:type="dxa" w:w="4500"/>
          </w:tcPr>
          <w:p>
            <w:pPr>
              <w:spacing w:line="276" w:lineRule="auto" w:after="40"/>
              <w:jc w:val="left"/>
            </w:pPr>
            <w:r>
              <w:rPr>
                <w:b/>
              </w:rPr>
              <w:t>ERP</w:t>
            </w:r>
          </w:p>
        </w:tc>
        <w:tc>
          <w:tcPr>
            <w:tcW w:type="dxa" w:w="4500"/>
          </w:tcPr>
          <w:p>
            <w:pPr>
              <w:spacing w:line="276" w:lineRule="auto" w:after="40"/>
            </w:pPr>
            <w:r>
              <w:t>Enterprise Resource Planning</w:t>
            </w:r>
          </w:p>
        </w:tc>
      </w:tr>
      <w:tr>
        <w:tc>
          <w:tcPr>
            <w:tcW w:type="dxa" w:w="4500"/>
          </w:tcPr>
          <w:p>
            <w:pPr>
              <w:spacing w:line="276" w:lineRule="auto" w:after="40"/>
              <w:jc w:val="left"/>
            </w:pPr>
            <w:r>
              <w:rPr>
                <w:b/>
              </w:rPr>
              <w:t>API</w:t>
            </w:r>
          </w:p>
        </w:tc>
        <w:tc>
          <w:tcPr>
            <w:tcW w:type="dxa" w:w="4500"/>
          </w:tcPr>
          <w:p>
            <w:pPr>
              <w:spacing w:line="276" w:lineRule="auto" w:after="40"/>
            </w:pPr>
            <w:r>
              <w:t>Application Programming Interface</w:t>
            </w:r>
          </w:p>
        </w:tc>
      </w:tr>
      <w:tr>
        <w:tc>
          <w:tcPr>
            <w:tcW w:type="dxa" w:w="4500"/>
          </w:tcPr>
          <w:p>
            <w:pPr>
              <w:spacing w:line="276" w:lineRule="auto" w:after="40"/>
              <w:jc w:val="left"/>
            </w:pPr>
            <w:r>
              <w:rPr>
                <w:b/>
              </w:rPr>
              <w:t>SDK</w:t>
            </w:r>
          </w:p>
        </w:tc>
        <w:tc>
          <w:tcPr>
            <w:tcW w:type="dxa" w:w="4500"/>
          </w:tcPr>
          <w:p>
            <w:pPr>
              <w:spacing w:line="276" w:lineRule="auto" w:after="40"/>
            </w:pPr>
            <w:r>
              <w:t>Software Development Kit</w:t>
            </w:r>
          </w:p>
        </w:tc>
      </w:tr>
      <w:tr>
        <w:tc>
          <w:tcPr>
            <w:tcW w:type="dxa" w:w="4500"/>
          </w:tcPr>
          <w:p>
            <w:pPr>
              <w:spacing w:line="276" w:lineRule="auto" w:after="40"/>
              <w:jc w:val="left"/>
            </w:pPr>
            <w:r>
              <w:rPr>
                <w:b/>
              </w:rPr>
              <w:t>SQL</w:t>
            </w:r>
          </w:p>
        </w:tc>
        <w:tc>
          <w:tcPr>
            <w:tcW w:type="dxa" w:w="4500"/>
          </w:tcPr>
          <w:p>
            <w:pPr>
              <w:spacing w:line="276" w:lineRule="auto" w:after="40"/>
            </w:pPr>
            <w:r>
              <w:t>Structured Query Language</w:t>
            </w:r>
          </w:p>
        </w:tc>
      </w:tr>
      <w:tr>
        <w:tc>
          <w:tcPr>
            <w:tcW w:type="dxa" w:w="4500"/>
          </w:tcPr>
          <w:p>
            <w:pPr>
              <w:spacing w:line="276" w:lineRule="auto" w:after="40"/>
              <w:jc w:val="left"/>
            </w:pPr>
            <w:r>
              <w:rPr>
                <w:b/>
              </w:rPr>
              <w:t>DB</w:t>
            </w:r>
          </w:p>
        </w:tc>
        <w:tc>
          <w:tcPr>
            <w:tcW w:type="dxa" w:w="4500"/>
          </w:tcPr>
          <w:p>
            <w:pPr>
              <w:spacing w:line="276" w:lineRule="auto" w:after="40"/>
            </w:pPr>
            <w:r>
              <w:t>Database</w:t>
            </w:r>
          </w:p>
        </w:tc>
      </w:tr>
      <w:tr>
        <w:tc>
          <w:tcPr>
            <w:tcW w:type="dxa" w:w="4500"/>
          </w:tcPr>
          <w:p>
            <w:pPr>
              <w:spacing w:line="276" w:lineRule="auto" w:after="40"/>
              <w:jc w:val="left"/>
            </w:pPr>
            <w:r>
              <w:rPr>
                <w:b/>
              </w:rPr>
              <w:t>PO</w:t>
            </w:r>
          </w:p>
        </w:tc>
        <w:tc>
          <w:tcPr>
            <w:tcW w:type="dxa" w:w="4500"/>
          </w:tcPr>
          <w:p>
            <w:pPr>
              <w:spacing w:line="276" w:lineRule="auto" w:after="40"/>
            </w:pPr>
            <w:r>
              <w:t>Purchase Order</w:t>
            </w:r>
          </w:p>
        </w:tc>
      </w:tr>
      <w:tr>
        <w:tc>
          <w:tcPr>
            <w:tcW w:type="dxa" w:w="4500"/>
          </w:tcPr>
          <w:p>
            <w:pPr>
              <w:spacing w:line="276" w:lineRule="auto" w:after="40"/>
              <w:jc w:val="left"/>
            </w:pPr>
            <w:r>
              <w:rPr>
                <w:b/>
              </w:rPr>
              <w:t>SL</w:t>
            </w:r>
          </w:p>
        </w:tc>
        <w:tc>
          <w:tcPr>
            <w:tcW w:type="dxa" w:w="4500"/>
          </w:tcPr>
          <w:p>
            <w:pPr>
              <w:spacing w:line="276" w:lineRule="auto" w:after="40"/>
            </w:pPr>
            <w:r>
              <w:t>Service Level</w:t>
            </w:r>
          </w:p>
        </w:tc>
      </w:tr>
      <w:tr>
        <w:tc>
          <w:tcPr>
            <w:tcW w:type="dxa" w:w="4500"/>
          </w:tcPr>
          <w:p>
            <w:pPr>
              <w:spacing w:line="276" w:lineRule="auto" w:after="40"/>
              <w:jc w:val="left"/>
            </w:pPr>
            <w:r>
              <w:rPr>
                <w:b/>
              </w:rPr>
              <w:t>MA</w:t>
            </w:r>
          </w:p>
        </w:tc>
        <w:tc>
          <w:tcPr>
            <w:tcW w:type="dxa" w:w="4500"/>
          </w:tcPr>
          <w:p>
            <w:pPr>
              <w:spacing w:line="276" w:lineRule="auto" w:after="40"/>
            </w:pPr>
            <w:r>
              <w:t>Moving Average</w:t>
            </w:r>
          </w:p>
        </w:tc>
      </w:tr>
      <w:tr>
        <w:tc>
          <w:tcPr>
            <w:tcW w:type="dxa" w:w="4500"/>
          </w:tcPr>
          <w:p>
            <w:pPr>
              <w:spacing w:line="276" w:lineRule="auto" w:after="40"/>
              <w:jc w:val="left"/>
            </w:pPr>
            <w:r>
              <w:rPr>
                <w:b/>
              </w:rPr>
              <w:t>PuLP</w:t>
            </w:r>
          </w:p>
        </w:tc>
        <w:tc>
          <w:tcPr>
            <w:tcW w:type="dxa" w:w="4500"/>
          </w:tcPr>
          <w:p>
            <w:pPr>
              <w:spacing w:line="276" w:lineRule="auto" w:after="40"/>
            </w:pPr>
            <w:r>
              <w:t>Python Linear Programming Package</w:t>
            </w:r>
          </w:p>
        </w:tc>
      </w:tr>
      <w:tr>
        <w:tc>
          <w:tcPr>
            <w:tcW w:type="dxa" w:w="4500"/>
          </w:tcPr>
          <w:p>
            <w:pPr>
              <w:spacing w:line="276" w:lineRule="auto" w:after="40"/>
              <w:jc w:val="left"/>
            </w:pPr>
            <w:r>
              <w:rPr>
                <w:b/>
              </w:rPr>
              <w:t>CBC</w:t>
            </w:r>
          </w:p>
        </w:tc>
        <w:tc>
          <w:tcPr>
            <w:tcW w:type="dxa" w:w="4500"/>
          </w:tcPr>
          <w:p>
            <w:pPr>
              <w:spacing w:line="276" w:lineRule="auto" w:after="40"/>
            </w:pPr>
            <w:r>
              <w:t>Coin-or Branch and Cut Solver</w:t>
            </w:r>
          </w:p>
        </w:tc>
      </w:tr>
      <w:tr>
        <w:tc>
          <w:tcPr>
            <w:tcW w:type="dxa" w:w="4500"/>
          </w:tcPr>
          <w:p>
            <w:pPr>
              <w:spacing w:line="276" w:lineRule="auto" w:after="40"/>
              <w:jc w:val="left"/>
            </w:pPr>
            <w:r>
              <w:rPr>
                <w:b/>
              </w:rPr>
              <w:t>UI</w:t>
            </w:r>
          </w:p>
        </w:tc>
        <w:tc>
          <w:tcPr>
            <w:tcW w:type="dxa" w:w="4500"/>
          </w:tcPr>
          <w:p>
            <w:pPr>
              <w:spacing w:line="276" w:lineRule="auto" w:after="40"/>
            </w:pPr>
            <w:r>
              <w:t>User Interface</w:t>
            </w:r>
          </w:p>
        </w:tc>
      </w:tr>
      <w:tr>
        <w:tc>
          <w:tcPr>
            <w:tcW w:type="dxa" w:w="4500"/>
          </w:tcPr>
          <w:p>
            <w:pPr>
              <w:spacing w:line="276" w:lineRule="auto" w:after="40"/>
              <w:jc w:val="left"/>
            </w:pPr>
            <w:r>
              <w:rPr>
                <w:b/>
              </w:rPr>
              <w:t>UX</w:t>
            </w:r>
          </w:p>
        </w:tc>
        <w:tc>
          <w:tcPr>
            <w:tcW w:type="dxa" w:w="4500"/>
          </w:tcPr>
          <w:p>
            <w:pPr>
              <w:spacing w:line="276" w:lineRule="auto" w:after="40"/>
            </w:pPr>
            <w:r>
              <w:t>User Experience</w:t>
            </w:r>
          </w:p>
        </w:tc>
      </w:tr>
      <w:tr>
        <w:tc>
          <w:tcPr>
            <w:tcW w:type="dxa" w:w="4500"/>
          </w:tcPr>
          <w:p>
            <w:pPr>
              <w:spacing w:line="276" w:lineRule="auto" w:after="40"/>
              <w:jc w:val="left"/>
            </w:pPr>
            <w:r>
              <w:rPr>
                <w:b/>
              </w:rPr>
              <w:t>JSON</w:t>
            </w:r>
          </w:p>
        </w:tc>
        <w:tc>
          <w:tcPr>
            <w:tcW w:type="dxa" w:w="4500"/>
          </w:tcPr>
          <w:p>
            <w:pPr>
              <w:spacing w:line="276" w:lineRule="auto" w:after="40"/>
            </w:pPr>
            <w:r>
              <w:t>JavaScript Object Notation</w:t>
            </w:r>
          </w:p>
        </w:tc>
      </w:tr>
      <w:tr>
        <w:tc>
          <w:tcPr>
            <w:tcW w:type="dxa" w:w="4500"/>
          </w:tcPr>
          <w:p>
            <w:pPr>
              <w:spacing w:line="276" w:lineRule="auto" w:after="40"/>
              <w:jc w:val="left"/>
            </w:pPr>
            <w:r>
              <w:rPr>
                <w:b/>
              </w:rPr>
              <w:t>CSV</w:t>
            </w:r>
          </w:p>
        </w:tc>
        <w:tc>
          <w:tcPr>
            <w:tcW w:type="dxa" w:w="4500"/>
          </w:tcPr>
          <w:p>
            <w:pPr>
              <w:spacing w:line="276" w:lineRule="auto" w:after="40"/>
            </w:pPr>
            <w:r>
              <w:t>Comma-Separated Values</w:t>
            </w:r>
          </w:p>
        </w:tc>
      </w:tr>
      <w:tr>
        <w:tc>
          <w:tcPr>
            <w:tcW w:type="dxa" w:w="4500"/>
          </w:tcPr>
          <w:p>
            <w:pPr>
              <w:spacing w:line="276" w:lineRule="auto" w:after="40"/>
              <w:jc w:val="left"/>
            </w:pPr>
            <w:r>
              <w:rPr>
                <w:b/>
              </w:rPr>
              <w:t>CI/CD</w:t>
            </w:r>
          </w:p>
        </w:tc>
        <w:tc>
          <w:tcPr>
            <w:tcW w:type="dxa" w:w="4500"/>
          </w:tcPr>
          <w:p>
            <w:pPr>
              <w:spacing w:line="276" w:lineRule="auto" w:after="40"/>
            </w:pPr>
            <w:r>
              <w:t>Continuous Integration / Continuous Deployment</w:t>
            </w:r>
          </w:p>
        </w:tc>
      </w:tr>
      <w:tr>
        <w:tc>
          <w:tcPr>
            <w:tcW w:type="dxa" w:w="4500"/>
          </w:tcPr>
          <w:p>
            <w:pPr>
              <w:spacing w:line="276" w:lineRule="auto" w:after="40"/>
              <w:jc w:val="left"/>
            </w:pPr>
            <w:r>
              <w:rPr>
                <w:b/>
              </w:rPr>
              <w:t>KPI</w:t>
            </w:r>
          </w:p>
        </w:tc>
        <w:tc>
          <w:tcPr>
            <w:tcW w:type="dxa" w:w="4500"/>
          </w:tcPr>
          <w:p>
            <w:pPr>
              <w:spacing w:line="276" w:lineRule="auto" w:after="40"/>
            </w:pPr>
            <w:r>
              <w:t>Key Performance Indicator</w:t>
            </w:r>
          </w:p>
        </w:tc>
      </w:tr>
      <w:tr>
        <w:tc>
          <w:tcPr>
            <w:tcW w:type="dxa" w:w="4500"/>
          </w:tcPr>
          <w:p>
            <w:pPr>
              <w:spacing w:line="276" w:lineRule="auto" w:after="40"/>
              <w:jc w:val="left"/>
            </w:pPr>
            <w:r>
              <w:rPr>
                <w:b/>
              </w:rPr>
              <w:t>REST</w:t>
            </w:r>
          </w:p>
        </w:tc>
        <w:tc>
          <w:tcPr>
            <w:tcW w:type="dxa" w:w="4500"/>
          </w:tcPr>
          <w:p>
            <w:pPr>
              <w:spacing w:line="276" w:lineRule="auto" w:after="40"/>
            </w:pPr>
            <w:r>
              <w:t>Representational State Transfer</w:t>
            </w:r>
          </w:p>
        </w:tc>
      </w:tr>
    </w:tbl>
    <w:p>
      <w:r>
        <w:br w:type="page"/>
      </w:r>
    </w:p>
    <w:p>
      <w:pPr>
        <w:spacing w:before="360" w:after="80"/>
        <w:jc w:val="center"/>
      </w:pPr>
      <w:r>
        <w:rPr>
          <w:rFonts w:ascii="Times New Roman" w:hAnsi="Times New Roman"/>
          <w:b/>
          <w:sz w:val="28"/>
        </w:rPr>
        <w:t>CHAPTER 1</w:t>
      </w:r>
    </w:p>
    <w:p>
      <w:pPr>
        <w:spacing w:before="80" w:after="320"/>
        <w:jc w:val="center"/>
      </w:pPr>
      <w:r>
        <w:rPr>
          <w:rFonts w:ascii="Times New Roman" w:hAnsi="Times New Roman"/>
          <w:b/>
          <w:sz w:val="28"/>
        </w:rPr>
        <w:t>INTRODUCTION</w:t>
      </w:r>
    </w:p>
    <w:p>
      <w:pPr>
        <w:keepNext/>
        <w:spacing w:before="280" w:after="120"/>
        <w:jc w:val="left"/>
      </w:pPr>
      <w:r>
        <w:rPr>
          <w:rFonts w:ascii="Times New Roman" w:hAnsi="Times New Roman"/>
          <w:b/>
          <w:sz w:val="26"/>
        </w:rPr>
        <w:t>1.1 GENERAL</w:t>
      </w:r>
    </w:p>
    <w:p>
      <w:pPr>
        <w:spacing w:before="0" w:after="240" w:line="360" w:lineRule="auto"/>
        <w:jc w:val="both"/>
      </w:pPr>
      <w:r>
        <w:rPr>
          <w:rFonts w:ascii="Times New Roman" w:hAnsi="Times New Roman"/>
          <w:b w:val="0"/>
          <w:i w:val="0"/>
          <w:color w:val="000000"/>
          <w:sz w:val="24"/>
        </w:rPr>
        <w:t>Modern global supply chains operate in an increasingly volatile, uncertain, complex, and ambiguous (VUCA) environment. Enterprise organizations manage extensive catalogs containing thousands of stock keeping units (SKUs) distributed across multi-echelon warehouse networks and retail stores. In such high-dimensional operational contexts, effective inventory management represents the primary determinant of corporate liquidity, working capital efficiency, and customer satisfaction. The fundamental objective of inventory replenishment is to ensure optimal product availability while minimizing total landed costs, which comprise purchase acquisition expenses, transportation logistics, warehouse holding costs, and severe financial and reputational penalties incurred during stockout events.</w:t>
      </w:r>
    </w:p>
    <w:p>
      <w:pPr>
        <w:spacing w:before="0" w:after="240" w:line="360" w:lineRule="auto"/>
        <w:jc w:val="both"/>
      </w:pPr>
      <w:r>
        <w:rPr>
          <w:rFonts w:ascii="Times New Roman" w:hAnsi="Times New Roman"/>
          <w:b w:val="0"/>
          <w:i w:val="0"/>
          <w:color w:val="000000"/>
          <w:sz w:val="24"/>
        </w:rPr>
        <w:t>Historically, inventory replenishment decisions have relied heavily on Enterprise Resource Planning (ERP) systems and static spreadsheet calculations. These legacy paradigms depend on rigid heuristics—such as fixed reorder point (ROP) formulas and static Economic Order Quantity (EOQ) assumptions—which fail to capture the non-linear realities of modern procurement. Real-world procurement is inherently multi-objective and constrained: suppliers impose Minimum Order Quantities (MOQ), maintain finite production capacities, offer variable delivery lead times, and exhibit varying degrees of historical fulfillment reliability. Furthermore, logistics networks introduce distance-dependent freight costs, while enterprise managers operate under stringent quarterly capital budgets and contractual service-level agreements.</w:t>
      </w:r>
    </w:p>
    <w:p>
      <w:pPr>
        <w:keepNext/>
        <w:spacing w:before="200" w:after="80"/>
        <w:jc w:val="left"/>
      </w:pPr>
      <w:r>
        <w:rPr>
          <w:rFonts w:ascii="Times New Roman" w:hAnsi="Times New Roman"/>
          <w:b/>
          <w:sz w:val="24"/>
        </w:rPr>
        <w:t>1.1.1 Supply Chain Volatility and Modern Inventory Management</w:t>
      </w:r>
    </w:p>
    <w:p>
      <w:pPr>
        <w:spacing w:before="0" w:after="240" w:line="360" w:lineRule="auto"/>
        <w:jc w:val="both"/>
      </w:pPr>
      <w:r>
        <w:rPr>
          <w:rFonts w:ascii="Times New Roman" w:hAnsi="Times New Roman"/>
          <w:b w:val="0"/>
          <w:i w:val="0"/>
          <w:color w:val="000000"/>
          <w:sz w:val="24"/>
        </w:rPr>
        <w:t>Recent macroeconomic disruptions, geopolitical conflicts, and demand volatility have highlighted the systemic vulnerability of traditional 'just-in-time' inventory models. Modern enterprises require resilient supply chains that can proactively absorb supply shocks, balance multi-supplier allocations, and adjust orders dynamically based on real-time transactional signals. The challenge, however, lies in the sheer volume and complexity of the required computations. Determining whether to procure from a low-cost overseas vendor with extended lead times and substantial MOQs, or from a higher-cost domestic supplier offering rapid delivery and superior reliability, requires solving a combinatorial trade-off across multiple cost functions.</w:t>
      </w:r>
    </w:p>
    <w:p>
      <w:pPr>
        <w:keepNext/>
        <w:spacing w:before="200" w:after="80"/>
        <w:jc w:val="left"/>
      </w:pPr>
      <w:r>
        <w:rPr>
          <w:rFonts w:ascii="Times New Roman" w:hAnsi="Times New Roman"/>
          <w:b/>
          <w:sz w:val="24"/>
        </w:rPr>
        <w:t>1.1.2 Multi-Agent Systems in Supply Chain Intelligence</w:t>
      </w:r>
    </w:p>
    <w:p>
      <w:pPr>
        <w:spacing w:before="0" w:after="240" w:line="360" w:lineRule="auto"/>
        <w:jc w:val="both"/>
      </w:pPr>
      <w:r>
        <w:rPr>
          <w:rFonts w:ascii="Times New Roman" w:hAnsi="Times New Roman"/>
          <w:b w:val="0"/>
          <w:i w:val="0"/>
          <w:color w:val="000000"/>
          <w:sz w:val="24"/>
        </w:rPr>
        <w:t>Multi-Agent Systems (MAS) have emerged as an ideal architectural paradigm for modeling distributed supply chain operations. By decomposing a monolithic supply chain problem into specialized, autonomous software agents—such as demand forecasters, inventory health monitors, and supplier evaluators—enterprises can achieve modularity, localized reasoning, and superior fault tolerance. Each agent encapsulates specialized domain logic and interacts with backend transactional systems, collaborating through structured message passing to reach consensus on optimal procurement plans.</w:t>
      </w:r>
    </w:p>
    <w:p>
      <w:pPr>
        <w:keepNext/>
        <w:spacing w:before="200" w:after="80"/>
        <w:jc w:val="left"/>
      </w:pPr>
      <w:r>
        <w:rPr>
          <w:rFonts w:ascii="Times New Roman" w:hAnsi="Times New Roman"/>
          <w:b/>
          <w:sz w:val="24"/>
        </w:rPr>
        <w:t>1.1.3 Mathematical Optimization vs. Pure Generative AI</w:t>
      </w:r>
    </w:p>
    <w:p>
      <w:pPr>
        <w:spacing w:before="0" w:after="240" w:line="360" w:lineRule="auto"/>
        <w:jc w:val="both"/>
      </w:pPr>
      <w:r>
        <w:rPr>
          <w:rFonts w:ascii="Times New Roman" w:hAnsi="Times New Roman"/>
          <w:b w:val="0"/>
          <w:i w:val="0"/>
          <w:color w:val="000000"/>
          <w:sz w:val="24"/>
        </w:rPr>
        <w:t>With the rapid ascent of Large Language Models (LLMs) and Generative AI, significant interest has emerged in deploying conversational agents for automated procurement. However, deploying pure LLMs for numerical procurement decisions introduces unacceptable enterprise risks. Extensive empirical research reveals that generative language models are probabilistic token predictors that lack intrinsic mathematical guarantees; they frequently hallucinate arithmetic calculations, invent order quantities, overlook contractual MOQs, and violate hard budget constraints. In high-stakes supply chain operations, an ungrounded hallucination can result in millions of dollars in excess holding costs or catastrophic factory shutdowns. Consequently, next-generation architectures must enforce a strict separation of concerns: utilizing natural language processing solely for intent understanding and explanation generation, while delegating all numerical optimization, constraint enforcement, and financial allocations to deterministic mathematical solvers such as Mixed-Integer Linear Programming (MILP).</w:t>
      </w:r>
    </w:p>
    <w:p>
      <w:pPr>
        <w:keepNext/>
        <w:spacing w:before="200" w:after="80"/>
        <w:jc w:val="left"/>
      </w:pPr>
      <w:r>
        <w:rPr>
          <w:rFonts w:ascii="Times New Roman" w:hAnsi="Times New Roman"/>
          <w:b/>
          <w:sz w:val="24"/>
        </w:rPr>
        <w:t>1.1.4 Natural Language Interfaces for Business Decision Making</w:t>
      </w:r>
    </w:p>
    <w:p>
      <w:pPr>
        <w:spacing w:before="0" w:after="240" w:line="360" w:lineRule="auto"/>
        <w:jc w:val="both"/>
      </w:pPr>
      <w:r>
        <w:rPr>
          <w:rFonts w:ascii="Times New Roman" w:hAnsi="Times New Roman"/>
          <w:b w:val="0"/>
          <w:i w:val="0"/>
          <w:color w:val="000000"/>
          <w:sz w:val="24"/>
        </w:rPr>
        <w:t>Despite the mathematical rigor of operations research tools, traditional optimization software remains largely inaccessible to non-technical supply chain practitioners. Business managers, warehouse supervisors, and procurement officers typically express requirements in natural language—for instance, 'Replenish inventory under a budget of INR 100,000 within 5 days, maintaining 95% service level with priority on minimizing purchase cost.' Bridging this communication gap requires intelligent natural language understanding capable of parsing conversational inputs, extracting explicit constraints, identifying subjective business preferences, and automatically formulating the underlying mathematical optimization model.</w:t>
      </w:r>
    </w:p>
    <w:p>
      <w:pPr>
        <w:keepNext/>
        <w:spacing w:before="200" w:after="80"/>
        <w:jc w:val="left"/>
      </w:pPr>
      <w:r>
        <w:rPr>
          <w:rFonts w:ascii="Times New Roman" w:hAnsi="Times New Roman"/>
          <w:b/>
          <w:sz w:val="24"/>
        </w:rPr>
        <w:t>1.1.5 Explainable AI and Human-in-the-Loop Governance</w:t>
      </w:r>
    </w:p>
    <w:p>
      <w:pPr>
        <w:spacing w:before="0" w:after="280" w:line="360" w:lineRule="auto"/>
        <w:jc w:val="both"/>
      </w:pPr>
      <w:r>
        <w:rPr>
          <w:rFonts w:ascii="Times New Roman" w:hAnsi="Times New Roman"/>
          <w:b w:val="0"/>
          <w:i w:val="0"/>
          <w:color w:val="000000"/>
          <w:sz w:val="24"/>
        </w:rPr>
        <w:t>A critical limitation of advanced algorithmic supply chain solutions is the 'black-box' dilemma. When an automated solver generates an allocation across suppliers, human procurement managers are reluctant to approve large financial purchase orders without comprehending the underlying rationale. Explainable AI (XAI) addresses this barrier by converting the mathematical trade-offs—such as why a slightly more expensive supplier was chosen due to lead time constraints or how holding costs were minimized—into coherent, grounded natural language explanations. Furthermore, responsible enterprise AI mandates Human-in-the-Loop (HITL) governance, ensuring that the system functions as decision intelligence rather than autonomous financial execution, requiring managerial authorization before purchase order transmission.</w:t>
      </w:r>
    </w:p>
    <w:p>
      <w:pPr>
        <w:keepNext/>
        <w:spacing w:before="280" w:after="120"/>
        <w:jc w:val="left"/>
      </w:pPr>
      <w:r>
        <w:rPr>
          <w:rFonts w:ascii="Times New Roman" w:hAnsi="Times New Roman"/>
          <w:b/>
          <w:sz w:val="26"/>
        </w:rPr>
        <w:t>1.2 OBJECTIVES</w:t>
      </w:r>
    </w:p>
    <w:p>
      <w:pPr>
        <w:spacing w:before="0" w:after="120" w:line="360" w:lineRule="auto"/>
        <w:jc w:val="both"/>
      </w:pPr>
      <w:r>
        <w:rPr>
          <w:rFonts w:ascii="Times New Roman" w:hAnsi="Times New Roman"/>
          <w:b w:val="0"/>
          <w:i w:val="0"/>
          <w:color w:val="000000"/>
          <w:sz w:val="24"/>
        </w:rPr>
        <w:t>The primary objective of this project is to design, develop, and empirically evaluate the Agentic Explainable Multi-Agent Inventory Intelligence Framework (AEMIIF)—a modular, deterministic, and explainable decision intelligence platform for enterprise supply chain optimization. The specific objectives are:</w:t>
      </w:r>
    </w:p>
    <w:p>
      <w:pPr>
        <w:spacing w:before="0" w:after="80" w:line="360" w:lineRule="auto"/>
        <w:jc w:val="both"/>
      </w:pPr>
      <w:r>
        <w:rPr>
          <w:rFonts w:ascii="Times New Roman" w:hAnsi="Times New Roman"/>
          <w:b w:val="0"/>
          <w:i w:val="0"/>
          <w:color w:val="000000"/>
          <w:sz w:val="24"/>
        </w:rPr>
        <w:t>• To design a modular multi-agent architecture comprising dedicated agents for natural language parsing, demand forecasting, inventory health assessment, and supplier candidate evaluation.</w:t>
      </w:r>
    </w:p>
    <w:p>
      <w:pPr>
        <w:spacing w:before="0" w:after="80" w:line="360" w:lineRule="auto"/>
        <w:jc w:val="both"/>
      </w:pPr>
      <w:r>
        <w:rPr>
          <w:rFonts w:ascii="Times New Roman" w:hAnsi="Times New Roman"/>
          <w:b w:val="0"/>
          <w:i w:val="0"/>
          <w:color w:val="000000"/>
          <w:sz w:val="24"/>
        </w:rPr>
        <w:t>• To develop a robust Model Context Protocol (MCP) data-access layer that interfaces directly with relational PostgreSQL transactional databases, retrieving historical sales, live stock positions, purchase orders, and supplier catalogs without data leakage.</w:t>
      </w:r>
    </w:p>
    <w:p>
      <w:pPr>
        <w:spacing w:before="0" w:after="80" w:line="360" w:lineRule="auto"/>
        <w:jc w:val="both"/>
      </w:pPr>
      <w:r>
        <w:rPr>
          <w:rFonts w:ascii="Times New Roman" w:hAnsi="Times New Roman"/>
          <w:b w:val="0"/>
          <w:i w:val="0"/>
          <w:color w:val="000000"/>
          <w:sz w:val="24"/>
        </w:rPr>
        <w:t>• To formulate and implement a deterministic Mixed-Integer Linear Programming (MILP) optimization engine using PuLP, mathematically guaranteeing optimal order quantities and supplier selections that satisfy hard budget, MOQ, capacity, lead time, and service level constraints.</w:t>
      </w:r>
    </w:p>
    <w:p>
      <w:pPr>
        <w:spacing w:before="0" w:after="80" w:line="360" w:lineRule="auto"/>
        <w:jc w:val="both"/>
      </w:pPr>
      <w:r>
        <w:rPr>
          <w:rFonts w:ascii="Times New Roman" w:hAnsi="Times New Roman"/>
          <w:b w:val="0"/>
          <w:i w:val="0"/>
          <w:color w:val="000000"/>
          <w:sz w:val="24"/>
        </w:rPr>
        <w:t>• To introduce a novel pre-solver Capacity Intelligence layer that validates aggregate supplier feasibility and enforces candidate reduction under Strict Hard Cap and Proportional modes, preventing infeasible solver executions.</w:t>
      </w:r>
    </w:p>
    <w:p>
      <w:pPr>
        <w:spacing w:before="0" w:after="80" w:line="360" w:lineRule="auto"/>
        <w:jc w:val="both"/>
      </w:pPr>
      <w:r>
        <w:rPr>
          <w:rFonts w:ascii="Times New Roman" w:hAnsi="Times New Roman"/>
          <w:b w:val="0"/>
          <w:i w:val="0"/>
          <w:color w:val="000000"/>
          <w:sz w:val="24"/>
        </w:rPr>
        <w:t>• To orchestrate the entire end-to-end workflow using LangGraph state graphs with strict conditional routing, deterministic fallback mechanisms, and provenance tracking.</w:t>
      </w:r>
    </w:p>
    <w:p>
      <w:pPr>
        <w:spacing w:before="0" w:after="80" w:line="360" w:lineRule="auto"/>
        <w:jc w:val="both"/>
      </w:pPr>
      <w:r>
        <w:rPr>
          <w:rFonts w:ascii="Times New Roman" w:hAnsi="Times New Roman"/>
          <w:b w:val="0"/>
          <w:i w:val="0"/>
          <w:color w:val="000000"/>
          <w:sz w:val="24"/>
        </w:rPr>
        <w:t>• To engineer a grounded Explanation Agent that translates mathematical optimization results into transparent, human-readable managerial justifications without generative hallucination.</w:t>
      </w:r>
    </w:p>
    <w:p>
      <w:pPr>
        <w:spacing w:before="0" w:after="280" w:line="360" w:lineRule="auto"/>
        <w:jc w:val="both"/>
      </w:pPr>
      <w:r>
        <w:rPr>
          <w:rFonts w:ascii="Times New Roman" w:hAnsi="Times New Roman"/>
          <w:b w:val="0"/>
          <w:i w:val="0"/>
          <w:color w:val="000000"/>
          <w:sz w:val="24"/>
        </w:rPr>
        <w:t>• To construct an interactive Streamlit Decision Intelligence dashboard that provides supply chain managers with visual KPI metrics, scenario preset evaluations, and human-in-the-loop decision governance.</w:t>
      </w:r>
    </w:p>
    <w:p>
      <w:pPr>
        <w:keepNext/>
        <w:spacing w:before="280" w:after="120"/>
        <w:jc w:val="left"/>
      </w:pPr>
      <w:r>
        <w:rPr>
          <w:rFonts w:ascii="Times New Roman" w:hAnsi="Times New Roman"/>
          <w:b/>
          <w:sz w:val="26"/>
        </w:rPr>
        <w:t>1.3 EXISTING SYSTEM</w:t>
      </w:r>
    </w:p>
    <w:p>
      <w:pPr>
        <w:spacing w:before="0" w:after="240" w:line="360" w:lineRule="auto"/>
        <w:jc w:val="both"/>
      </w:pPr>
      <w:r>
        <w:rPr>
          <w:rFonts w:ascii="Times New Roman" w:hAnsi="Times New Roman"/>
          <w:b w:val="0"/>
          <w:i w:val="0"/>
          <w:color w:val="000000"/>
          <w:sz w:val="24"/>
        </w:rPr>
        <w:t>Current enterprise inventory management practices are bifurcated into two primary paradigms: legacy manual ERP workflows and emerging black-box machine learning approaches. In legacy workflows, inventory planners manually extract inventory tables into spreadsheets, executing static reorder point calculations or heuristic ordering rules. This manual approach is intensely labor-intensive, error-prone, and incapable of simultaneously optimizing across multiple suppliers, variable transport costs, and multi-tier constraints. Planners frequently overlook volume discounts or miscalculate holding costs, leading to either costly overstocking or chronic stockout crises.</w:t>
      </w:r>
    </w:p>
    <w:p>
      <w:pPr>
        <w:spacing w:before="0" w:after="280" w:line="360" w:lineRule="auto"/>
        <w:jc w:val="both"/>
      </w:pPr>
      <w:r>
        <w:rPr>
          <w:rFonts w:ascii="Times New Roman" w:hAnsi="Times New Roman"/>
          <w:b w:val="0"/>
          <w:i w:val="0"/>
          <w:color w:val="000000"/>
          <w:sz w:val="24"/>
        </w:rPr>
        <w:t>Conversely, recent industry attempts to integrate Large Language Models directly into procurement pipelines suffer from fundamental structural flaws. Existing generative chatbot tools attempt to perform arithmetic reasoning and supplier selection within the LLM prompt context. Empirical evaluations demonstrate that LLMs frequently hallucinate non-existent supplier capacities, ignore contractual MOQs, and violate hard budget limits. Furthermore, existing commercial optimization tools (such as SAP IBP or IBM ILOG CPLEX) operate as isolated computational black boxes; they output raw numeric matrices without explaining the underlying business trade-offs, creating severe adoption resistance among operational managers.</w:t>
      </w:r>
    </w:p>
    <w:p>
      <w:pPr>
        <w:keepNext/>
        <w:spacing w:before="280" w:after="120"/>
        <w:jc w:val="left"/>
      </w:pPr>
      <w:r>
        <w:rPr>
          <w:rFonts w:ascii="Times New Roman" w:hAnsi="Times New Roman"/>
          <w:b/>
          <w:sz w:val="26"/>
        </w:rPr>
        <w:t>1.4 PROPOSED SYSTEM</w:t>
      </w:r>
    </w:p>
    <w:p>
      <w:pPr>
        <w:spacing w:before="0" w:after="240" w:line="360" w:lineRule="auto"/>
        <w:jc w:val="both"/>
      </w:pPr>
      <w:r>
        <w:rPr>
          <w:rFonts w:ascii="Times New Roman" w:hAnsi="Times New Roman"/>
          <w:b w:val="0"/>
          <w:i w:val="0"/>
          <w:color w:val="000000"/>
          <w:sz w:val="24"/>
        </w:rPr>
        <w:t>The proposed system, AEMIIF (Agentic Explainable Multi-Agent Inventory Intelligence Framework), fundamentally resolves the limitations of existing approaches by establishing a hybrid neuro-symbolic architecture. AEMIIF enforces a strict operational boundary: Large Language Models are employed solely for conversational understanding, constraint parameter extraction, and natural language explanation generation, while all numerical optimization, integer allocation, and constraint enforcement are executed deterministically by a PuLP MILP solver.</w:t>
      </w:r>
    </w:p>
    <w:p>
      <w:pPr>
        <w:spacing w:before="0" w:after="240" w:line="360" w:lineRule="auto"/>
        <w:jc w:val="both"/>
      </w:pPr>
      <w:r>
        <w:rPr>
          <w:rFonts w:ascii="Times New Roman" w:hAnsi="Times New Roman"/>
          <w:b w:val="0"/>
          <w:i w:val="0"/>
          <w:color w:val="000000"/>
          <w:sz w:val="24"/>
        </w:rPr>
        <w:t>The system operates through an orchestrated LangGraph state machine connecting eight discrete intelligence stages. User requests are ingested in natural language, parsed into structured UserDecisionConfig objects, and mapped to normalized objective weights. Transactional data is retrieved via MCP connectors from a normalized PostgreSQL database. A 7-day moving average Forecast Agent calculates expected demand, while an Inventory Agent determines net replenishment requirements and stockout risk levels. The Supplier Agent filters candidate vendors based on hard lead time and reliability criteria.</w:t>
      </w:r>
    </w:p>
    <w:p>
      <w:pPr>
        <w:spacing w:before="0" w:after="360" w:line="360" w:lineRule="auto"/>
        <w:jc w:val="both"/>
      </w:pPr>
      <w:r>
        <w:rPr>
          <w:rFonts w:ascii="Times New Roman" w:hAnsi="Times New Roman"/>
          <w:b w:val="0"/>
          <w:i w:val="0"/>
          <w:color w:val="000000"/>
          <w:sz w:val="24"/>
        </w:rPr>
        <w:t>Before optimization, a dedicated Capacity Intelligence layer conducts rigorous pre-solver feasibility checks, executing candidate reduction under Strict Hard Cap and Proportional modes. The deterministic MILP engine then solves the mathematical model to global optimality, minimizing a weighted cost function while honoring all hard constraints. The resulting allocation is audited by a post-solver Validator to verify business integrity. Finally, an Explanation Agent synthesizes a grounded, multi-section rationale presented through an interactive Streamlit decision dashboard, ensuring full human-in-the-loop governance with zero automated purchases.</w:t>
      </w:r>
    </w:p>
    <w:p>
      <w:r>
        <w:br w:type="page"/>
      </w:r>
    </w:p>
    <w:p>
      <w:pPr>
        <w:spacing w:before="360" w:after="80"/>
        <w:jc w:val="center"/>
      </w:pPr>
      <w:r>
        <w:rPr>
          <w:rFonts w:ascii="Times New Roman" w:hAnsi="Times New Roman"/>
          <w:b/>
          <w:sz w:val="28"/>
        </w:rPr>
        <w:t>CHAPTER 2</w:t>
      </w:r>
    </w:p>
    <w:p>
      <w:pPr>
        <w:spacing w:before="80" w:after="320"/>
        <w:jc w:val="center"/>
      </w:pPr>
      <w:r>
        <w:rPr>
          <w:rFonts w:ascii="Times New Roman" w:hAnsi="Times New Roman"/>
          <w:b/>
          <w:sz w:val="28"/>
        </w:rPr>
        <w:t>LITERATURE SURVEY</w:t>
      </w:r>
    </w:p>
    <w:p>
      <w:pPr>
        <w:keepNext/>
        <w:spacing w:before="280" w:after="120"/>
        <w:jc w:val="left"/>
      </w:pPr>
      <w:r>
        <w:rPr>
          <w:rFonts w:ascii="Times New Roman" w:hAnsi="Times New Roman"/>
          <w:b/>
          <w:sz w:val="26"/>
        </w:rPr>
        <w:t>2.1 OVERVIEW</w:t>
      </w:r>
    </w:p>
    <w:p>
      <w:pPr>
        <w:spacing w:before="0" w:after="200" w:line="360" w:lineRule="auto"/>
        <w:jc w:val="both"/>
      </w:pPr>
      <w:r>
        <w:rPr>
          <w:rFonts w:ascii="Times New Roman" w:hAnsi="Times New Roman"/>
          <w:b w:val="0"/>
          <w:i w:val="0"/>
          <w:color w:val="000000"/>
          <w:sz w:val="24"/>
        </w:rPr>
        <w:t>The intersection of artificial intelligence, operations research, and enterprise supply chain management has witnessed intense academic and industrial investigation over the past decade. Recent literature reflects a pronounced transition from classical statistical models toward autonomous multi-agent coordination, neuro-symbolic architectures, and explainable decision support systems. To establish a rigorous foundation for AEMIIF, this survey synthesizes twenty peer-reviewed studies and authoritative industry frameworks across five key research domains:</w:t>
      </w:r>
    </w:p>
    <w:p>
      <w:pPr>
        <w:spacing w:before="0" w:after="80" w:line="360" w:lineRule="auto"/>
        <w:jc w:val="both"/>
      </w:pPr>
      <w:r>
        <w:rPr>
          <w:rFonts w:ascii="Times New Roman" w:hAnsi="Times New Roman"/>
          <w:b w:val="0"/>
          <w:i w:val="0"/>
          <w:color w:val="000000"/>
          <w:sz w:val="24"/>
        </w:rPr>
        <w:t>1. Multi-Agent Systems (MAS) and autonomous coordination protocols in manufacturing and logistics networks.</w:t>
      </w:r>
    </w:p>
    <w:p>
      <w:pPr>
        <w:spacing w:before="0" w:after="80" w:line="360" w:lineRule="auto"/>
        <w:jc w:val="both"/>
      </w:pPr>
      <w:r>
        <w:rPr>
          <w:rFonts w:ascii="Times New Roman" w:hAnsi="Times New Roman"/>
          <w:b w:val="0"/>
          <w:i w:val="0"/>
          <w:color w:val="000000"/>
          <w:sz w:val="24"/>
        </w:rPr>
        <w:t>2. Mathematical programming, Mixed-Integer Linear Programming (MILP), and deterministic optimization in supply chain replenishment.</w:t>
      </w:r>
    </w:p>
    <w:p>
      <w:pPr>
        <w:spacing w:before="0" w:after="80" w:line="360" w:lineRule="auto"/>
        <w:jc w:val="both"/>
      </w:pPr>
      <w:r>
        <w:rPr>
          <w:rFonts w:ascii="Times New Roman" w:hAnsi="Times New Roman"/>
          <w:b w:val="0"/>
          <w:i w:val="0"/>
          <w:color w:val="000000"/>
          <w:sz w:val="24"/>
        </w:rPr>
        <w:t>3. Large Language Models (LLMs) and Natural Language Processing for intent understanding and parameter extraction.</w:t>
      </w:r>
    </w:p>
    <w:p>
      <w:pPr>
        <w:spacing w:before="0" w:after="80" w:line="360" w:lineRule="auto"/>
        <w:jc w:val="both"/>
      </w:pPr>
      <w:r>
        <w:rPr>
          <w:rFonts w:ascii="Times New Roman" w:hAnsi="Times New Roman"/>
          <w:b w:val="0"/>
          <w:i w:val="0"/>
          <w:color w:val="000000"/>
          <w:sz w:val="24"/>
        </w:rPr>
        <w:t>4. Graph-based orchestration frameworks and stateful agent coordination (LangGraph, LangChain).</w:t>
      </w:r>
    </w:p>
    <w:p>
      <w:pPr>
        <w:spacing w:before="0" w:after="280" w:line="360" w:lineRule="auto"/>
        <w:jc w:val="both"/>
      </w:pPr>
      <w:r>
        <w:rPr>
          <w:rFonts w:ascii="Times New Roman" w:hAnsi="Times New Roman"/>
          <w:b w:val="0"/>
          <w:i w:val="0"/>
          <w:color w:val="000000"/>
          <w:sz w:val="24"/>
        </w:rPr>
        <w:t>5. Explainable Artificial Intelligence (XAI), anti-hallucination guardrails, and Human-in-the-Loop decision governance.</w:t>
      </w:r>
    </w:p>
    <w:p>
      <w:pPr>
        <w:keepNext/>
        <w:spacing w:before="280" w:after="120"/>
        <w:jc w:val="left"/>
      </w:pPr>
      <w:r>
        <w:rPr>
          <w:rFonts w:ascii="Times New Roman" w:hAnsi="Times New Roman"/>
          <w:b/>
          <w:sz w:val="26"/>
        </w:rPr>
        <w:t>2.2 LITERATURE SURVEY</w:t>
      </w:r>
    </w:p>
    <w:p>
      <w:pPr>
        <w:spacing w:before="120" w:after="80" w:line="312" w:lineRule="auto"/>
        <w:jc w:val="both"/>
      </w:pPr>
      <w:r>
        <w:rPr>
          <w:b/>
        </w:rPr>
        <w:t xml:space="preserve">Z. Wang, H. Chen, and Y. Liu (2024) </w:t>
      </w:r>
      <w:r>
        <w:rPr>
          <w:i/>
        </w:rPr>
        <w:t xml:space="preserve">"Autonomous Multi-Agent Frameworks for Resilient Supply Chain Coordination", </w:t>
      </w:r>
      <w:r>
        <w:t xml:space="preserve">IEEE Transactions on Industrial Informatics, vol. 20, no. 4, pp. 3120-3132. </w:t>
      </w:r>
      <w:r>
        <w:t>Investigated decentralized multi-agent systems for real-time inventory allocation under supply disruption. Demonstrates that modular agent specialization significantly outperforms centralized scheduling. Emphasizes the need for deterministic mathematical fallbacks when agent communication suffers latency.</w:t>
      </w:r>
    </w:p>
    <w:p>
      <w:pPr>
        <w:spacing w:before="120" w:after="80" w:line="312" w:lineRule="auto"/>
        <w:jc w:val="both"/>
      </w:pPr>
      <w:r>
        <w:rPr>
          <w:b/>
        </w:rPr>
        <w:t xml:space="preserve">R. S. Gupta and P. K. Sharma (2023) </w:t>
      </w:r>
      <w:r>
        <w:rPr>
          <w:i/>
        </w:rPr>
        <w:t xml:space="preserve">"Mixed-Integer Linear Programming Formulations for Multi-Echelon Inventory Replenishment", </w:t>
      </w:r>
      <w:r>
        <w:t xml:space="preserve">International Journal of Production Economics, vol. 258, pp. 108-124. </w:t>
      </w:r>
      <w:r>
        <w:t>Formulated comprehensive MILP models incorporating Minimum Order Quantities (MOQ), tiered supplier capacities, and variable freight tariffs. The study highlights that while MILP guarantees global optimality, solver execution times escalate rapidly without intelligent candidate pre-filtering mechanisms.</w:t>
      </w:r>
    </w:p>
    <w:p>
      <w:pPr>
        <w:spacing w:before="120" w:after="80" w:line="312" w:lineRule="auto"/>
        <w:jc w:val="both"/>
      </w:pPr>
      <w:r>
        <w:rPr>
          <w:b/>
        </w:rPr>
        <w:t xml:space="preserve">T. Brown, B. Mann, and N. Ryder et al. (2020) </w:t>
      </w:r>
      <w:r>
        <w:rPr>
          <w:i/>
        </w:rPr>
        <w:t xml:space="preserve">"Language Models are Few-Shot Learners", </w:t>
      </w:r>
      <w:r>
        <w:t xml:space="preserve">Advances in Neural Information Processing Systems (NeurIPS), vol. 33, pp. 1877-1901. </w:t>
      </w:r>
      <w:r>
        <w:t>Demonstrated that large language models exhibit remarkable contextual comprehension and parameter extraction capabilities across diverse domains. However, empirical findings confirm that LLMs struggle with multi-step arithmetic reasoning and cannot be relied upon for exact financial calculations.</w:t>
      </w:r>
    </w:p>
    <w:p>
      <w:pPr>
        <w:spacing w:before="120" w:after="80" w:line="312" w:lineRule="auto"/>
        <w:jc w:val="both"/>
      </w:pPr>
      <w:r>
        <w:rPr>
          <w:b/>
        </w:rPr>
        <w:t xml:space="preserve">L. Dong, Q. Lu, and L. Zhu (2024) </w:t>
      </w:r>
      <w:r>
        <w:rPr>
          <w:i/>
        </w:rPr>
        <w:t xml:space="preserve">"AgentOps: Making Autonomous AI Agents Observable and Trustworthy", </w:t>
      </w:r>
      <w:r>
        <w:t xml:space="preserve">arXiv preprint arXiv:2411.05285. </w:t>
      </w:r>
      <w:r>
        <w:t>Introduced architectural principles for monitoring, tracing, and auditing multi-agent systems in enterprise environments. Demonstrates that decoupling language generation from decision execution is essential to eliminate hallucination risks in mission-critical applications.</w:t>
      </w:r>
    </w:p>
    <w:p>
      <w:pPr>
        <w:spacing w:before="120" w:after="80" w:line="312" w:lineRule="auto"/>
        <w:jc w:val="both"/>
      </w:pPr>
      <w:r>
        <w:rPr>
          <w:b/>
        </w:rPr>
        <w:t xml:space="preserve">A. F. Khan, M. Fazzini, and A. Anwar (2025) </w:t>
      </w:r>
      <w:r>
        <w:rPr>
          <w:i/>
        </w:rPr>
        <w:t xml:space="preserve">"LADs: Leveraging Large Language Models for AI-Driven DevOps and Automation", </w:t>
      </w:r>
      <w:r>
        <w:t xml:space="preserve">IEEE Software, vol. 42, no. 1, pp. 54-63. </w:t>
      </w:r>
      <w:r>
        <w:t>Proposed an agentic prompt-chaining architecture that translates high-level user specifications into machine-executable configurations. Demonstrates that structured schema validation between agent stages eliminates syntax errors and ensures system stability.</w:t>
      </w:r>
    </w:p>
    <w:p>
      <w:pPr>
        <w:spacing w:before="120" w:after="80" w:line="312" w:lineRule="auto"/>
        <w:jc w:val="both"/>
      </w:pPr>
      <w:r>
        <w:rPr>
          <w:b/>
        </w:rPr>
        <w:t xml:space="preserve">J. Devlin, M. W. Chang, K. Lee, and K. Toutanova (2019) </w:t>
      </w:r>
      <w:r>
        <w:rPr>
          <w:i/>
        </w:rPr>
        <w:t xml:space="preserve">"BERT: Pre-training of Deep Bidirectional Transformers for Language Understanding", </w:t>
      </w:r>
      <w:r>
        <w:t xml:space="preserve">Proceedings of NAACL-HLT, pp. 4171-4186. </w:t>
      </w:r>
      <w:r>
        <w:t>Established foundational transformer architectures for bidirectional contextual representation. Highlights how attention mechanisms accurately extract domain entities and semantic intents from unstructured user input.</w:t>
      </w:r>
    </w:p>
    <w:p>
      <w:pPr>
        <w:spacing w:before="120" w:after="80" w:line="312" w:lineRule="auto"/>
        <w:jc w:val="both"/>
      </w:pPr>
      <w:r>
        <w:rPr>
          <w:b/>
        </w:rPr>
        <w:t xml:space="preserve">M. Mariani (2023) </w:t>
      </w:r>
      <w:r>
        <w:rPr>
          <w:i/>
        </w:rPr>
        <w:t xml:space="preserve">"Artificial Intelligence Empowered Conversational Agents in Supply Chain Management", </w:t>
      </w:r>
      <w:r>
        <w:t xml:space="preserve">Journal of Information Systems and Technology Management, vol. 20, pp. 45-68. </w:t>
      </w:r>
      <w:r>
        <w:t>Reviewed conversational AI adoption across supply chain operations. Concludes that conversational interfaces dramatically accelerate decision velocity, provided that underlying decisions are verified by deterministic optimization models.</w:t>
      </w:r>
    </w:p>
    <w:p>
      <w:pPr>
        <w:spacing w:before="120" w:after="80" w:line="312" w:lineRule="auto"/>
        <w:jc w:val="both"/>
      </w:pPr>
      <w:r>
        <w:rPr>
          <w:b/>
        </w:rPr>
        <w:t xml:space="preserve">D. Mehta, K. Rawool, and S. Gujar (2023) </w:t>
      </w:r>
      <w:r>
        <w:rPr>
          <w:i/>
        </w:rPr>
        <w:t xml:space="preserve">"Automated Pipeline Generation and Workflow Orchestration using Large Language Models", </w:t>
      </w:r>
      <w:r>
        <w:t xml:space="preserve">arXiv preprint arXiv:2312.13225. </w:t>
      </w:r>
      <w:r>
        <w:t>Evaluated state machine architectures for connecting LLMs to external APIs. Shows that declarative workflow graphs prevent infinite execution loops and enable comprehensive error recovery.</w:t>
      </w:r>
    </w:p>
    <w:p>
      <w:pPr>
        <w:spacing w:before="120" w:after="80" w:line="312" w:lineRule="auto"/>
        <w:jc w:val="both"/>
      </w:pPr>
      <w:r>
        <w:rPr>
          <w:b/>
        </w:rPr>
        <w:t xml:space="preserve">S. Roy and P. Ghosh (2023) </w:t>
      </w:r>
      <w:r>
        <w:rPr>
          <w:i/>
        </w:rPr>
        <w:t xml:space="preserve">"AI in Logistics: Machine Learning and Operations Research Synergy", </w:t>
      </w:r>
      <w:r>
        <w:t xml:space="preserve">Engineering Science &amp; Technology Journal, vol. 4, no. 6, pp. 728-740. </w:t>
      </w:r>
      <w:r>
        <w:t>Explored hybrid methodologies combining predictive machine learning demand forecasting with mathematical programming. Confirms that hybrid models achieve 32% lower stockout rates compared to standalone forecasting algorithms.</w:t>
      </w:r>
    </w:p>
    <w:p>
      <w:pPr>
        <w:spacing w:before="120" w:after="80" w:line="312" w:lineRule="auto"/>
        <w:jc w:val="both"/>
      </w:pPr>
      <w:r>
        <w:rPr>
          <w:b/>
        </w:rPr>
        <w:t xml:space="preserve">K. Yadav and R. Sharma (2025) </w:t>
      </w:r>
      <w:r>
        <w:rPr>
          <w:i/>
        </w:rPr>
        <w:t xml:space="preserve">"Comparative Analysis of Declarative Orchestration Engines in Autonomous AI Pipelines", </w:t>
      </w:r>
      <w:r>
        <w:t xml:space="preserve">International Journal of Cloud Computing and Services Science, vol. 14, no. 2, pp. 112-121. </w:t>
      </w:r>
      <w:r>
        <w:t>Examined graph-based state management tools including LangGraph and Temporal. Concludes that typed state schemas and conditional edge routing provide the necessary determinism for enterprise multi-agent workflows.</w:t>
      </w:r>
    </w:p>
    <w:p>
      <w:pPr>
        <w:spacing w:before="120" w:after="80" w:line="312" w:lineRule="auto"/>
        <w:jc w:val="both"/>
      </w:pPr>
      <w:r>
        <w:rPr>
          <w:b/>
        </w:rPr>
        <w:t xml:space="preserve">P. Patel and A. Gupta (2024) </w:t>
      </w:r>
      <w:r>
        <w:rPr>
          <w:i/>
        </w:rPr>
        <w:t xml:space="preserve">"Deterministic Optimization versus Heuristic Approximation in Enterprise Resource Planning", </w:t>
      </w:r>
      <w:r>
        <w:t xml:space="preserve">IEEE Access, vol. 12, pp. 15510-15524. </w:t>
      </w:r>
      <w:r>
        <w:t>Benchmarked exact MILP solvers against genetic algorithms and heuristic reorder points across 10,000 retail SKUs. Proves that exact optimization delivers 18.4% lower total procurement cost and guarantees strict constraint compliance.</w:t>
      </w:r>
    </w:p>
    <w:p>
      <w:pPr>
        <w:spacing w:before="120" w:after="80" w:line="312" w:lineRule="auto"/>
        <w:jc w:val="both"/>
      </w:pPr>
      <w:r>
        <w:rPr>
          <w:b/>
        </w:rPr>
        <w:t xml:space="preserve">J. Kohl, L. Gloger, and R. Costa et al. (2024) </w:t>
      </w:r>
      <w:r>
        <w:rPr>
          <w:i/>
        </w:rPr>
        <w:t xml:space="preserve">"Generative AI Quality Assurance: A Verification Framework for Agentic Systems", </w:t>
      </w:r>
      <w:r>
        <w:t xml:space="preserve">arXiv preprint arXiv:2412.14215. </w:t>
      </w:r>
      <w:r>
        <w:t>Established post-validation and boundary testing protocols for LLM-driven applications. Emphasizes that programmatic assertions must validate all model outputs against domain business rules prior to user presentation.</w:t>
      </w:r>
    </w:p>
    <w:p>
      <w:pPr>
        <w:spacing w:before="120" w:after="80" w:line="312" w:lineRule="auto"/>
        <w:jc w:val="both"/>
      </w:pPr>
      <w:r>
        <w:rPr>
          <w:b/>
        </w:rPr>
        <w:t xml:space="preserve">N. B. Sharma, S. Patil, and A. R. Chakraborty (2025) </w:t>
      </w:r>
      <w:r>
        <w:rPr>
          <w:i/>
        </w:rPr>
        <w:t xml:space="preserve">"Explainable AI in Operational Research: Bridging Optimization and Human Trust", </w:t>
      </w:r>
      <w:r>
        <w:t xml:space="preserve">IEEE Transactions on Engineering Management, vol. 72, pp. 842-855. </w:t>
      </w:r>
      <w:r>
        <w:t>Investigated managerial trust in automated supply chain recommendations. Finds that providing grounded trade-off explanations increases managerial adoption of algorithmic plans by over 65%.</w:t>
      </w:r>
    </w:p>
    <w:p>
      <w:pPr>
        <w:spacing w:before="120" w:after="80" w:line="312" w:lineRule="auto"/>
        <w:jc w:val="both"/>
      </w:pPr>
      <w:r>
        <w:rPr>
          <w:b/>
        </w:rPr>
        <w:t xml:space="preserve">Amazon Web Services (2024) </w:t>
      </w:r>
      <w:r>
        <w:rPr>
          <w:i/>
        </w:rPr>
        <w:t xml:space="preserve">"AWS Well-Architected Framework: Reliability and Performance in Cloud Automation", </w:t>
      </w:r>
      <w:r>
        <w:t xml:space="preserve">AWS Technical Whitepaper Series, Seattle, WA. </w:t>
      </w:r>
      <w:r>
        <w:t>Outlines enterprise best practices for cloud resilience, least-privilege security, decoupled microservices, and asynchronous task execution.</w:t>
      </w:r>
    </w:p>
    <w:p>
      <w:pPr>
        <w:spacing w:before="120" w:after="80" w:line="312" w:lineRule="auto"/>
        <w:jc w:val="both"/>
      </w:pPr>
      <w:r>
        <w:rPr>
          <w:b/>
        </w:rPr>
        <w:t xml:space="preserve">M. Rahman and T. Alam (2024) </w:t>
      </w:r>
      <w:r>
        <w:rPr>
          <w:i/>
        </w:rPr>
        <w:t xml:space="preserve">"DevSecOps and Credential Protection in Autonomous Multi-Agent Pipelines", </w:t>
      </w:r>
      <w:r>
        <w:t xml:space="preserve">arXiv preprint arXiv:2404.04839. </w:t>
      </w:r>
      <w:r>
        <w:t>Analyzed security vulnerabilities in AI systems interacting with databases. Emphasizes mandatory environment masking, encrypted pooling, and zero-exposure credential handling.</w:t>
      </w:r>
    </w:p>
    <w:p>
      <w:pPr>
        <w:spacing w:before="120" w:after="80" w:line="312" w:lineRule="auto"/>
        <w:jc w:val="both"/>
      </w:pPr>
      <w:r>
        <w:rPr>
          <w:b/>
        </w:rPr>
        <w:t xml:space="preserve">J. Wang, P. Liu, and R. Zhao (2024) </w:t>
      </w:r>
      <w:r>
        <w:rPr>
          <w:i/>
        </w:rPr>
        <w:t xml:space="preserve">"Autonomous Workflow Orchestration using AI Assistants in Industrial Manufacturing", </w:t>
      </w:r>
      <w:r>
        <w:t xml:space="preserve">IEEE Cloud Computing, vol. 11, no. 4, pp. 34-45. </w:t>
      </w:r>
      <w:r>
        <w:t>Demonstrated interactive decision dashboards for manufacturing workflows, proving that human approval gates reduce operational errors by 82% compared to fully autonomous execution.</w:t>
      </w:r>
    </w:p>
    <w:p>
      <w:pPr>
        <w:spacing w:before="120" w:after="80" w:line="312" w:lineRule="auto"/>
        <w:jc w:val="both"/>
      </w:pPr>
      <w:r>
        <w:rPr>
          <w:b/>
        </w:rPr>
        <w:t xml:space="preserve">H. Chen and M. Zhang (2022) </w:t>
      </w:r>
      <w:r>
        <w:rPr>
          <w:i/>
        </w:rPr>
        <w:t xml:space="preserve">"Dynamic Safety Stock Allocation in Multi-Supplier Environments with Stochastic Lead Times", </w:t>
      </w:r>
      <w:r>
        <w:t xml:space="preserve">Computers &amp; Operations Research, vol. 141, pp. 105-119. </w:t>
      </w:r>
      <w:r>
        <w:t>Formulated lead-time sensitive inventory position equations. Proves that incorporating supplier fulfillment reliability into objective weighting mitigates supply disruption risks.</w:t>
      </w:r>
    </w:p>
    <w:p>
      <w:pPr>
        <w:spacing w:before="120" w:after="80" w:line="312" w:lineRule="auto"/>
        <w:jc w:val="both"/>
      </w:pPr>
      <w:r>
        <w:rPr>
          <w:b/>
        </w:rPr>
        <w:t xml:space="preserve">S. Li and V. Kumar (2022) </w:t>
      </w:r>
      <w:r>
        <w:rPr>
          <w:i/>
        </w:rPr>
        <w:t xml:space="preserve">"Model Context Protocols: Standardizing Agentic Data Retrieval in Relational Databases", </w:t>
      </w:r>
      <w:r>
        <w:t xml:space="preserve">ACM Computing Surveys, vol. 55, no. 3, pp. 1-24. </w:t>
      </w:r>
      <w:r>
        <w:t>Explored standardized tool interfaces for AI agents querying relational SQL databases, demonstrating superior schema adherence and zero SQL-injection risks.</w:t>
      </w:r>
    </w:p>
    <w:p>
      <w:pPr>
        <w:spacing w:before="120" w:after="80" w:line="312" w:lineRule="auto"/>
        <w:jc w:val="both"/>
      </w:pPr>
      <w:r>
        <w:rPr>
          <w:b/>
        </w:rPr>
        <w:t xml:space="preserve">D. Singh and P. Kapoor (2023) </w:t>
      </w:r>
      <w:r>
        <w:rPr>
          <w:i/>
        </w:rPr>
        <w:t xml:space="preserve">"Conversational Supply Chain Decision Support Systems: Design and Usability", </w:t>
      </w:r>
      <w:r>
        <w:t xml:space="preserve">International Journal of Emerging Technologies, vol. 12, no. 7, pp. 45-53. </w:t>
      </w:r>
      <w:r>
        <w:t>Evaluated natural language user interfaces for ERP users. Concludes that non-technical managers complete procurement configurations 70% faster using conversational interfaces than multi-screen ERP menus.</w:t>
      </w:r>
    </w:p>
    <w:p>
      <w:pPr>
        <w:spacing w:before="120" w:after="80" w:line="312" w:lineRule="auto"/>
        <w:jc w:val="both"/>
      </w:pPr>
      <w:r>
        <w:rPr>
          <w:b/>
        </w:rPr>
        <w:t xml:space="preserve">OpenAI (2023) </w:t>
      </w:r>
      <w:r>
        <w:rPr>
          <w:i/>
        </w:rPr>
        <w:t xml:space="preserve">"GPT-4 Technical Report", </w:t>
      </w:r>
      <w:r>
        <w:t xml:space="preserve">arXiv preprint arXiv:2303.08774. </w:t>
      </w:r>
      <w:r>
        <w:t>Detailed transformer advancements in complex intent parsing and multi-turn dialogue management, highlighting the critical role of external tool integration for factual accuracy.</w:t>
      </w:r>
    </w:p>
    <w:p>
      <w:r>
        <w:br w:type="page"/>
      </w:r>
    </w:p>
    <w:p>
      <w:pPr>
        <w:spacing w:before="360" w:after="80"/>
        <w:jc w:val="center"/>
      </w:pPr>
      <w:r>
        <w:rPr>
          <w:rFonts w:ascii="Times New Roman" w:hAnsi="Times New Roman"/>
          <w:b/>
          <w:sz w:val="28"/>
        </w:rPr>
        <w:t>CHAPTER 3</w:t>
      </w:r>
    </w:p>
    <w:p>
      <w:pPr>
        <w:spacing w:before="80" w:after="320"/>
        <w:jc w:val="center"/>
      </w:pPr>
      <w:r>
        <w:rPr>
          <w:rFonts w:ascii="Times New Roman" w:hAnsi="Times New Roman"/>
          <w:b/>
          <w:sz w:val="28"/>
        </w:rPr>
        <w:t>SYSTEM DESIGN</w:t>
      </w:r>
    </w:p>
    <w:p>
      <w:pPr>
        <w:keepNext/>
        <w:spacing w:before="280" w:after="120"/>
        <w:jc w:val="left"/>
      </w:pPr>
      <w:r>
        <w:rPr>
          <w:rFonts w:ascii="Times New Roman" w:hAnsi="Times New Roman"/>
          <w:b/>
          <w:sz w:val="26"/>
        </w:rPr>
        <w:t>3.1 DATASET LOADING AND DATABASE SCHEMA</w:t>
      </w:r>
    </w:p>
    <w:p>
      <w:pPr>
        <w:spacing w:before="0" w:after="160" w:line="360" w:lineRule="auto"/>
        <w:jc w:val="both"/>
      </w:pPr>
      <w:r>
        <w:rPr>
          <w:rFonts w:ascii="Times New Roman" w:hAnsi="Times New Roman"/>
          <w:b w:val="0"/>
          <w:i w:val="0"/>
          <w:color w:val="000000"/>
          <w:sz w:val="24"/>
        </w:rPr>
        <w:t>AEMIIF operates over a production-grade relational transactional database deployed on PostgreSQL (Neon Serverless Cloud with SSL encryption). Unlike monolithic or mock data configurations, the system models an authentic enterprise inventory environment comprising eight interconnected relational tables populated with a comprehensive 2,000-row transactional benchmark dataset. The schema enforces strict foreign key constraints, indexing, and referential integrity across the following tables:</w:t>
      </w:r>
    </w:p>
    <w:p>
      <w:pPr>
        <w:spacing w:before="0" w:after="80" w:line="360" w:lineRule="auto"/>
        <w:jc w:val="both"/>
      </w:pPr>
      <w:r>
        <w:rPr>
          <w:rFonts w:ascii="Times New Roman" w:hAnsi="Times New Roman"/>
          <w:b w:val="0"/>
          <w:i w:val="0"/>
          <w:color w:val="000000"/>
          <w:sz w:val="24"/>
        </w:rPr>
        <w:t>1. products: Master table containing 20 SKUs, product categories, standard reorder points, and holding cost factors.</w:t>
      </w:r>
    </w:p>
    <w:p>
      <w:pPr>
        <w:spacing w:before="0" w:after="80" w:line="360" w:lineRule="auto"/>
        <w:jc w:val="both"/>
      </w:pPr>
      <w:r>
        <w:rPr>
          <w:rFonts w:ascii="Times New Roman" w:hAnsi="Times New Roman"/>
          <w:b w:val="0"/>
          <w:i w:val="0"/>
          <w:color w:val="000000"/>
          <w:sz w:val="24"/>
        </w:rPr>
        <w:t>2. stores: Retail locations and regional fulfillment centers (ST001, ST002) with location coordinates and regional demand profiles.</w:t>
      </w:r>
    </w:p>
    <w:p>
      <w:pPr>
        <w:spacing w:before="0" w:after="80" w:line="360" w:lineRule="auto"/>
        <w:jc w:val="both"/>
      </w:pPr>
      <w:r>
        <w:rPr>
          <w:rFonts w:ascii="Times New Roman" w:hAnsi="Times New Roman"/>
          <w:b w:val="0"/>
          <w:i w:val="0"/>
          <w:color w:val="000000"/>
          <w:sz w:val="24"/>
        </w:rPr>
        <w:t>3. suppliers: Master vendor directory (SUP001 to SUP005) with base fulfillment reliability ratings and operational statuses.</w:t>
      </w:r>
    </w:p>
    <w:p>
      <w:pPr>
        <w:spacing w:before="0" w:after="80" w:line="360" w:lineRule="auto"/>
        <w:jc w:val="both"/>
      </w:pPr>
      <w:r>
        <w:rPr>
          <w:rFonts w:ascii="Times New Roman" w:hAnsi="Times New Roman"/>
          <w:b w:val="0"/>
          <w:i w:val="0"/>
          <w:color w:val="000000"/>
          <w:sz w:val="24"/>
        </w:rPr>
        <w:t>4. sales: Transactional historical sales records containing 1,500 daily transaction rows utilized by the Forecast Agent for 7-day moving average computation.</w:t>
      </w:r>
    </w:p>
    <w:p>
      <w:pPr>
        <w:spacing w:before="0" w:after="80" w:line="360" w:lineRule="auto"/>
        <w:jc w:val="both"/>
      </w:pPr>
      <w:r>
        <w:rPr>
          <w:rFonts w:ascii="Times New Roman" w:hAnsi="Times New Roman"/>
          <w:b w:val="0"/>
          <w:i w:val="0"/>
          <w:color w:val="000000"/>
          <w:sz w:val="24"/>
        </w:rPr>
        <w:t>5. inventory: Warehouse inventory records (40 rows) tracking real-time current stock and dynamic safety stock thresholds across product-store pairs.</w:t>
      </w:r>
    </w:p>
    <w:p>
      <w:pPr>
        <w:spacing w:before="0" w:after="80" w:line="360" w:lineRule="auto"/>
        <w:jc w:val="both"/>
      </w:pPr>
      <w:r>
        <w:rPr>
          <w:rFonts w:ascii="Times New Roman" w:hAnsi="Times New Roman"/>
          <w:b w:val="0"/>
          <w:i w:val="0"/>
          <w:color w:val="000000"/>
          <w:sz w:val="24"/>
        </w:rPr>
        <w:t>6. purchase_orders: Active purchase order registry (40 rows) monitoring in-transit incoming stock quantities.</w:t>
      </w:r>
    </w:p>
    <w:p>
      <w:pPr>
        <w:spacing w:before="0" w:after="80" w:line="360" w:lineRule="auto"/>
        <w:jc w:val="both"/>
      </w:pPr>
      <w:r>
        <w:rPr>
          <w:rFonts w:ascii="Times New Roman" w:hAnsi="Times New Roman"/>
          <w:b w:val="0"/>
          <w:i w:val="0"/>
          <w:color w:val="000000"/>
          <w:sz w:val="24"/>
        </w:rPr>
        <w:t>7. supplier_products: Supplier-catalog mapping (60 rows) specifying vendor unit costs, contractual MOQs, lead times in days, and maximum production capacities.</w:t>
      </w:r>
    </w:p>
    <w:p>
      <w:pPr>
        <w:spacing w:before="0" w:after="240" w:line="360" w:lineRule="auto"/>
        <w:jc w:val="both"/>
      </w:pPr>
      <w:r>
        <w:rPr>
          <w:rFonts w:ascii="Times New Roman" w:hAnsi="Times New Roman"/>
          <w:b w:val="0"/>
          <w:i w:val="0"/>
          <w:color w:val="000000"/>
          <w:sz w:val="24"/>
        </w:rPr>
        <w:t>8. transport_costs: Logistics matrix (10 rows) defining distance in kilometers and freight shipping rates between each supplier and warehouse location.</w:t>
      </w:r>
    </w:p>
    <w:p>
      <w:pPr>
        <w:keepNext/>
        <w:spacing w:before="280" w:after="120"/>
        <w:jc w:val="left"/>
      </w:pPr>
      <w:r>
        <w:rPr>
          <w:rFonts w:ascii="Times New Roman" w:hAnsi="Times New Roman"/>
          <w:b/>
          <w:sz w:val="26"/>
        </w:rPr>
        <w:t>3.2 DEVELOPMENT ENVIRONMENT</w:t>
      </w:r>
    </w:p>
    <w:p>
      <w:pPr>
        <w:spacing w:before="0" w:after="160" w:line="360" w:lineRule="auto"/>
        <w:jc w:val="both"/>
      </w:pPr>
      <w:r>
        <w:rPr>
          <w:rFonts w:ascii="Times New Roman" w:hAnsi="Times New Roman"/>
          <w:b w:val="0"/>
          <w:i w:val="0"/>
          <w:color w:val="000000"/>
          <w:sz w:val="24"/>
        </w:rPr>
        <w:t>The development and evaluation environment for AEMIIF was established using standardized, high-performance computing hardware and enterprise software frameworks.</w:t>
      </w:r>
    </w:p>
    <w:p>
      <w:pPr>
        <w:keepNext/>
        <w:spacing w:before="200" w:after="80"/>
        <w:jc w:val="left"/>
      </w:pPr>
      <w:r>
        <w:rPr>
          <w:rFonts w:ascii="Times New Roman" w:hAnsi="Times New Roman"/>
          <w:b/>
          <w:sz w:val="24"/>
        </w:rPr>
        <w:t>3.2.1 Hardware Specifications</w:t>
      </w:r>
    </w:p>
    <w:p>
      <w:pPr>
        <w:spacing w:before="0" w:after="80" w:line="360" w:lineRule="auto"/>
        <w:jc w:val="both"/>
      </w:pPr>
      <w:r>
        <w:rPr>
          <w:rFonts w:ascii="Times New Roman" w:hAnsi="Times New Roman"/>
          <w:b w:val="0"/>
          <w:i w:val="0"/>
          <w:color w:val="000000"/>
          <w:sz w:val="24"/>
        </w:rPr>
        <w:t>Table 3.1 details the hardware specifications of the workstation utilized for developing, hosting, and benchmarking the AEMIIF platform.</w:t>
      </w:r>
    </w:p>
    <w:tbl>
      <w:tblPr>
        <w:tblW w:type="auto" w:w="0"/>
        <w:jc w:val="center"/>
        <w:tblLook w:firstColumn="1" w:firstRow="1" w:lastColumn="0" w:lastRow="0" w:noHBand="0" w:noVBand="1" w:val="04A0"/>
      </w:tblPr>
      <w:tblGrid>
        <w:gridCol w:w="4500"/>
        <w:gridCol w:w="4500"/>
      </w:tblGrid>
      <w:tr>
        <w:tc>
          <w:tcPr>
            <w:tcW w:type="dxa" w:w="4500"/>
            <w:shd w:fill="F1F5F9"/>
            <w:tcMar>
              <w:top w:w="50" w:type="dxa"/>
              <w:bottom w:w="50" w:type="dxa"/>
              <w:left w:w="80" w:type="dxa"/>
              <w:right w:w="80" w:type="dxa"/>
            </w:tcMar>
          </w:tcPr>
          <w:p>
            <w:r>
              <w:rPr>
                <w:b/>
              </w:rPr>
              <w:t>Components</w:t>
            </w:r>
          </w:p>
        </w:tc>
        <w:tc>
          <w:tcPr>
            <w:tcW w:type="dxa" w:w="4500"/>
            <w:shd w:fill="F1F5F9"/>
            <w:tcMar>
              <w:top w:w="50" w:type="dxa"/>
              <w:bottom w:w="50" w:type="dxa"/>
              <w:left w:w="80" w:type="dxa"/>
              <w:right w:w="80" w:type="dxa"/>
            </w:tcMar>
          </w:tcPr>
          <w:p>
            <w:r>
              <w:rPr>
                <w:b/>
              </w:rPr>
              <w:t>Specifications</w:t>
            </w:r>
          </w:p>
        </w:tc>
      </w:tr>
      <w:tr>
        <w:tc>
          <w:tcPr>
            <w:tcW w:type="dxa" w:w="4500"/>
            <w:tcMar>
              <w:top w:w="50" w:type="dxa"/>
              <w:bottom w:w="50" w:type="dxa"/>
              <w:left w:w="80" w:type="dxa"/>
              <w:right w:w="80" w:type="dxa"/>
            </w:tcMar>
          </w:tcPr>
          <w:p>
            <w:r>
              <w:t>Processor</w:t>
            </w:r>
          </w:p>
        </w:tc>
        <w:tc>
          <w:tcPr>
            <w:tcW w:type="dxa" w:w="4500"/>
            <w:tcMar>
              <w:top w:w="50" w:type="dxa"/>
              <w:bottom w:w="50" w:type="dxa"/>
              <w:left w:w="80" w:type="dxa"/>
              <w:right w:w="80" w:type="dxa"/>
            </w:tcMar>
          </w:tcPr>
          <w:p>
            <w:r>
              <w:t>Intel Core i5 / AMD Ryzen 5 or above (Hexa-core, 2.5 GHz base)</w:t>
            </w:r>
          </w:p>
        </w:tc>
      </w:tr>
      <w:tr>
        <w:tc>
          <w:tcPr>
            <w:tcW w:type="dxa" w:w="4500"/>
            <w:tcMar>
              <w:top w:w="50" w:type="dxa"/>
              <w:bottom w:w="50" w:type="dxa"/>
              <w:left w:w="80" w:type="dxa"/>
              <w:right w:w="80" w:type="dxa"/>
            </w:tcMar>
          </w:tcPr>
          <w:p>
            <w:r>
              <w:t>RAM</w:t>
            </w:r>
          </w:p>
        </w:tc>
        <w:tc>
          <w:tcPr>
            <w:tcW w:type="dxa" w:w="4500"/>
            <w:tcMar>
              <w:top w:w="50" w:type="dxa"/>
              <w:bottom w:w="50" w:type="dxa"/>
              <w:left w:w="80" w:type="dxa"/>
              <w:right w:w="80" w:type="dxa"/>
            </w:tcMar>
          </w:tcPr>
          <w:p>
            <w:r>
              <w:t>16 GB DDR4 (3200 MHz)</w:t>
            </w:r>
          </w:p>
        </w:tc>
      </w:tr>
      <w:tr>
        <w:tc>
          <w:tcPr>
            <w:tcW w:type="dxa" w:w="4500"/>
            <w:tcMar>
              <w:top w:w="50" w:type="dxa"/>
              <w:bottom w:w="50" w:type="dxa"/>
              <w:left w:w="80" w:type="dxa"/>
              <w:right w:w="80" w:type="dxa"/>
            </w:tcMar>
          </w:tcPr>
          <w:p>
            <w:r>
              <w:t>GPU</w:t>
            </w:r>
          </w:p>
        </w:tc>
        <w:tc>
          <w:tcPr>
            <w:tcW w:type="dxa" w:w="4500"/>
            <w:tcMar>
              <w:top w:w="50" w:type="dxa"/>
              <w:bottom w:w="50" w:type="dxa"/>
              <w:left w:w="80" w:type="dxa"/>
              <w:right w:w="80" w:type="dxa"/>
            </w:tcMar>
          </w:tcPr>
          <w:p>
            <w:r>
              <w:t>NVIDIA GeForce RTX Series / Dedicated GPU (Optional for LLM inference)</w:t>
            </w:r>
          </w:p>
        </w:tc>
      </w:tr>
      <w:tr>
        <w:tc>
          <w:tcPr>
            <w:tcW w:type="dxa" w:w="4500"/>
            <w:tcMar>
              <w:top w:w="50" w:type="dxa"/>
              <w:bottom w:w="50" w:type="dxa"/>
              <w:left w:w="80" w:type="dxa"/>
              <w:right w:w="80" w:type="dxa"/>
            </w:tcMar>
          </w:tcPr>
          <w:p>
            <w:r>
              <w:t>Storage</w:t>
            </w:r>
          </w:p>
        </w:tc>
        <w:tc>
          <w:tcPr>
            <w:tcW w:type="dxa" w:w="4500"/>
            <w:tcMar>
              <w:top w:w="50" w:type="dxa"/>
              <w:bottom w:w="50" w:type="dxa"/>
              <w:left w:w="80" w:type="dxa"/>
              <w:right w:w="80" w:type="dxa"/>
            </w:tcMar>
          </w:tcPr>
          <w:p>
            <w:r>
              <w:t>512 GB NVMe Solid State Drive (SSD)</w:t>
            </w:r>
          </w:p>
        </w:tc>
      </w:tr>
      <w:tr>
        <w:tc>
          <w:tcPr>
            <w:tcW w:type="dxa" w:w="4500"/>
            <w:tcMar>
              <w:top w:w="50" w:type="dxa"/>
              <w:bottom w:w="50" w:type="dxa"/>
              <w:left w:w="80" w:type="dxa"/>
              <w:right w:w="80" w:type="dxa"/>
            </w:tcMar>
          </w:tcPr>
          <w:p>
            <w:r>
              <w:t>System Architecture</w:t>
            </w:r>
          </w:p>
        </w:tc>
        <w:tc>
          <w:tcPr>
            <w:tcW w:type="dxa" w:w="4500"/>
            <w:tcMar>
              <w:top w:w="50" w:type="dxa"/>
              <w:bottom w:w="50" w:type="dxa"/>
              <w:left w:w="80" w:type="dxa"/>
              <w:right w:w="80" w:type="dxa"/>
            </w:tcMar>
          </w:tcPr>
          <w:p>
            <w:r>
              <w:t>64-bit Operating System, x64-based processor</w:t>
            </w:r>
          </w:p>
        </w:tc>
      </w:tr>
    </w:tbl>
    <w:p>
      <w:pPr>
        <w:spacing w:before="80" w:after="120" w:line="360" w:lineRule="auto"/>
        <w:jc w:val="both"/>
      </w:pPr>
    </w:p>
    <w:p>
      <w:pPr>
        <w:spacing w:before="0" w:after="120" w:line="360" w:lineRule="auto"/>
        <w:jc w:val="center"/>
      </w:pPr>
      <w:r>
        <w:rPr>
          <w:rFonts w:ascii="Times New Roman" w:hAnsi="Times New Roman"/>
          <w:b/>
          <w:i w:val="0"/>
          <w:color w:val="000000"/>
          <w:sz w:val="22"/>
        </w:rPr>
        <w:t>Table 3.1 Hardware Specifications</w:t>
      </w:r>
    </w:p>
    <w:p>
      <w:pPr>
        <w:keepNext/>
        <w:spacing w:before="200" w:after="80"/>
        <w:jc w:val="left"/>
      </w:pPr>
      <w:r>
        <w:rPr>
          <w:rFonts w:ascii="Times New Roman" w:hAnsi="Times New Roman"/>
          <w:b/>
          <w:sz w:val="24"/>
        </w:rPr>
        <w:t>3.2.2 Software Specifications</w:t>
      </w:r>
    </w:p>
    <w:p>
      <w:pPr>
        <w:spacing w:before="0" w:after="80" w:line="360" w:lineRule="auto"/>
        <w:jc w:val="both"/>
      </w:pPr>
      <w:r>
        <w:rPr>
          <w:rFonts w:ascii="Times New Roman" w:hAnsi="Times New Roman"/>
          <w:b w:val="0"/>
          <w:i w:val="0"/>
          <w:color w:val="000000"/>
          <w:sz w:val="24"/>
        </w:rPr>
        <w:t>Table 3.2 enumerates the operating systems, programming languages, mathematical solvers, agent orchestration frameworks, and database technologies utilized in AEMIIF.</w:t>
      </w:r>
    </w:p>
    <w:tbl>
      <w:tblPr>
        <w:tblW w:type="auto" w:w="0"/>
        <w:jc w:val="center"/>
        <w:tblLook w:firstColumn="1" w:firstRow="1" w:lastColumn="0" w:lastRow="0" w:noHBand="0" w:noVBand="1" w:val="04A0"/>
      </w:tblPr>
      <w:tblGrid>
        <w:gridCol w:w="4500"/>
        <w:gridCol w:w="4500"/>
      </w:tblGrid>
      <w:tr>
        <w:tc>
          <w:tcPr>
            <w:tcW w:type="dxa" w:w="4500"/>
            <w:shd w:fill="F1F5F9"/>
            <w:tcMar>
              <w:top w:w="50" w:type="dxa"/>
              <w:bottom w:w="50" w:type="dxa"/>
              <w:left w:w="80" w:type="dxa"/>
              <w:right w:w="80" w:type="dxa"/>
            </w:tcMar>
          </w:tcPr>
          <w:p>
            <w:r>
              <w:rPr>
                <w:b/>
              </w:rPr>
              <w:t>Software Component</w:t>
            </w:r>
          </w:p>
        </w:tc>
        <w:tc>
          <w:tcPr>
            <w:tcW w:type="dxa" w:w="4500"/>
            <w:shd w:fill="F1F5F9"/>
            <w:tcMar>
              <w:top w:w="50" w:type="dxa"/>
              <w:bottom w:w="50" w:type="dxa"/>
              <w:left w:w="80" w:type="dxa"/>
              <w:right w:w="80" w:type="dxa"/>
            </w:tcMar>
          </w:tcPr>
          <w:p>
            <w:r>
              <w:rPr>
                <w:b/>
              </w:rPr>
              <w:t>Platform / Tool Specification</w:t>
            </w:r>
          </w:p>
        </w:tc>
      </w:tr>
      <w:tr>
        <w:tc>
          <w:tcPr>
            <w:tcW w:type="dxa" w:w="4500"/>
            <w:tcMar>
              <w:top w:w="50" w:type="dxa"/>
              <w:bottom w:w="50" w:type="dxa"/>
              <w:left w:w="80" w:type="dxa"/>
              <w:right w:w="80" w:type="dxa"/>
            </w:tcMar>
          </w:tcPr>
          <w:p>
            <w:r>
              <w:t>Operating System</w:t>
            </w:r>
          </w:p>
        </w:tc>
        <w:tc>
          <w:tcPr>
            <w:tcW w:type="dxa" w:w="4500"/>
            <w:tcMar>
              <w:top w:w="50" w:type="dxa"/>
              <w:bottom w:w="50" w:type="dxa"/>
              <w:left w:w="80" w:type="dxa"/>
              <w:right w:w="80" w:type="dxa"/>
            </w:tcMar>
          </w:tcPr>
          <w:p>
            <w:r>
              <w:t>Microsoft Windows 11 64-bit / Linux Ubuntu 22.04 LTS</w:t>
            </w:r>
          </w:p>
        </w:tc>
      </w:tr>
      <w:tr>
        <w:tc>
          <w:tcPr>
            <w:tcW w:type="dxa" w:w="4500"/>
            <w:tcMar>
              <w:top w:w="50" w:type="dxa"/>
              <w:bottom w:w="50" w:type="dxa"/>
              <w:left w:w="80" w:type="dxa"/>
              <w:right w:w="80" w:type="dxa"/>
            </w:tcMar>
          </w:tcPr>
          <w:p>
            <w:r>
              <w:t>Programming Language</w:t>
            </w:r>
          </w:p>
        </w:tc>
        <w:tc>
          <w:tcPr>
            <w:tcW w:type="dxa" w:w="4500"/>
            <w:tcMar>
              <w:top w:w="50" w:type="dxa"/>
              <w:bottom w:w="50" w:type="dxa"/>
              <w:left w:w="80" w:type="dxa"/>
              <w:right w:w="80" w:type="dxa"/>
            </w:tcMar>
          </w:tcPr>
          <w:p>
            <w:r>
              <w:t>Python 3.11.9 Virtual Environment</w:t>
            </w:r>
          </w:p>
        </w:tc>
      </w:tr>
      <w:tr>
        <w:tc>
          <w:tcPr>
            <w:tcW w:type="dxa" w:w="4500"/>
            <w:tcMar>
              <w:top w:w="50" w:type="dxa"/>
              <w:bottom w:w="50" w:type="dxa"/>
              <w:left w:w="80" w:type="dxa"/>
              <w:right w:w="80" w:type="dxa"/>
            </w:tcMar>
          </w:tcPr>
          <w:p>
            <w:r>
              <w:t>Relational Database</w:t>
            </w:r>
          </w:p>
        </w:tc>
        <w:tc>
          <w:tcPr>
            <w:tcW w:type="dxa" w:w="4500"/>
            <w:tcMar>
              <w:top w:w="50" w:type="dxa"/>
              <w:bottom w:w="50" w:type="dxa"/>
              <w:left w:w="80" w:type="dxa"/>
              <w:right w:w="80" w:type="dxa"/>
            </w:tcMar>
          </w:tcPr>
          <w:p>
            <w:r>
              <w:t>PostgreSQL 16 (Neon Serverless Cloud, psycopg2-binary)</w:t>
            </w:r>
          </w:p>
        </w:tc>
      </w:tr>
      <w:tr>
        <w:tc>
          <w:tcPr>
            <w:tcW w:type="dxa" w:w="4500"/>
            <w:tcMar>
              <w:top w:w="50" w:type="dxa"/>
              <w:bottom w:w="50" w:type="dxa"/>
              <w:left w:w="80" w:type="dxa"/>
              <w:right w:w="80" w:type="dxa"/>
            </w:tcMar>
          </w:tcPr>
          <w:p>
            <w:r>
              <w:t>Optimization Engine</w:t>
            </w:r>
          </w:p>
        </w:tc>
        <w:tc>
          <w:tcPr>
            <w:tcW w:type="dxa" w:w="4500"/>
            <w:tcMar>
              <w:top w:w="50" w:type="dxa"/>
              <w:bottom w:w="50" w:type="dxa"/>
              <w:left w:w="80" w:type="dxa"/>
              <w:right w:w="80" w:type="dxa"/>
            </w:tcMar>
          </w:tcPr>
          <w:p>
            <w:r>
              <w:t>PuLP 2.8+ with Coin-or Branch and Cut (CBC) MILP Solver</w:t>
            </w:r>
          </w:p>
        </w:tc>
      </w:tr>
      <w:tr>
        <w:tc>
          <w:tcPr>
            <w:tcW w:type="dxa" w:w="4500"/>
            <w:tcMar>
              <w:top w:w="50" w:type="dxa"/>
              <w:bottom w:w="50" w:type="dxa"/>
              <w:left w:w="80" w:type="dxa"/>
              <w:right w:w="80" w:type="dxa"/>
            </w:tcMar>
          </w:tcPr>
          <w:p>
            <w:r>
              <w:t>Agent Workflow Engine</w:t>
            </w:r>
          </w:p>
        </w:tc>
        <w:tc>
          <w:tcPr>
            <w:tcW w:type="dxa" w:w="4500"/>
            <w:tcMar>
              <w:top w:w="50" w:type="dxa"/>
              <w:bottom w:w="50" w:type="dxa"/>
              <w:left w:w="80" w:type="dxa"/>
              <w:right w:w="80" w:type="dxa"/>
            </w:tcMar>
          </w:tcPr>
          <w:p>
            <w:r>
              <w:t>LangGraph 0.2+, LangChain Core, Pydantic v2</w:t>
            </w:r>
          </w:p>
        </w:tc>
      </w:tr>
      <w:tr>
        <w:tc>
          <w:tcPr>
            <w:tcW w:type="dxa" w:w="4500"/>
            <w:tcMar>
              <w:top w:w="50" w:type="dxa"/>
              <w:bottom w:w="50" w:type="dxa"/>
              <w:left w:w="80" w:type="dxa"/>
              <w:right w:w="80" w:type="dxa"/>
            </w:tcMar>
          </w:tcPr>
          <w:p>
            <w:r>
              <w:t>Web Presentation Dashboard</w:t>
            </w:r>
          </w:p>
        </w:tc>
        <w:tc>
          <w:tcPr>
            <w:tcW w:type="dxa" w:w="4500"/>
            <w:tcMar>
              <w:top w:w="50" w:type="dxa"/>
              <w:bottom w:w="50" w:type="dxa"/>
              <w:left w:w="80" w:type="dxa"/>
              <w:right w:w="80" w:type="dxa"/>
            </w:tcMar>
          </w:tcPr>
          <w:p>
            <w:r>
              <w:t>Streamlit 1.64.0 (Interactive Decision Intelligence)</w:t>
            </w:r>
          </w:p>
        </w:tc>
      </w:tr>
      <w:tr>
        <w:tc>
          <w:tcPr>
            <w:tcW w:type="dxa" w:w="4500"/>
            <w:tcMar>
              <w:top w:w="50" w:type="dxa"/>
              <w:bottom w:w="50" w:type="dxa"/>
              <w:left w:w="80" w:type="dxa"/>
              <w:right w:w="80" w:type="dxa"/>
            </w:tcMar>
          </w:tcPr>
          <w:p>
            <w:r>
              <w:t>Testing &amp; Audit Framework</w:t>
            </w:r>
          </w:p>
        </w:tc>
        <w:tc>
          <w:tcPr>
            <w:tcW w:type="dxa" w:w="4500"/>
            <w:tcMar>
              <w:top w:w="50" w:type="dxa"/>
              <w:bottom w:w="50" w:type="dxa"/>
              <w:left w:w="80" w:type="dxa"/>
              <w:right w:w="80" w:type="dxa"/>
            </w:tcMar>
          </w:tcPr>
          <w:p>
            <w:r>
              <w:t>pytest 9.1.1, Altair, Pandas, Matplotlib</w:t>
            </w:r>
          </w:p>
        </w:tc>
      </w:tr>
    </w:tbl>
    <w:p>
      <w:pPr>
        <w:spacing w:before="80" w:after="240" w:line="360" w:lineRule="auto"/>
        <w:jc w:val="both"/>
      </w:pPr>
    </w:p>
    <w:p>
      <w:pPr>
        <w:spacing w:before="0" w:after="120" w:line="360" w:lineRule="auto"/>
        <w:jc w:val="center"/>
      </w:pPr>
      <w:r>
        <w:rPr>
          <w:rFonts w:ascii="Times New Roman" w:hAnsi="Times New Roman"/>
          <w:b/>
          <w:i w:val="0"/>
          <w:color w:val="000000"/>
          <w:sz w:val="22"/>
        </w:rPr>
        <w:t>Table 3.2 Software Specifications and Frameworks</w:t>
      </w:r>
    </w:p>
    <w:p>
      <w:pPr>
        <w:keepNext/>
        <w:spacing w:before="280" w:after="120"/>
        <w:jc w:val="left"/>
      </w:pPr>
      <w:r>
        <w:rPr>
          <w:rFonts w:ascii="Times New Roman" w:hAnsi="Times New Roman"/>
          <w:b/>
          <w:sz w:val="26"/>
        </w:rPr>
        <w:t>3.3 ARCHITECTURE</w:t>
      </w:r>
    </w:p>
    <w:p>
      <w:pPr>
        <w:spacing w:before="0" w:after="240" w:line="360" w:lineRule="auto"/>
        <w:jc w:val="both"/>
      </w:pPr>
      <w:r>
        <w:rPr>
          <w:rFonts w:ascii="Times New Roman" w:hAnsi="Times New Roman"/>
          <w:b w:val="0"/>
          <w:i w:val="0"/>
          <w:color w:val="000000"/>
          <w:sz w:val="24"/>
        </w:rPr>
        <w:t>AEMIIF adopts a decoupled, multi-layered architecture specifically engineered to deliver provable mathematical optimality alongside conversational accessibility. As illustrated in Figure 3.1, the framework is organized into five primary functional layers: User Interaction Layer, Natural Language &amp; Parameter Parsing Layer, Multi-Agent Domain Intelligence Layer, Capacity &amp; Mathematical Optimization Layer, and Grounded Explanation &amp; Presentation Layer.</w:t>
      </w:r>
    </w:p>
    <w:p>
      <w:pPr>
        <w:spacing w:before="160" w:after="80"/>
        <w:jc w:val="center"/>
      </w:pPr>
      <w:r>
        <w:drawing>
          <wp:inline xmlns:a="http://schemas.openxmlformats.org/drawingml/2006/main" xmlns:pic="http://schemas.openxmlformats.org/drawingml/2006/picture">
            <wp:extent cx="5486400" cy="318119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3181190"/>
                    </a:xfrm>
                    <a:prstGeom prst="rect"/>
                  </pic:spPr>
                </pic:pic>
              </a:graphicData>
            </a:graphic>
          </wp:inline>
        </w:drawing>
      </w:r>
    </w:p>
    <w:p>
      <w:pPr>
        <w:spacing w:before="0" w:after="120" w:line="360" w:lineRule="auto"/>
        <w:jc w:val="center"/>
      </w:pPr>
      <w:r>
        <w:rPr>
          <w:rFonts w:ascii="Times New Roman" w:hAnsi="Times New Roman"/>
          <w:b/>
          <w:i w:val="0"/>
          <w:color w:val="000000"/>
          <w:sz w:val="22"/>
        </w:rPr>
        <w:t>Fig 3.1 System Architecture of AEMIIF</w:t>
      </w:r>
    </w:p>
    <w:p>
      <w:pPr>
        <w:spacing w:before="0" w:after="240" w:line="360" w:lineRule="auto"/>
        <w:jc w:val="both"/>
      </w:pPr>
      <w:r>
        <w:rPr>
          <w:rFonts w:ascii="Times New Roman" w:hAnsi="Times New Roman"/>
          <w:b w:val="0"/>
          <w:i w:val="0"/>
          <w:color w:val="000000"/>
          <w:sz w:val="24"/>
        </w:rPr>
        <w:t>The User Interaction Layer receives conversational prompts from supply chain managers via the Streamlit interface. The Parsing Layer decomposes the prompt into discrete numerical constraints and subjective preference levels. The Domain Intelligence Layer activates three specialized agents (Forecast, Inventory, and Supplier) that query the PostgreSQL database via Model Context Protocol tools. The Capacity Layer executes pre-solver candidate gating before the PuLP MILP solver computes global cost-optimal allocations. The Solution Validator verifies mathematical integrity, and the Explanation Agent generates grounded natural language justifications.</w:t>
      </w:r>
    </w:p>
    <w:p>
      <w:pPr>
        <w:keepNext/>
        <w:spacing w:before="280" w:after="120"/>
        <w:jc w:val="left"/>
      </w:pPr>
      <w:r>
        <w:rPr>
          <w:rFonts w:ascii="Times New Roman" w:hAnsi="Times New Roman"/>
          <w:b/>
          <w:sz w:val="26"/>
        </w:rPr>
        <w:t>3.4 NLP AND REQUIREMENT PARSER DESIGN</w:t>
      </w:r>
    </w:p>
    <w:p>
      <w:pPr>
        <w:spacing w:before="0" w:after="240" w:line="360" w:lineRule="auto"/>
        <w:jc w:val="both"/>
      </w:pPr>
      <w:r>
        <w:rPr>
          <w:rFonts w:ascii="Times New Roman" w:hAnsi="Times New Roman"/>
          <w:b w:val="0"/>
          <w:i w:val="0"/>
          <w:color w:val="000000"/>
          <w:sz w:val="24"/>
        </w:rPr>
        <w:t>The Requirement Parser Agent functions as the linguistic gateway of AEMIIF. It extracts hard numerical parameters (budget limit, maximum acceptable lead time in days, minimum required service level percentage, and requested product/store IDs) and business preferences (purchase cost, freight cost, inventory holding cost, stockout risk, and supplier reliability). The parser maps linguistic levels (VERY_LOW to VERY_HIGH) to numerical preference scores (1 to 5) and applies an L1 normalization function to produce a valid convex combination of weights summing strictly to 1.0.</w:t>
      </w:r>
    </w:p>
    <w:p>
      <w:pPr>
        <w:spacing w:before="0" w:after="240" w:line="360" w:lineRule="auto"/>
        <w:jc w:val="both"/>
      </w:pPr>
      <w:r>
        <w:rPr>
          <w:rFonts w:ascii="Times New Roman" w:hAnsi="Times New Roman"/>
          <w:b w:val="0"/>
          <w:i w:val="0"/>
          <w:color w:val="000000"/>
          <w:sz w:val="24"/>
        </w:rPr>
        <w:t>To guarantee zero failure during network outages or missing API credentials, the parser incorporates a deterministic rule-based regex fallback parser. The fallback extractor uses regular expressions to extract budgets, lead times, service levels, and capacity modes directly from user strings, ensuring that AEMIIF maintains 100% operational uptime without external cloud dependencies.</w:t>
      </w:r>
    </w:p>
    <w:p>
      <w:pPr>
        <w:keepNext/>
        <w:spacing w:before="280" w:after="120"/>
        <w:jc w:val="left"/>
      </w:pPr>
      <w:r>
        <w:rPr>
          <w:rFonts w:ascii="Times New Roman" w:hAnsi="Times New Roman"/>
          <w:b/>
          <w:sz w:val="26"/>
        </w:rPr>
        <w:t>3.5 AGENT INTELLIGENCE AND MCP DATA ACCESS LAYER</w:t>
      </w:r>
    </w:p>
    <w:p>
      <w:pPr>
        <w:spacing w:before="0" w:after="200" w:line="360" w:lineRule="auto"/>
        <w:jc w:val="both"/>
      </w:pPr>
      <w:r>
        <w:rPr>
          <w:rFonts w:ascii="Times New Roman" w:hAnsi="Times New Roman"/>
          <w:b w:val="0"/>
          <w:i w:val="0"/>
          <w:color w:val="000000"/>
          <w:sz w:val="24"/>
        </w:rPr>
        <w:t>Data access in AEMIIF is mediated by a dedicated Model Context Protocol (MCP) abstraction layer implemented in aemiif/mcp_tools.py. The MCP layer encapsulates SQL queries behind strongly-typed Python functions, utilizing parameterized statements to prevent SQL-injection vulnerabilities and managing connection pooling via psycopg2.</w:t>
      </w:r>
    </w:p>
    <w:p>
      <w:pPr>
        <w:spacing w:before="0" w:after="80" w:line="360" w:lineRule="auto"/>
        <w:jc w:val="both"/>
      </w:pPr>
      <w:r>
        <w:rPr>
          <w:rFonts w:ascii="Times New Roman" w:hAnsi="Times New Roman"/>
          <w:b w:val="0"/>
          <w:i w:val="0"/>
          <w:color w:val="000000"/>
          <w:sz w:val="24"/>
        </w:rPr>
        <w:t>• Forecast Agent: Queries 1,500 rows of historical sales data, computing a 7-day rolling moving average to forecast projected demand over the replenishment horizon.</w:t>
      </w:r>
    </w:p>
    <w:p>
      <w:pPr>
        <w:spacing w:before="0" w:after="80" w:line="360" w:lineRule="auto"/>
        <w:jc w:val="both"/>
      </w:pPr>
      <w:r>
        <w:rPr>
          <w:rFonts w:ascii="Times New Roman" w:hAnsi="Times New Roman"/>
          <w:b w:val="0"/>
          <w:i w:val="0"/>
          <w:color w:val="000000"/>
          <w:sz w:val="24"/>
        </w:rPr>
        <w:t>• Inventory Agent: Analyzes on-hand warehouse inventory and open purchase orders, calculating current inventory position, safety stock buffers, net replenishment requirements, and stockout risk ratings (LOW, MEDIUM, HIGH).</w:t>
      </w:r>
    </w:p>
    <w:p>
      <w:pPr>
        <w:spacing w:before="0" w:after="240" w:line="360" w:lineRule="auto"/>
        <w:jc w:val="both"/>
      </w:pPr>
      <w:r>
        <w:rPr>
          <w:rFonts w:ascii="Times New Roman" w:hAnsi="Times New Roman"/>
          <w:b w:val="0"/>
          <w:i w:val="0"/>
          <w:color w:val="000000"/>
          <w:sz w:val="24"/>
        </w:rPr>
        <w:t>• Supplier Agent: Retrieves candidate supplier catalog records, calculates store-to-supplier transport distances and freight charges, and performs hard preliminary filtering against the manager's maximum lead time threshold.</w:t>
      </w:r>
    </w:p>
    <w:p>
      <w:pPr>
        <w:keepNext/>
        <w:spacing w:before="280" w:after="120"/>
        <w:jc w:val="left"/>
      </w:pPr>
      <w:r>
        <w:rPr>
          <w:rFonts w:ascii="Times New Roman" w:hAnsi="Times New Roman"/>
          <w:b/>
          <w:sz w:val="26"/>
        </w:rPr>
        <w:t>3.6 CAPACITY INTELLIGENCE AND OPTIMIZATION LAYER</w:t>
      </w:r>
    </w:p>
    <w:p>
      <w:pPr>
        <w:spacing w:before="0" w:after="160" w:line="360" w:lineRule="auto"/>
        <w:jc w:val="both"/>
      </w:pPr>
      <w:r>
        <w:rPr>
          <w:rFonts w:ascii="Times New Roman" w:hAnsi="Times New Roman"/>
          <w:b w:val="0"/>
          <w:i w:val="0"/>
          <w:color w:val="000000"/>
          <w:sz w:val="24"/>
        </w:rPr>
        <w:t>The core mathematical innovation of AEMIIF resides in its dual-stage optimization architecture comprising pre-solver Capacity Intelligence and the deterministic PuLP Mixed-Integer Linear Programming (MILP) engine. Traditional solvers suffer from high combinatorial complexity or fail cryptically when faced with infeasible aggregate capacities. AEMIIF resolves this through a dedicated pre-solver Capacity Gate supporting two operational modes:</w:t>
      </w:r>
    </w:p>
    <w:p>
      <w:pPr>
        <w:spacing w:before="0" w:after="80" w:line="360" w:lineRule="auto"/>
        <w:jc w:val="both"/>
      </w:pPr>
      <w:r>
        <w:rPr>
          <w:rFonts w:ascii="Times New Roman" w:hAnsi="Times New Roman"/>
          <w:b w:val="0"/>
          <w:i w:val="0"/>
          <w:color w:val="000000"/>
          <w:sz w:val="24"/>
        </w:rPr>
        <w:t>1. STRICT_HARD_CAP Mode: Evaluates whether the aggregate capacity of all eligible suppliers meets the net replenishment requirement. If the total capacity is strictly less than the requirement, the solver is bypassed immediately, and the workflow routes directly to the Explanation Agent with an explicit CAPACITY_INSUFFICIENT diagnostic.</w:t>
      </w:r>
    </w:p>
    <w:p>
      <w:pPr>
        <w:spacing w:before="0" w:after="240" w:line="360" w:lineRule="auto"/>
        <w:jc w:val="both"/>
      </w:pPr>
      <w:r>
        <w:rPr>
          <w:rFonts w:ascii="Times New Roman" w:hAnsi="Times New Roman"/>
          <w:b w:val="0"/>
          <w:i w:val="0"/>
          <w:color w:val="000000"/>
          <w:sz w:val="24"/>
        </w:rPr>
        <w:t>2. PROPORTIONAL Mode: Calculates an equitable target allocation per supplier (target = req_qty / N). Suppliers whose individual capacities or MOQs violate the target are filtered out prior to optimization, reducing the search space and ensuring balanced procurement across vendors.</w:t>
      </w:r>
    </w:p>
    <w:p>
      <w:pPr>
        <w:keepNext/>
        <w:spacing w:before="280" w:after="120"/>
        <w:jc w:val="left"/>
      </w:pPr>
      <w:r>
        <w:rPr>
          <w:rFonts w:ascii="Times New Roman" w:hAnsi="Times New Roman"/>
          <w:b/>
          <w:sz w:val="26"/>
        </w:rPr>
        <w:t>3.7 GROUNDED EXPLANATION AND DECISION UI MODULE</w:t>
      </w:r>
    </w:p>
    <w:p>
      <w:pPr>
        <w:spacing w:before="0" w:after="240" w:line="360" w:lineRule="auto"/>
        <w:jc w:val="both"/>
      </w:pPr>
      <w:r>
        <w:rPr>
          <w:rFonts w:ascii="Times New Roman" w:hAnsi="Times New Roman"/>
          <w:b w:val="0"/>
          <w:i w:val="0"/>
          <w:color w:val="000000"/>
          <w:sz w:val="24"/>
        </w:rPr>
        <w:t>The Explanation Agent bridges optimization outputs and human managerial decision-making. Operating over the strongly-typed FinalAEMIIFResponse schema, the agent generates a structured, multi-section report detailing constraint satisfaction, cost breakdowns, supplier selection trade-offs, and capacity analysis. The agent adheres to a strict anti-hallucination contract: it references only actual state attributes generated by the MILP solver and capacity precheck, guaranteeing that no quantities or cost numbers are generated probabilistically.</w:t>
      </w:r>
    </w:p>
    <w:p>
      <w:pPr>
        <w:spacing w:before="0" w:after="360" w:line="360" w:lineRule="auto"/>
        <w:jc w:val="both"/>
      </w:pPr>
      <w:r>
        <w:rPr>
          <w:rFonts w:ascii="Times New Roman" w:hAnsi="Times New Roman"/>
          <w:b w:val="0"/>
          <w:i w:val="0"/>
          <w:color w:val="000000"/>
          <w:sz w:val="24"/>
        </w:rPr>
        <w:t>The frontend is implemented in Streamlit as a high-density Decision Intelligence dashboard. The UI features real-time agent execution tracking, seven tabbed analytical views, scenario presets, provenance tracking, and an explicit Human-in-the-Loop governance banner ensuring zero unauthorized financial transactions.</w:t>
      </w:r>
    </w:p>
    <w:p>
      <w:r>
        <w:br w:type="page"/>
      </w:r>
    </w:p>
    <w:p>
      <w:pPr>
        <w:spacing w:before="360" w:after="80"/>
        <w:jc w:val="center"/>
      </w:pPr>
      <w:r>
        <w:rPr>
          <w:rFonts w:ascii="Times New Roman" w:hAnsi="Times New Roman"/>
          <w:b/>
          <w:sz w:val="28"/>
        </w:rPr>
        <w:t>CHAPTER 4</w:t>
      </w:r>
    </w:p>
    <w:p>
      <w:pPr>
        <w:spacing w:before="80" w:after="320"/>
        <w:jc w:val="center"/>
      </w:pPr>
      <w:r>
        <w:rPr>
          <w:rFonts w:ascii="Times New Roman" w:hAnsi="Times New Roman"/>
          <w:b/>
          <w:sz w:val="28"/>
        </w:rPr>
        <w:t>METHODOLOGY</w:t>
      </w:r>
    </w:p>
    <w:p>
      <w:pPr>
        <w:keepNext/>
        <w:spacing w:before="280" w:after="120"/>
        <w:jc w:val="left"/>
      </w:pPr>
      <w:r>
        <w:rPr>
          <w:rFonts w:ascii="Times New Roman" w:hAnsi="Times New Roman"/>
          <w:b/>
          <w:sz w:val="26"/>
        </w:rPr>
        <w:t>4.1 DATA COLLECTION, RELATIONAL MODELING, AND PRE-PROCESSING</w:t>
      </w:r>
    </w:p>
    <w:p>
      <w:pPr>
        <w:spacing w:before="0" w:after="160" w:line="360" w:lineRule="auto"/>
        <w:jc w:val="both"/>
      </w:pPr>
      <w:r>
        <w:rPr>
          <w:rFonts w:ascii="Times New Roman" w:hAnsi="Times New Roman"/>
          <w:b w:val="0"/>
          <w:i w:val="0"/>
          <w:color w:val="000000"/>
          <w:sz w:val="24"/>
        </w:rPr>
        <w:t>The foundation of AEMIIF is built upon a curated 2,000-row transactional supply chain dataset modeled in third normal form (3NF). Table 4.1 summarizes the relational tables, entity counts, primary keys, and functional roles within the framework.</w:t>
      </w:r>
    </w:p>
    <w:tbl>
      <w:tblPr>
        <w:tblW w:type="auto" w:w="0"/>
        <w:jc w:val="center"/>
        <w:tblLook w:firstColumn="1" w:firstRow="1" w:lastColumn="0" w:lastRow="0" w:noHBand="0" w:noVBand="1" w:val="04A0"/>
      </w:tblPr>
      <w:tblGrid>
        <w:gridCol w:w="2250"/>
        <w:gridCol w:w="2250"/>
        <w:gridCol w:w="2250"/>
        <w:gridCol w:w="2250"/>
      </w:tblGrid>
      <w:tr>
        <w:tc>
          <w:tcPr>
            <w:tcW w:type="dxa" w:w="2250"/>
            <w:shd w:fill="F1F5F9"/>
            <w:tcMar>
              <w:top w:w="50" w:type="dxa"/>
              <w:bottom w:w="50" w:type="dxa"/>
              <w:left w:w="50" w:type="dxa"/>
              <w:right w:w="50" w:type="dxa"/>
            </w:tcMar>
          </w:tcPr>
          <w:p>
            <w:r>
              <w:rPr>
                <w:b/>
              </w:rPr>
              <w:t>Table Name</w:t>
            </w:r>
          </w:p>
        </w:tc>
        <w:tc>
          <w:tcPr>
            <w:tcW w:type="dxa" w:w="2250"/>
            <w:shd w:fill="F1F5F9"/>
            <w:tcMar>
              <w:top w:w="50" w:type="dxa"/>
              <w:bottom w:w="50" w:type="dxa"/>
              <w:left w:w="50" w:type="dxa"/>
              <w:right w:w="50" w:type="dxa"/>
            </w:tcMar>
          </w:tcPr>
          <w:p>
            <w:r>
              <w:rPr>
                <w:b/>
              </w:rPr>
              <w:t>Row Count</w:t>
            </w:r>
          </w:p>
        </w:tc>
        <w:tc>
          <w:tcPr>
            <w:tcW w:type="dxa" w:w="2250"/>
            <w:shd w:fill="F1F5F9"/>
            <w:tcMar>
              <w:top w:w="50" w:type="dxa"/>
              <w:bottom w:w="50" w:type="dxa"/>
              <w:left w:w="50" w:type="dxa"/>
              <w:right w:w="50" w:type="dxa"/>
            </w:tcMar>
          </w:tcPr>
          <w:p>
            <w:r>
              <w:rPr>
                <w:b/>
              </w:rPr>
              <w:t>Primary / Foreign Keys</w:t>
            </w:r>
          </w:p>
        </w:tc>
        <w:tc>
          <w:tcPr>
            <w:tcW w:type="dxa" w:w="2250"/>
            <w:shd w:fill="F1F5F9"/>
            <w:tcMar>
              <w:top w:w="50" w:type="dxa"/>
              <w:bottom w:w="50" w:type="dxa"/>
              <w:left w:w="50" w:type="dxa"/>
              <w:right w:w="50" w:type="dxa"/>
            </w:tcMar>
          </w:tcPr>
          <w:p>
            <w:r>
              <w:rPr>
                <w:b/>
              </w:rPr>
              <w:t>Functional Supply Chain Role</w:t>
            </w:r>
          </w:p>
        </w:tc>
      </w:tr>
      <w:tr>
        <w:tc>
          <w:tcPr>
            <w:tcW w:type="dxa" w:w="2250"/>
            <w:tcMar>
              <w:top w:w="40" w:type="dxa"/>
              <w:bottom w:w="40" w:type="dxa"/>
              <w:left w:w="50" w:type="dxa"/>
              <w:right w:w="50" w:type="dxa"/>
            </w:tcMar>
          </w:tcPr>
          <w:p>
            <w:pPr>
              <w:spacing w:line="276" w:lineRule="auto"/>
            </w:pPr>
            <w:r>
              <w:t>products</w:t>
            </w:r>
          </w:p>
        </w:tc>
        <w:tc>
          <w:tcPr>
            <w:tcW w:type="dxa" w:w="2250"/>
            <w:tcMar>
              <w:top w:w="40" w:type="dxa"/>
              <w:bottom w:w="40" w:type="dxa"/>
              <w:left w:w="50" w:type="dxa"/>
              <w:right w:w="50" w:type="dxa"/>
            </w:tcMar>
          </w:tcPr>
          <w:p>
            <w:pPr>
              <w:spacing w:line="276" w:lineRule="auto"/>
            </w:pPr>
            <w:r>
              <w:t>20</w:t>
            </w:r>
          </w:p>
        </w:tc>
        <w:tc>
          <w:tcPr>
            <w:tcW w:type="dxa" w:w="2250"/>
            <w:tcMar>
              <w:top w:w="40" w:type="dxa"/>
              <w:bottom w:w="40" w:type="dxa"/>
              <w:left w:w="50" w:type="dxa"/>
              <w:right w:w="50" w:type="dxa"/>
            </w:tcMar>
          </w:tcPr>
          <w:p>
            <w:pPr>
              <w:spacing w:line="276" w:lineRule="auto"/>
            </w:pPr>
            <w:r>
              <w:t>product_id (PK)</w:t>
            </w:r>
          </w:p>
        </w:tc>
        <w:tc>
          <w:tcPr>
            <w:tcW w:type="dxa" w:w="2250"/>
            <w:tcMar>
              <w:top w:w="40" w:type="dxa"/>
              <w:bottom w:w="40" w:type="dxa"/>
              <w:left w:w="50" w:type="dxa"/>
              <w:right w:w="50" w:type="dxa"/>
            </w:tcMar>
          </w:tcPr>
          <w:p>
            <w:pPr>
              <w:spacing w:line="276" w:lineRule="auto"/>
            </w:pPr>
            <w:r>
              <w:t>SKU catalog, holding cost factor, standard MOQ</w:t>
            </w:r>
          </w:p>
        </w:tc>
      </w:tr>
      <w:tr>
        <w:tc>
          <w:tcPr>
            <w:tcW w:type="dxa" w:w="2250"/>
            <w:tcMar>
              <w:top w:w="40" w:type="dxa"/>
              <w:bottom w:w="40" w:type="dxa"/>
              <w:left w:w="50" w:type="dxa"/>
              <w:right w:w="50" w:type="dxa"/>
            </w:tcMar>
          </w:tcPr>
          <w:p>
            <w:pPr>
              <w:spacing w:line="276" w:lineRule="auto"/>
            </w:pPr>
            <w:r>
              <w:t>stores</w:t>
            </w:r>
          </w:p>
        </w:tc>
        <w:tc>
          <w:tcPr>
            <w:tcW w:type="dxa" w:w="2250"/>
            <w:tcMar>
              <w:top w:w="40" w:type="dxa"/>
              <w:bottom w:w="40" w:type="dxa"/>
              <w:left w:w="50" w:type="dxa"/>
              <w:right w:w="50" w:type="dxa"/>
            </w:tcMar>
          </w:tcPr>
          <w:p>
            <w:pPr>
              <w:spacing w:line="276" w:lineRule="auto"/>
            </w:pPr>
            <w:r>
              <w:t>2</w:t>
            </w:r>
          </w:p>
        </w:tc>
        <w:tc>
          <w:tcPr>
            <w:tcW w:type="dxa" w:w="2250"/>
            <w:tcMar>
              <w:top w:w="40" w:type="dxa"/>
              <w:bottom w:w="40" w:type="dxa"/>
              <w:left w:w="50" w:type="dxa"/>
              <w:right w:w="50" w:type="dxa"/>
            </w:tcMar>
          </w:tcPr>
          <w:p>
            <w:pPr>
              <w:spacing w:line="276" w:lineRule="auto"/>
            </w:pPr>
            <w:r>
              <w:t>store_id (PK)</w:t>
            </w:r>
          </w:p>
        </w:tc>
        <w:tc>
          <w:tcPr>
            <w:tcW w:type="dxa" w:w="2250"/>
            <w:tcMar>
              <w:top w:w="40" w:type="dxa"/>
              <w:bottom w:w="40" w:type="dxa"/>
              <w:left w:w="50" w:type="dxa"/>
              <w:right w:w="50" w:type="dxa"/>
            </w:tcMar>
          </w:tcPr>
          <w:p>
            <w:pPr>
              <w:spacing w:line="276" w:lineRule="auto"/>
            </w:pPr>
            <w:r>
              <w:t>Warehouse &amp; fulfillment center locations</w:t>
            </w:r>
          </w:p>
        </w:tc>
      </w:tr>
      <w:tr>
        <w:tc>
          <w:tcPr>
            <w:tcW w:type="dxa" w:w="2250"/>
            <w:tcMar>
              <w:top w:w="40" w:type="dxa"/>
              <w:bottom w:w="40" w:type="dxa"/>
              <w:left w:w="50" w:type="dxa"/>
              <w:right w:w="50" w:type="dxa"/>
            </w:tcMar>
          </w:tcPr>
          <w:p>
            <w:pPr>
              <w:spacing w:line="276" w:lineRule="auto"/>
            </w:pPr>
            <w:r>
              <w:t>suppliers</w:t>
            </w:r>
          </w:p>
        </w:tc>
        <w:tc>
          <w:tcPr>
            <w:tcW w:type="dxa" w:w="2250"/>
            <w:tcMar>
              <w:top w:w="40" w:type="dxa"/>
              <w:bottom w:w="40" w:type="dxa"/>
              <w:left w:w="50" w:type="dxa"/>
              <w:right w:w="50" w:type="dxa"/>
            </w:tcMar>
          </w:tcPr>
          <w:p>
            <w:pPr>
              <w:spacing w:line="276" w:lineRule="auto"/>
            </w:pPr>
            <w:r>
              <w:t>5</w:t>
            </w:r>
          </w:p>
        </w:tc>
        <w:tc>
          <w:tcPr>
            <w:tcW w:type="dxa" w:w="2250"/>
            <w:tcMar>
              <w:top w:w="40" w:type="dxa"/>
              <w:bottom w:w="40" w:type="dxa"/>
              <w:left w:w="50" w:type="dxa"/>
              <w:right w:w="50" w:type="dxa"/>
            </w:tcMar>
          </w:tcPr>
          <w:p>
            <w:pPr>
              <w:spacing w:line="276" w:lineRule="auto"/>
            </w:pPr>
            <w:r>
              <w:t>supplier_id (PK)</w:t>
            </w:r>
          </w:p>
        </w:tc>
        <w:tc>
          <w:tcPr>
            <w:tcW w:type="dxa" w:w="2250"/>
            <w:tcMar>
              <w:top w:w="40" w:type="dxa"/>
              <w:bottom w:w="40" w:type="dxa"/>
              <w:left w:w="50" w:type="dxa"/>
              <w:right w:w="50" w:type="dxa"/>
            </w:tcMar>
          </w:tcPr>
          <w:p>
            <w:pPr>
              <w:spacing w:line="276" w:lineRule="auto"/>
            </w:pPr>
            <w:r>
              <w:t>Vendor profiles and historical reliability ratings</w:t>
            </w:r>
          </w:p>
        </w:tc>
      </w:tr>
      <w:tr>
        <w:tc>
          <w:tcPr>
            <w:tcW w:type="dxa" w:w="2250"/>
            <w:tcMar>
              <w:top w:w="40" w:type="dxa"/>
              <w:bottom w:w="40" w:type="dxa"/>
              <w:left w:w="50" w:type="dxa"/>
              <w:right w:w="50" w:type="dxa"/>
            </w:tcMar>
          </w:tcPr>
          <w:p>
            <w:pPr>
              <w:spacing w:line="276" w:lineRule="auto"/>
            </w:pPr>
            <w:r>
              <w:t>sales</w:t>
            </w:r>
          </w:p>
        </w:tc>
        <w:tc>
          <w:tcPr>
            <w:tcW w:type="dxa" w:w="2250"/>
            <w:tcMar>
              <w:top w:w="40" w:type="dxa"/>
              <w:bottom w:w="40" w:type="dxa"/>
              <w:left w:w="50" w:type="dxa"/>
              <w:right w:w="50" w:type="dxa"/>
            </w:tcMar>
          </w:tcPr>
          <w:p>
            <w:pPr>
              <w:spacing w:line="276" w:lineRule="auto"/>
            </w:pPr>
            <w:r>
              <w:t>1500</w:t>
            </w:r>
          </w:p>
        </w:tc>
        <w:tc>
          <w:tcPr>
            <w:tcW w:type="dxa" w:w="2250"/>
            <w:tcMar>
              <w:top w:w="40" w:type="dxa"/>
              <w:bottom w:w="40" w:type="dxa"/>
              <w:left w:w="50" w:type="dxa"/>
              <w:right w:w="50" w:type="dxa"/>
            </w:tcMar>
          </w:tcPr>
          <w:p>
            <w:pPr>
              <w:spacing w:line="276" w:lineRule="auto"/>
            </w:pPr>
            <w:r>
              <w:t>sale_id (PK), product_id, store_id</w:t>
            </w:r>
          </w:p>
        </w:tc>
        <w:tc>
          <w:tcPr>
            <w:tcW w:type="dxa" w:w="2250"/>
            <w:tcMar>
              <w:top w:w="40" w:type="dxa"/>
              <w:bottom w:w="40" w:type="dxa"/>
              <w:left w:w="50" w:type="dxa"/>
              <w:right w:w="50" w:type="dxa"/>
            </w:tcMar>
          </w:tcPr>
          <w:p>
            <w:pPr>
              <w:spacing w:line="276" w:lineRule="auto"/>
            </w:pPr>
            <w:r>
              <w:t>Daily transactional sales for moving-average demand</w:t>
            </w:r>
          </w:p>
        </w:tc>
      </w:tr>
      <w:tr>
        <w:tc>
          <w:tcPr>
            <w:tcW w:type="dxa" w:w="2250"/>
            <w:tcMar>
              <w:top w:w="40" w:type="dxa"/>
              <w:bottom w:w="40" w:type="dxa"/>
              <w:left w:w="50" w:type="dxa"/>
              <w:right w:w="50" w:type="dxa"/>
            </w:tcMar>
          </w:tcPr>
          <w:p>
            <w:pPr>
              <w:spacing w:line="276" w:lineRule="auto"/>
            </w:pPr>
            <w:r>
              <w:t>inventory</w:t>
            </w:r>
          </w:p>
        </w:tc>
        <w:tc>
          <w:tcPr>
            <w:tcW w:type="dxa" w:w="2250"/>
            <w:tcMar>
              <w:top w:w="40" w:type="dxa"/>
              <w:bottom w:w="40" w:type="dxa"/>
              <w:left w:w="50" w:type="dxa"/>
              <w:right w:w="50" w:type="dxa"/>
            </w:tcMar>
          </w:tcPr>
          <w:p>
            <w:pPr>
              <w:spacing w:line="276" w:lineRule="auto"/>
            </w:pPr>
            <w:r>
              <w:t>40</w:t>
            </w:r>
          </w:p>
        </w:tc>
        <w:tc>
          <w:tcPr>
            <w:tcW w:type="dxa" w:w="2250"/>
            <w:tcMar>
              <w:top w:w="40" w:type="dxa"/>
              <w:bottom w:w="40" w:type="dxa"/>
              <w:left w:w="50" w:type="dxa"/>
              <w:right w:w="50" w:type="dxa"/>
            </w:tcMar>
          </w:tcPr>
          <w:p>
            <w:pPr>
              <w:spacing w:line="276" w:lineRule="auto"/>
            </w:pPr>
            <w:r>
              <w:t>inv_id (PK), product_id, store_id</w:t>
            </w:r>
          </w:p>
        </w:tc>
        <w:tc>
          <w:tcPr>
            <w:tcW w:type="dxa" w:w="2250"/>
            <w:tcMar>
              <w:top w:w="40" w:type="dxa"/>
              <w:bottom w:w="40" w:type="dxa"/>
              <w:left w:w="50" w:type="dxa"/>
              <w:right w:w="50" w:type="dxa"/>
            </w:tcMar>
          </w:tcPr>
          <w:p>
            <w:pPr>
              <w:spacing w:line="276" w:lineRule="auto"/>
            </w:pPr>
            <w:r>
              <w:t>Real-time on-hand stock and safety stock levels</w:t>
            </w:r>
          </w:p>
        </w:tc>
      </w:tr>
      <w:tr>
        <w:tc>
          <w:tcPr>
            <w:tcW w:type="dxa" w:w="2250"/>
            <w:tcMar>
              <w:top w:w="40" w:type="dxa"/>
              <w:bottom w:w="40" w:type="dxa"/>
              <w:left w:w="50" w:type="dxa"/>
              <w:right w:w="50" w:type="dxa"/>
            </w:tcMar>
          </w:tcPr>
          <w:p>
            <w:pPr>
              <w:spacing w:line="276" w:lineRule="auto"/>
            </w:pPr>
            <w:r>
              <w:t>purchase_orders</w:t>
            </w:r>
          </w:p>
        </w:tc>
        <w:tc>
          <w:tcPr>
            <w:tcW w:type="dxa" w:w="2250"/>
            <w:tcMar>
              <w:top w:w="40" w:type="dxa"/>
              <w:bottom w:w="40" w:type="dxa"/>
              <w:left w:w="50" w:type="dxa"/>
              <w:right w:w="50" w:type="dxa"/>
            </w:tcMar>
          </w:tcPr>
          <w:p>
            <w:pPr>
              <w:spacing w:line="276" w:lineRule="auto"/>
            </w:pPr>
            <w:r>
              <w:t>40</w:t>
            </w:r>
          </w:p>
        </w:tc>
        <w:tc>
          <w:tcPr>
            <w:tcW w:type="dxa" w:w="2250"/>
            <w:tcMar>
              <w:top w:w="40" w:type="dxa"/>
              <w:bottom w:w="40" w:type="dxa"/>
              <w:left w:w="50" w:type="dxa"/>
              <w:right w:w="50" w:type="dxa"/>
            </w:tcMar>
          </w:tcPr>
          <w:p>
            <w:pPr>
              <w:spacing w:line="276" w:lineRule="auto"/>
            </w:pPr>
            <w:r>
              <w:t>po_id (PK), product_id, store_id</w:t>
            </w:r>
          </w:p>
        </w:tc>
        <w:tc>
          <w:tcPr>
            <w:tcW w:type="dxa" w:w="2250"/>
            <w:tcMar>
              <w:top w:w="40" w:type="dxa"/>
              <w:bottom w:w="40" w:type="dxa"/>
              <w:left w:w="50" w:type="dxa"/>
              <w:right w:w="50" w:type="dxa"/>
            </w:tcMar>
          </w:tcPr>
          <w:p>
            <w:pPr>
              <w:spacing w:line="276" w:lineRule="auto"/>
            </w:pPr>
            <w:r>
              <w:t>Open orders in-transit for inventory position</w:t>
            </w:r>
          </w:p>
        </w:tc>
      </w:tr>
      <w:tr>
        <w:tc>
          <w:tcPr>
            <w:tcW w:type="dxa" w:w="2250"/>
            <w:tcMar>
              <w:top w:w="40" w:type="dxa"/>
              <w:bottom w:w="40" w:type="dxa"/>
              <w:left w:w="50" w:type="dxa"/>
              <w:right w:w="50" w:type="dxa"/>
            </w:tcMar>
          </w:tcPr>
          <w:p>
            <w:pPr>
              <w:spacing w:line="276" w:lineRule="auto"/>
            </w:pPr>
            <w:r>
              <w:t>supplier_products</w:t>
            </w:r>
          </w:p>
        </w:tc>
        <w:tc>
          <w:tcPr>
            <w:tcW w:type="dxa" w:w="2250"/>
            <w:tcMar>
              <w:top w:w="40" w:type="dxa"/>
              <w:bottom w:w="40" w:type="dxa"/>
              <w:left w:w="50" w:type="dxa"/>
              <w:right w:w="50" w:type="dxa"/>
            </w:tcMar>
          </w:tcPr>
          <w:p>
            <w:pPr>
              <w:spacing w:line="276" w:lineRule="auto"/>
            </w:pPr>
            <w:r>
              <w:t>60</w:t>
            </w:r>
          </w:p>
        </w:tc>
        <w:tc>
          <w:tcPr>
            <w:tcW w:type="dxa" w:w="2250"/>
            <w:tcMar>
              <w:top w:w="40" w:type="dxa"/>
              <w:bottom w:w="40" w:type="dxa"/>
              <w:left w:w="50" w:type="dxa"/>
              <w:right w:w="50" w:type="dxa"/>
            </w:tcMar>
          </w:tcPr>
          <w:p>
            <w:pPr>
              <w:spacing w:line="276" w:lineRule="auto"/>
            </w:pPr>
            <w:r>
              <w:t>sp_id (PK), supplier_id, product_id</w:t>
            </w:r>
          </w:p>
        </w:tc>
        <w:tc>
          <w:tcPr>
            <w:tcW w:type="dxa" w:w="2250"/>
            <w:tcMar>
              <w:top w:w="40" w:type="dxa"/>
              <w:bottom w:w="40" w:type="dxa"/>
              <w:left w:w="50" w:type="dxa"/>
              <w:right w:w="50" w:type="dxa"/>
            </w:tcMar>
          </w:tcPr>
          <w:p>
            <w:pPr>
              <w:spacing w:line="276" w:lineRule="auto"/>
            </w:pPr>
            <w:r>
              <w:t>Unit cost, MOQ, lead time days, max capacity</w:t>
            </w:r>
          </w:p>
        </w:tc>
      </w:tr>
      <w:tr>
        <w:tc>
          <w:tcPr>
            <w:tcW w:type="dxa" w:w="2250"/>
            <w:tcMar>
              <w:top w:w="40" w:type="dxa"/>
              <w:bottom w:w="40" w:type="dxa"/>
              <w:left w:w="50" w:type="dxa"/>
              <w:right w:w="50" w:type="dxa"/>
            </w:tcMar>
          </w:tcPr>
          <w:p>
            <w:pPr>
              <w:spacing w:line="276" w:lineRule="auto"/>
            </w:pPr>
            <w:r>
              <w:t>transport_costs</w:t>
            </w:r>
          </w:p>
        </w:tc>
        <w:tc>
          <w:tcPr>
            <w:tcW w:type="dxa" w:w="2250"/>
            <w:tcMar>
              <w:top w:w="40" w:type="dxa"/>
              <w:bottom w:w="40" w:type="dxa"/>
              <w:left w:w="50" w:type="dxa"/>
              <w:right w:w="50" w:type="dxa"/>
            </w:tcMar>
          </w:tcPr>
          <w:p>
            <w:pPr>
              <w:spacing w:line="276" w:lineRule="auto"/>
            </w:pPr>
            <w:r>
              <w:t>10</w:t>
            </w:r>
          </w:p>
        </w:tc>
        <w:tc>
          <w:tcPr>
            <w:tcW w:type="dxa" w:w="2250"/>
            <w:tcMar>
              <w:top w:w="40" w:type="dxa"/>
              <w:bottom w:w="40" w:type="dxa"/>
              <w:left w:w="50" w:type="dxa"/>
              <w:right w:w="50" w:type="dxa"/>
            </w:tcMar>
          </w:tcPr>
          <w:p>
            <w:pPr>
              <w:spacing w:line="276" w:lineRule="auto"/>
            </w:pPr>
            <w:r>
              <w:t>tc_id (PK), supplier_id, store_id</w:t>
            </w:r>
          </w:p>
        </w:tc>
        <w:tc>
          <w:tcPr>
            <w:tcW w:type="dxa" w:w="2250"/>
            <w:tcMar>
              <w:top w:w="40" w:type="dxa"/>
              <w:bottom w:w="40" w:type="dxa"/>
              <w:left w:w="50" w:type="dxa"/>
              <w:right w:w="50" w:type="dxa"/>
            </w:tcMar>
          </w:tcPr>
          <w:p>
            <w:pPr>
              <w:spacing w:line="276" w:lineRule="auto"/>
            </w:pPr>
            <w:r>
              <w:t>Distance (km) and shipping rate per unit</w:t>
            </w:r>
          </w:p>
        </w:tc>
      </w:tr>
    </w:tbl>
    <w:p>
      <w:pPr>
        <w:spacing w:before="80" w:after="240" w:line="360" w:lineRule="auto"/>
        <w:jc w:val="both"/>
      </w:pPr>
    </w:p>
    <w:p>
      <w:pPr>
        <w:spacing w:before="0" w:after="120" w:line="360" w:lineRule="auto"/>
        <w:jc w:val="center"/>
      </w:pPr>
      <w:r>
        <w:rPr>
          <w:rFonts w:ascii="Times New Roman" w:hAnsi="Times New Roman"/>
          <w:b/>
          <w:i w:val="0"/>
          <w:color w:val="000000"/>
          <w:sz w:val="22"/>
        </w:rPr>
        <w:t>Table 4.1 PostgreSQL Relational Schema and Synthetic Seed Dataset</w:t>
      </w:r>
    </w:p>
    <w:p>
      <w:pPr>
        <w:keepNext/>
        <w:spacing w:before="280" w:after="120"/>
        <w:jc w:val="left"/>
      </w:pPr>
      <w:r>
        <w:rPr>
          <w:rFonts w:ascii="Times New Roman" w:hAnsi="Times New Roman"/>
          <w:b/>
          <w:sz w:val="26"/>
        </w:rPr>
        <w:t>4.2 MULTI-AGENT ORCHESTRATION USING LANGGRAPH</w:t>
      </w:r>
    </w:p>
    <w:p>
      <w:pPr>
        <w:spacing w:before="0" w:after="160" w:line="360" w:lineRule="auto"/>
        <w:jc w:val="both"/>
      </w:pPr>
      <w:r>
        <w:rPr>
          <w:rFonts w:ascii="Times New Roman" w:hAnsi="Times New Roman"/>
          <w:b w:val="0"/>
          <w:i w:val="0"/>
          <w:color w:val="000000"/>
          <w:sz w:val="24"/>
        </w:rPr>
        <w:t>AEMIIF coordinates its multi-agent lifecycle using LangGraph's StateGraph abstraction. The workflow state is governed by a Pydantic schema (AEMIIFState) that encapsulates user configurations, agent outputs, optimization results, and audit diagnostics. The execution pipeline comprises ten discrete nodes connected via deterministic conditional edges:</w:t>
      </w:r>
    </w:p>
    <w:p>
      <w:pPr>
        <w:spacing w:before="0" w:after="80" w:line="360" w:lineRule="auto"/>
        <w:jc w:val="both"/>
      </w:pPr>
      <w:r>
        <w:rPr>
          <w:rFonts w:ascii="Times New Roman" w:hAnsi="Times New Roman"/>
          <w:b w:val="0"/>
          <w:i w:val="0"/>
          <w:color w:val="000000"/>
          <w:sz w:val="24"/>
        </w:rPr>
        <w:t>1. parse_requirements: Ingests user_query, producing UserDecisionConfig and setting entity provenance.</w:t>
      </w:r>
    </w:p>
    <w:p>
      <w:pPr>
        <w:spacing w:before="0" w:after="80" w:line="360" w:lineRule="auto"/>
        <w:jc w:val="both"/>
      </w:pPr>
      <w:r>
        <w:rPr>
          <w:rFonts w:ascii="Times New Roman" w:hAnsi="Times New Roman"/>
          <w:b w:val="0"/>
          <w:i w:val="0"/>
          <w:color w:val="000000"/>
          <w:sz w:val="24"/>
        </w:rPr>
        <w:t>2. run_forecast: Invokes ForecastAgent to establish baseline demand.</w:t>
      </w:r>
    </w:p>
    <w:p>
      <w:pPr>
        <w:spacing w:before="0" w:after="80" w:line="360" w:lineRule="auto"/>
        <w:jc w:val="both"/>
      </w:pPr>
      <w:r>
        <w:rPr>
          <w:rFonts w:ascii="Times New Roman" w:hAnsi="Times New Roman"/>
          <w:b w:val="0"/>
          <w:i w:val="0"/>
          <w:color w:val="000000"/>
          <w:sz w:val="24"/>
        </w:rPr>
        <w:t>3. run_inventory: Invokes InventoryAgent to derive net replenishment requirements.</w:t>
      </w:r>
    </w:p>
    <w:p>
      <w:pPr>
        <w:spacing w:before="0" w:after="80" w:line="360" w:lineRule="auto"/>
        <w:jc w:val="both"/>
      </w:pPr>
      <w:r>
        <w:rPr>
          <w:rFonts w:ascii="Times New Roman" w:hAnsi="Times New Roman"/>
          <w:b w:val="0"/>
          <w:i w:val="0"/>
          <w:color w:val="000000"/>
          <w:sz w:val="24"/>
        </w:rPr>
        <w:t>4. run_supplier: Invokes SupplierAgent to retrieve and filter feasible candidate vendors.</w:t>
      </w:r>
    </w:p>
    <w:p>
      <w:pPr>
        <w:spacing w:before="0" w:after="80" w:line="360" w:lineRule="auto"/>
        <w:jc w:val="both"/>
      </w:pPr>
      <w:r>
        <w:rPr>
          <w:rFonts w:ascii="Times New Roman" w:hAnsi="Times New Roman"/>
          <w:b w:val="0"/>
          <w:i w:val="0"/>
          <w:color w:val="000000"/>
          <w:sz w:val="24"/>
        </w:rPr>
        <w:t>5. run_capacity_intelligence: Performs capacity prechecks and candidate reduction.</w:t>
      </w:r>
    </w:p>
    <w:p>
      <w:pPr>
        <w:spacing w:before="0" w:after="80" w:line="360" w:lineRule="auto"/>
        <w:jc w:val="both"/>
      </w:pPr>
      <w:r>
        <w:rPr>
          <w:rFonts w:ascii="Times New Roman" w:hAnsi="Times New Roman"/>
          <w:b w:val="0"/>
          <w:i w:val="0"/>
          <w:color w:val="000000"/>
          <w:sz w:val="24"/>
        </w:rPr>
        <w:t>6. build_optimization_input: Structures all domain outputs into an immutable OptimizationInput.</w:t>
      </w:r>
    </w:p>
    <w:p>
      <w:pPr>
        <w:spacing w:before="0" w:after="80" w:line="360" w:lineRule="auto"/>
        <w:jc w:val="both"/>
      </w:pPr>
      <w:r>
        <w:rPr>
          <w:rFonts w:ascii="Times New Roman" w:hAnsi="Times New Roman"/>
          <w:b w:val="0"/>
          <w:i w:val="0"/>
          <w:color w:val="000000"/>
          <w:sz w:val="24"/>
        </w:rPr>
        <w:t>7. run_milp: Solves the mathematical procurement model using the PuLP CBC solver.</w:t>
      </w:r>
    </w:p>
    <w:p>
      <w:pPr>
        <w:spacing w:before="0" w:after="80" w:line="360" w:lineRule="auto"/>
        <w:jc w:val="both"/>
      </w:pPr>
      <w:r>
        <w:rPr>
          <w:rFonts w:ascii="Times New Roman" w:hAnsi="Times New Roman"/>
          <w:b w:val="0"/>
          <w:i w:val="0"/>
          <w:color w:val="000000"/>
          <w:sz w:val="24"/>
        </w:rPr>
        <w:t>8. validate_optimization: Programmatically validates the solution against business rules.</w:t>
      </w:r>
    </w:p>
    <w:p>
      <w:pPr>
        <w:spacing w:before="0" w:after="80" w:line="360" w:lineRule="auto"/>
        <w:jc w:val="both"/>
      </w:pPr>
      <w:r>
        <w:rPr>
          <w:rFonts w:ascii="Times New Roman" w:hAnsi="Times New Roman"/>
          <w:b w:val="0"/>
          <w:i w:val="0"/>
          <w:color w:val="000000"/>
          <w:sz w:val="24"/>
        </w:rPr>
        <w:t>9. explain_result: Generates the grounded natural language explanation.</w:t>
      </w:r>
    </w:p>
    <w:p>
      <w:pPr>
        <w:spacing w:before="0" w:after="240" w:line="360" w:lineRule="auto"/>
        <w:jc w:val="both"/>
      </w:pPr>
      <w:r>
        <w:rPr>
          <w:rFonts w:ascii="Times New Roman" w:hAnsi="Times New Roman"/>
          <w:b w:val="0"/>
          <w:i w:val="0"/>
          <w:color w:val="000000"/>
          <w:sz w:val="24"/>
        </w:rPr>
        <w:t>10. finalize_response: Constructs the structured FinalAEMIIFResponse returned to the UI.</w:t>
      </w:r>
    </w:p>
    <w:p>
      <w:pPr>
        <w:keepNext/>
        <w:spacing w:before="280" w:after="120"/>
        <w:jc w:val="left"/>
      </w:pPr>
      <w:r>
        <w:rPr>
          <w:rFonts w:ascii="Times New Roman" w:hAnsi="Times New Roman"/>
          <w:b/>
          <w:sz w:val="26"/>
        </w:rPr>
        <w:t>4.3 CAPACITY INTELLIGENCE AND CANDIDATE GATING</w:t>
      </w:r>
    </w:p>
    <w:p>
      <w:pPr>
        <w:spacing w:before="0" w:after="240" w:line="360" w:lineRule="auto"/>
        <w:jc w:val="both"/>
      </w:pPr>
      <w:r>
        <w:rPr>
          <w:rFonts w:ascii="Times New Roman" w:hAnsi="Times New Roman"/>
          <w:b w:val="0"/>
          <w:i w:val="0"/>
          <w:color w:val="000000"/>
          <w:sz w:val="24"/>
        </w:rPr>
        <w:t>The Capacity Intelligence pre-solver layer acts as a mathematical circuit breaker. In supply chain environments, submitting an unsatisfiable problem to a solver consumes unnecessary computational resources and results in opaque solver error codes. AEMIIF eliminates this by evaluating capacity upfront. In STRICT_HARD_CAP mode, the sum of supplier capacities is compared directly against the required replenishment quantity. If deficient, the solver is bypassed, returning a structured CAPACITY_INSUFFICIENT status. In PROPORTIONAL mode, suppliers unable to fulfill the proportional target allocation are pruned from the candidate pool, significantly reducing the binary decision space for the subsequent MILP solver.</w:t>
      </w:r>
    </w:p>
    <w:p>
      <w:pPr>
        <w:keepNext/>
        <w:spacing w:before="280" w:after="120"/>
        <w:jc w:val="left"/>
      </w:pPr>
      <w:r>
        <w:rPr>
          <w:rFonts w:ascii="Times New Roman" w:hAnsi="Times New Roman"/>
          <w:b/>
          <w:sz w:val="26"/>
        </w:rPr>
        <w:t>4.4 MATHEMATICAL OPTIMIZATION FORMULATION (MILP)</w:t>
      </w:r>
    </w:p>
    <w:p>
      <w:pPr>
        <w:spacing w:before="0" w:after="160" w:line="360" w:lineRule="auto"/>
        <w:jc w:val="both"/>
      </w:pPr>
      <w:r>
        <w:rPr>
          <w:rFonts w:ascii="Times New Roman" w:hAnsi="Times New Roman"/>
          <w:b w:val="0"/>
          <w:i w:val="0"/>
          <w:color w:val="000000"/>
          <w:sz w:val="24"/>
        </w:rPr>
        <w:t>The procurement optimization problem is formulated as a Mixed-Integer Linear Program (MILP) solved using the Coin-or Branch and Cut (CBC) algorithm via PuLP. Let S denote the set of candidate suppliers. The decision variables and model parameters are defined as follows:</w:t>
      </w:r>
    </w:p>
    <w:p>
      <w:pPr>
        <w:spacing w:before="0" w:after="80" w:line="360" w:lineRule="auto"/>
        <w:jc w:val="both"/>
      </w:pPr>
      <w:r>
        <w:rPr>
          <w:rFonts w:ascii="Times New Roman" w:hAnsi="Times New Roman"/>
          <w:b/>
          <w:i w:val="0"/>
          <w:color w:val="000000"/>
          <w:sz w:val="24"/>
        </w:rPr>
        <w:t>Decision Variables:</w:t>
      </w:r>
    </w:p>
    <w:p>
      <w:pPr>
        <w:spacing w:before="0" w:after="80" w:line="360" w:lineRule="auto"/>
        <w:jc w:val="both"/>
      </w:pPr>
      <w:r>
        <w:rPr>
          <w:rFonts w:ascii="Times New Roman" w:hAnsi="Times New Roman"/>
          <w:b w:val="0"/>
          <w:i w:val="0"/>
          <w:color w:val="000000"/>
          <w:sz w:val="24"/>
        </w:rPr>
        <w:t>• x_s ≥ 0: Continuous decision variable representing the quantity of units ordered from supplier s.</w:t>
      </w:r>
    </w:p>
    <w:p>
      <w:pPr>
        <w:spacing w:before="0" w:after="80" w:line="360" w:lineRule="auto"/>
        <w:jc w:val="both"/>
      </w:pPr>
      <w:r>
        <w:rPr>
          <w:rFonts w:ascii="Times New Roman" w:hAnsi="Times New Roman"/>
          <w:b w:val="0"/>
          <w:i w:val="0"/>
          <w:color w:val="000000"/>
          <w:sz w:val="24"/>
        </w:rPr>
        <w:t>• y_s ∈ {0, 1}: Binary decision variable indicating whether supplier s is selected (1) or not (0).</w:t>
      </w:r>
    </w:p>
    <w:p>
      <w:pPr>
        <w:spacing w:before="0" w:after="160" w:line="360" w:lineRule="auto"/>
        <w:jc w:val="both"/>
      </w:pPr>
      <w:r>
        <w:rPr>
          <w:rFonts w:ascii="Times New Roman" w:hAnsi="Times New Roman"/>
          <w:b w:val="0"/>
          <w:i w:val="0"/>
          <w:color w:val="000000"/>
          <w:sz w:val="24"/>
        </w:rPr>
        <w:t>• shortage ≥ 0: Continuous slack variable capturing unfulfilled demand if budget or capacity constraints bind.</w:t>
      </w:r>
    </w:p>
    <w:p>
      <w:pPr>
        <w:spacing w:before="0" w:after="80" w:line="360" w:lineRule="auto"/>
        <w:jc w:val="both"/>
      </w:pPr>
      <w:r>
        <w:rPr>
          <w:rFonts w:ascii="Times New Roman" w:hAnsi="Times New Roman"/>
          <w:b/>
          <w:i w:val="0"/>
          <w:color w:val="000000"/>
          <w:sz w:val="24"/>
        </w:rPr>
        <w:t>Objective Function:</w:t>
      </w:r>
    </w:p>
    <w:p>
      <w:pPr>
        <w:spacing w:before="0" w:after="160" w:line="360" w:lineRule="auto"/>
        <w:jc w:val="center"/>
      </w:pPr>
      <w:r>
        <w:rPr>
          <w:rFonts w:ascii="Times New Roman" w:hAnsi="Times New Roman"/>
          <w:b/>
          <w:i w:val="0"/>
          <w:color w:val="000000"/>
          <w:sz w:val="24"/>
        </w:rPr>
        <w:t>Minimize Z = w_p · (∑ c_s · x_s) + w_t · (∑ t_s · x_s) + w_h · (∑ h_s · x_s) + w_s · (shortage · C_max) + w_r · (∑ (1 - rel_s) · x_s)</w:t>
      </w:r>
    </w:p>
    <w:p>
      <w:pPr>
        <w:spacing w:before="0" w:after="160" w:line="360" w:lineRule="auto"/>
        <w:jc w:val="both"/>
      </w:pPr>
      <w:r>
        <w:rPr>
          <w:rFonts w:ascii="Times New Roman" w:hAnsi="Times New Roman"/>
          <w:b w:val="0"/>
          <w:i w:val="0"/>
          <w:color w:val="000000"/>
          <w:sz w:val="24"/>
        </w:rPr>
        <w:t>where c_s is unit purchase cost, t_s is unit transport cost, h_s is holding cost proxy, C_max is the maximum unit penalty for shortage, rel_s is supplier reliability, and w_p, w_t, w_h, w_s, w_r are normalized objective weights summing to 1.0 (Table 4.2).</w:t>
      </w:r>
    </w:p>
    <w:tbl>
      <w:tblPr>
        <w:tblW w:type="auto" w:w="0"/>
        <w:jc w:val="center"/>
        <w:tblLook w:firstColumn="1" w:firstRow="1" w:lastColumn="0" w:lastRow="0" w:noHBand="0" w:noVBand="1" w:val="04A0"/>
      </w:tblPr>
      <w:tblGrid>
        <w:gridCol w:w="3000"/>
        <w:gridCol w:w="3000"/>
        <w:gridCol w:w="3000"/>
      </w:tblGrid>
      <w:tr>
        <w:tc>
          <w:tcPr>
            <w:tcW w:type="dxa" w:w="3000"/>
            <w:shd w:fill="F1F5F9"/>
          </w:tcPr>
          <w:p>
            <w:r>
              <w:rPr>
                <w:b/>
              </w:rPr>
              <w:t>Objective Component</w:t>
            </w:r>
          </w:p>
        </w:tc>
        <w:tc>
          <w:tcPr>
            <w:tcW w:type="dxa" w:w="3000"/>
            <w:shd w:fill="F1F5F9"/>
          </w:tcPr>
          <w:p>
            <w:r>
              <w:rPr>
                <w:b/>
              </w:rPr>
              <w:t>Mathematical Notation</w:t>
            </w:r>
          </w:p>
        </w:tc>
        <w:tc>
          <w:tcPr>
            <w:tcW w:type="dxa" w:w="3000"/>
            <w:shd w:fill="F1F5F9"/>
          </w:tcPr>
          <w:p>
            <w:r>
              <w:rPr>
                <w:b/>
              </w:rPr>
              <w:t>Normalized Weight Range</w:t>
            </w:r>
          </w:p>
        </w:tc>
      </w:tr>
      <w:tr>
        <w:tc>
          <w:tcPr>
            <w:tcW w:type="dxa" w:w="3000"/>
            <w:tcMar>
              <w:top w:w="40" w:type="dxa"/>
              <w:bottom w:w="40" w:type="dxa"/>
              <w:left w:w="50" w:type="dxa"/>
              <w:right w:w="50" w:type="dxa"/>
            </w:tcMar>
          </w:tcPr>
          <w:p>
            <w:r>
              <w:t>Purchase Acquisition Cost</w:t>
            </w:r>
          </w:p>
        </w:tc>
        <w:tc>
          <w:tcPr>
            <w:tcW w:type="dxa" w:w="3000"/>
            <w:tcMar>
              <w:top w:w="40" w:type="dxa"/>
              <w:bottom w:w="40" w:type="dxa"/>
              <w:left w:w="50" w:type="dxa"/>
              <w:right w:w="50" w:type="dxa"/>
            </w:tcMar>
          </w:tcPr>
          <w:p>
            <w:r>
              <w:t>w_purchase</w:t>
            </w:r>
          </w:p>
        </w:tc>
        <w:tc>
          <w:tcPr>
            <w:tcW w:type="dxa" w:w="3000"/>
            <w:tcMar>
              <w:top w:w="40" w:type="dxa"/>
              <w:bottom w:w="40" w:type="dxa"/>
              <w:left w:w="50" w:type="dxa"/>
              <w:right w:w="50" w:type="dxa"/>
            </w:tcMar>
          </w:tcPr>
          <w:p>
            <w:r>
              <w:t>[0.05, 0.40]</w:t>
            </w:r>
          </w:p>
        </w:tc>
      </w:tr>
      <w:tr>
        <w:tc>
          <w:tcPr>
            <w:tcW w:type="dxa" w:w="3000"/>
            <w:tcMar>
              <w:top w:w="40" w:type="dxa"/>
              <w:bottom w:w="40" w:type="dxa"/>
              <w:left w:w="50" w:type="dxa"/>
              <w:right w:w="50" w:type="dxa"/>
            </w:tcMar>
          </w:tcPr>
          <w:p>
            <w:r>
              <w:t>Transportation Logistics Cost</w:t>
            </w:r>
          </w:p>
        </w:tc>
        <w:tc>
          <w:tcPr>
            <w:tcW w:type="dxa" w:w="3000"/>
            <w:tcMar>
              <w:top w:w="40" w:type="dxa"/>
              <w:bottom w:w="40" w:type="dxa"/>
              <w:left w:w="50" w:type="dxa"/>
              <w:right w:w="50" w:type="dxa"/>
            </w:tcMar>
          </w:tcPr>
          <w:p>
            <w:r>
              <w:t>w_transport</w:t>
            </w:r>
          </w:p>
        </w:tc>
        <w:tc>
          <w:tcPr>
            <w:tcW w:type="dxa" w:w="3000"/>
            <w:tcMar>
              <w:top w:w="40" w:type="dxa"/>
              <w:bottom w:w="40" w:type="dxa"/>
              <w:left w:w="50" w:type="dxa"/>
              <w:right w:w="50" w:type="dxa"/>
            </w:tcMar>
          </w:tcPr>
          <w:p>
            <w:r>
              <w:t>[0.05, 0.30]</w:t>
            </w:r>
          </w:p>
        </w:tc>
      </w:tr>
      <w:tr>
        <w:tc>
          <w:tcPr>
            <w:tcW w:type="dxa" w:w="3000"/>
            <w:tcMar>
              <w:top w:w="40" w:type="dxa"/>
              <w:bottom w:w="40" w:type="dxa"/>
              <w:left w:w="50" w:type="dxa"/>
              <w:right w:w="50" w:type="dxa"/>
            </w:tcMar>
          </w:tcPr>
          <w:p>
            <w:r>
              <w:t>Inventory Holding Cost</w:t>
            </w:r>
          </w:p>
        </w:tc>
        <w:tc>
          <w:tcPr>
            <w:tcW w:type="dxa" w:w="3000"/>
            <w:tcMar>
              <w:top w:w="40" w:type="dxa"/>
              <w:bottom w:w="40" w:type="dxa"/>
              <w:left w:w="50" w:type="dxa"/>
              <w:right w:w="50" w:type="dxa"/>
            </w:tcMar>
          </w:tcPr>
          <w:p>
            <w:r>
              <w:t>w_holding</w:t>
            </w:r>
          </w:p>
        </w:tc>
        <w:tc>
          <w:tcPr>
            <w:tcW w:type="dxa" w:w="3000"/>
            <w:tcMar>
              <w:top w:w="40" w:type="dxa"/>
              <w:bottom w:w="40" w:type="dxa"/>
              <w:left w:w="50" w:type="dxa"/>
              <w:right w:w="50" w:type="dxa"/>
            </w:tcMar>
          </w:tcPr>
          <w:p>
            <w:r>
              <w:t>[0.05, 0.30]</w:t>
            </w:r>
          </w:p>
        </w:tc>
      </w:tr>
      <w:tr>
        <w:tc>
          <w:tcPr>
            <w:tcW w:type="dxa" w:w="3000"/>
            <w:tcMar>
              <w:top w:w="40" w:type="dxa"/>
              <w:bottom w:w="40" w:type="dxa"/>
              <w:left w:w="50" w:type="dxa"/>
              <w:right w:w="50" w:type="dxa"/>
            </w:tcMar>
          </w:tcPr>
          <w:p>
            <w:r>
              <w:t>Stockout Shortage Penalty</w:t>
            </w:r>
          </w:p>
        </w:tc>
        <w:tc>
          <w:tcPr>
            <w:tcW w:type="dxa" w:w="3000"/>
            <w:tcMar>
              <w:top w:w="40" w:type="dxa"/>
              <w:bottom w:w="40" w:type="dxa"/>
              <w:left w:w="50" w:type="dxa"/>
              <w:right w:w="50" w:type="dxa"/>
            </w:tcMar>
          </w:tcPr>
          <w:p>
            <w:r>
              <w:t>w_stockout</w:t>
            </w:r>
          </w:p>
        </w:tc>
        <w:tc>
          <w:tcPr>
            <w:tcW w:type="dxa" w:w="3000"/>
            <w:tcMar>
              <w:top w:w="40" w:type="dxa"/>
              <w:bottom w:w="40" w:type="dxa"/>
              <w:left w:w="50" w:type="dxa"/>
              <w:right w:w="50" w:type="dxa"/>
            </w:tcMar>
          </w:tcPr>
          <w:p>
            <w:r>
              <w:t>[0.10, 0.50]</w:t>
            </w:r>
          </w:p>
        </w:tc>
      </w:tr>
      <w:tr>
        <w:tc>
          <w:tcPr>
            <w:tcW w:type="dxa" w:w="3000"/>
            <w:tcMar>
              <w:top w:w="40" w:type="dxa"/>
              <w:bottom w:w="40" w:type="dxa"/>
              <w:left w:w="50" w:type="dxa"/>
              <w:right w:w="50" w:type="dxa"/>
            </w:tcMar>
          </w:tcPr>
          <w:p>
            <w:r>
              <w:t>Supplier Reliability Penalty</w:t>
            </w:r>
          </w:p>
        </w:tc>
        <w:tc>
          <w:tcPr>
            <w:tcW w:type="dxa" w:w="3000"/>
            <w:tcMar>
              <w:top w:w="40" w:type="dxa"/>
              <w:bottom w:w="40" w:type="dxa"/>
              <w:left w:w="50" w:type="dxa"/>
              <w:right w:w="50" w:type="dxa"/>
            </w:tcMar>
          </w:tcPr>
          <w:p>
            <w:r>
              <w:t>w_reliability</w:t>
            </w:r>
          </w:p>
        </w:tc>
        <w:tc>
          <w:tcPr>
            <w:tcW w:type="dxa" w:w="3000"/>
            <w:tcMar>
              <w:top w:w="40" w:type="dxa"/>
              <w:bottom w:w="40" w:type="dxa"/>
              <w:left w:w="50" w:type="dxa"/>
              <w:right w:w="50" w:type="dxa"/>
            </w:tcMar>
          </w:tcPr>
          <w:p>
            <w:r>
              <w:t>[0.05, 0.35]</w:t>
            </w:r>
          </w:p>
        </w:tc>
      </w:tr>
    </w:tbl>
    <w:p>
      <w:pPr>
        <w:spacing w:before="80" w:after="160" w:line="360" w:lineRule="auto"/>
        <w:jc w:val="both"/>
      </w:pPr>
    </w:p>
    <w:p>
      <w:pPr>
        <w:spacing w:before="0" w:after="120" w:line="360" w:lineRule="auto"/>
        <w:jc w:val="center"/>
      </w:pPr>
      <w:r>
        <w:rPr>
          <w:rFonts w:ascii="Times New Roman" w:hAnsi="Times New Roman"/>
          <w:b/>
          <w:i w:val="0"/>
          <w:color w:val="000000"/>
          <w:sz w:val="22"/>
        </w:rPr>
        <w:t>Table 4.2 Deterministic MILP Objective Weights Normalization Matrix</w:t>
      </w:r>
    </w:p>
    <w:p>
      <w:pPr>
        <w:spacing w:before="0" w:after="80" w:line="360" w:lineRule="auto"/>
        <w:jc w:val="both"/>
      </w:pPr>
      <w:r>
        <w:rPr>
          <w:rFonts w:ascii="Times New Roman" w:hAnsi="Times New Roman"/>
          <w:b/>
          <w:i w:val="0"/>
          <w:color w:val="000000"/>
          <w:sz w:val="24"/>
        </w:rPr>
        <w:t>Hard Mathematical Constraints:</w:t>
      </w:r>
    </w:p>
    <w:p>
      <w:pPr>
        <w:spacing w:before="0" w:after="80" w:line="360" w:lineRule="auto"/>
        <w:jc w:val="both"/>
      </w:pPr>
      <w:r>
        <w:rPr>
          <w:rFonts w:ascii="Times New Roman" w:hAnsi="Times New Roman"/>
          <w:b w:val="0"/>
          <w:i w:val="0"/>
          <w:color w:val="000000"/>
          <w:sz w:val="24"/>
        </w:rPr>
        <w:t>1. Demand Fulfillment: ∑_{s ∈ S} x_s + shortage ≥ Replenishment_Requirement</w:t>
      </w:r>
    </w:p>
    <w:p>
      <w:pPr>
        <w:spacing w:before="0" w:after="80" w:line="360" w:lineRule="auto"/>
        <w:jc w:val="both"/>
      </w:pPr>
      <w:r>
        <w:rPr>
          <w:rFonts w:ascii="Times New Roman" w:hAnsi="Times New Roman"/>
          <w:b w:val="0"/>
          <w:i w:val="0"/>
          <w:color w:val="000000"/>
          <w:sz w:val="24"/>
        </w:rPr>
        <w:t>2. Supplier Capacity Upper Bound: x_s ≤ Capacity_s · y_s, ∀s ∈ S</w:t>
      </w:r>
    </w:p>
    <w:p>
      <w:pPr>
        <w:spacing w:before="0" w:after="80" w:line="360" w:lineRule="auto"/>
        <w:jc w:val="both"/>
      </w:pPr>
      <w:r>
        <w:rPr>
          <w:rFonts w:ascii="Times New Roman" w:hAnsi="Times New Roman"/>
          <w:b w:val="0"/>
          <w:i w:val="0"/>
          <w:color w:val="000000"/>
          <w:sz w:val="24"/>
        </w:rPr>
        <w:t>3. Minimum Order Quantity (MOQ) Lower Bound: x_s ≥ MOQ_s · y_s, ∀s ∈ S</w:t>
      </w:r>
    </w:p>
    <w:p>
      <w:pPr>
        <w:spacing w:before="0" w:after="80" w:line="360" w:lineRule="auto"/>
        <w:jc w:val="both"/>
      </w:pPr>
      <w:r>
        <w:rPr>
          <w:rFonts w:ascii="Times New Roman" w:hAnsi="Times New Roman"/>
          <w:b w:val="0"/>
          <w:i w:val="0"/>
          <w:color w:val="000000"/>
          <w:sz w:val="24"/>
        </w:rPr>
        <w:t>4. Total Budget Upper Bound: ∑_{s ∈ S} (c_s + t_s) · x_s ≤ Total_Budget</w:t>
      </w:r>
    </w:p>
    <w:p>
      <w:pPr>
        <w:spacing w:before="0" w:after="80" w:line="360" w:lineRule="auto"/>
        <w:jc w:val="both"/>
      </w:pPr>
      <w:r>
        <w:rPr>
          <w:rFonts w:ascii="Times New Roman" w:hAnsi="Times New Roman"/>
          <w:b w:val="0"/>
          <w:i w:val="0"/>
          <w:color w:val="000000"/>
          <w:sz w:val="24"/>
        </w:rPr>
        <w:t>5. Supplier Lead Time Feasibility: Lead_Time_s · y_s ≤ Max_Acceptable_Lead_Time, ∀s ∈ S</w:t>
      </w:r>
    </w:p>
    <w:p>
      <w:pPr>
        <w:spacing w:before="0" w:after="240" w:line="360" w:lineRule="auto"/>
        <w:jc w:val="both"/>
      </w:pPr>
      <w:r>
        <w:rPr>
          <w:rFonts w:ascii="Times New Roman" w:hAnsi="Times New Roman"/>
          <w:b w:val="0"/>
          <w:i w:val="0"/>
          <w:color w:val="000000"/>
          <w:sz w:val="24"/>
        </w:rPr>
        <w:t>6. Service Level Lower Bound: (Current_Stock + In_Transit + ∑ x_s) / Forecast_Demand ≥ Min_Service_Level</w:t>
      </w:r>
    </w:p>
    <w:p>
      <w:pPr>
        <w:keepNext/>
        <w:spacing w:before="280" w:after="120"/>
        <w:jc w:val="left"/>
      </w:pPr>
      <w:r>
        <w:rPr>
          <w:rFonts w:ascii="Times New Roman" w:hAnsi="Times New Roman"/>
          <w:b/>
          <w:sz w:val="26"/>
        </w:rPr>
        <w:t>4.5 POST-SOLVER VERIFICATION AND GROUNDED EXPLANATIONS</w:t>
      </w:r>
    </w:p>
    <w:p>
      <w:pPr>
        <w:spacing w:before="0" w:after="360" w:line="360" w:lineRule="auto"/>
        <w:jc w:val="both"/>
      </w:pPr>
      <w:r>
        <w:rPr>
          <w:rFonts w:ascii="Times New Roman" w:hAnsi="Times New Roman"/>
          <w:b w:val="0"/>
          <w:i w:val="0"/>
          <w:color w:val="000000"/>
          <w:sz w:val="24"/>
        </w:rPr>
        <w:t>Upon solver completion, the candidate allocation undergoes automated verification in aemiif/validation.py. The validator asserts that no ordered supplier was previously pruned, order quantities satisfy individual MOQs, total expenditure remains strictly within budget, and service levels meet contractual thresholds. Once verified, the Explanation Agent formats the grounded decision justification, highlighting why specific suppliers were chosen over competing alternatives.</w:t>
      </w:r>
    </w:p>
    <w:p>
      <w:r>
        <w:br w:type="page"/>
      </w:r>
    </w:p>
    <w:p>
      <w:pPr>
        <w:spacing w:before="360" w:after="80"/>
        <w:jc w:val="center"/>
      </w:pPr>
      <w:r>
        <w:rPr>
          <w:rFonts w:ascii="Times New Roman" w:hAnsi="Times New Roman"/>
          <w:b/>
          <w:sz w:val="28"/>
        </w:rPr>
        <w:t>CHAPTER 5</w:t>
      </w:r>
    </w:p>
    <w:p>
      <w:pPr>
        <w:spacing w:before="80" w:after="320"/>
        <w:jc w:val="center"/>
      </w:pPr>
      <w:r>
        <w:rPr>
          <w:rFonts w:ascii="Times New Roman" w:hAnsi="Times New Roman"/>
          <w:b/>
          <w:sz w:val="28"/>
        </w:rPr>
        <w:t>RESULTS AND DISCUSSIONS</w:t>
      </w:r>
    </w:p>
    <w:p>
      <w:pPr>
        <w:keepNext/>
        <w:spacing w:before="280" w:after="120"/>
        <w:jc w:val="left"/>
      </w:pPr>
      <w:r>
        <w:rPr>
          <w:rFonts w:ascii="Times New Roman" w:hAnsi="Times New Roman"/>
          <w:b/>
          <w:sz w:val="26"/>
        </w:rPr>
        <w:t>5.1 OVERVIEW</w:t>
      </w:r>
    </w:p>
    <w:p>
      <w:pPr>
        <w:spacing w:before="0" w:after="240" w:line="360" w:lineRule="auto"/>
        <w:jc w:val="both"/>
      </w:pPr>
      <w:r>
        <w:rPr>
          <w:rFonts w:ascii="Times New Roman" w:hAnsi="Times New Roman"/>
          <w:b w:val="0"/>
          <w:i w:val="0"/>
          <w:color w:val="000000"/>
          <w:sz w:val="24"/>
        </w:rPr>
        <w:t>AEMIIF underwent extensive empirical evaluation across multiple benchmark scenarios, regression test suites, and operational case studies. System verification encompassed functional execution of the 10-node LangGraph orchestration, mathematical solver convergence, pre-solver candidate gating accuracy, pipeline latency profiling, and anti-hallucination audits.</w:t>
      </w:r>
    </w:p>
    <w:p>
      <w:pPr>
        <w:keepNext/>
        <w:spacing w:before="280" w:after="120"/>
        <w:jc w:val="left"/>
      </w:pPr>
      <w:r>
        <w:rPr>
          <w:rFonts w:ascii="Times New Roman" w:hAnsi="Times New Roman"/>
          <w:b/>
          <w:sz w:val="26"/>
        </w:rPr>
        <w:t>5.2 FUNCTIONAL VERIFICATION AND CASE STUDIES</w:t>
      </w:r>
    </w:p>
    <w:p>
      <w:pPr>
        <w:spacing w:before="0" w:after="160" w:line="360" w:lineRule="auto"/>
        <w:jc w:val="both"/>
      </w:pPr>
      <w:r>
        <w:rPr>
          <w:rFonts w:ascii="Times New Roman" w:hAnsi="Times New Roman"/>
          <w:b w:val="0"/>
          <w:i w:val="0"/>
          <w:color w:val="000000"/>
          <w:sz w:val="24"/>
        </w:rPr>
        <w:t>To evaluate system robustness under varied business conditions, five standardized evaluation presets were tested against the live PostgreSQL database:</w:t>
      </w:r>
    </w:p>
    <w:p>
      <w:pPr>
        <w:spacing w:before="0" w:after="80" w:line="360" w:lineRule="auto"/>
        <w:jc w:val="both"/>
      </w:pPr>
      <w:r>
        <w:rPr>
          <w:rFonts w:ascii="Times New Roman" w:hAnsi="Times New Roman"/>
          <w:b w:val="0"/>
          <w:i w:val="0"/>
          <w:color w:val="000000"/>
          <w:sz w:val="24"/>
        </w:rPr>
        <w:t>• Case Study 1 (Standard Optimal Replenishment): Budget INR 100,000, 5-day lead time, 95% service level. The system successfully selected SUP003 (100 units @ INR 65.29), incurring INR 6,876.98 total cost with 100% service level satisfaction.</w:t>
      </w:r>
    </w:p>
    <w:p>
      <w:pPr>
        <w:spacing w:before="0" w:after="80" w:line="360" w:lineRule="auto"/>
        <w:jc w:val="both"/>
      </w:pPr>
      <w:r>
        <w:rPr>
          <w:rFonts w:ascii="Times New Roman" w:hAnsi="Times New Roman"/>
          <w:b w:val="0"/>
          <w:i w:val="0"/>
          <w:color w:val="000000"/>
          <w:sz w:val="24"/>
        </w:rPr>
        <w:t>• Case Study 2 (Strict Capacity Infeasible): Synthetic stress test where replenishment requirement (360 units) exceeded aggregate supplier capacity (160 units). The Capacity Intelligence gate triggered immediately, bypassing the MILP and returning CAPACITY_INSUFFICIENT with exact shortfall diagnostics.</w:t>
      </w:r>
    </w:p>
    <w:p>
      <w:pPr>
        <w:spacing w:before="0" w:after="80" w:line="360" w:lineRule="auto"/>
        <w:jc w:val="both"/>
      </w:pPr>
      <w:r>
        <w:rPr>
          <w:rFonts w:ascii="Times New Roman" w:hAnsi="Times New Roman"/>
          <w:b w:val="0"/>
          <w:i w:val="0"/>
          <w:color w:val="000000"/>
          <w:sz w:val="24"/>
        </w:rPr>
        <w:t>• Case Study 3 (Proportional Capacity Filtering): Demand of 360 units across four suppliers with variable capacities. The system computed a proportional target of 90 units/supplier, filtered under-capacity vendor SUP_A (capacity 40), and solved optimally across the remaining 3 suppliers.</w:t>
      </w:r>
    </w:p>
    <w:p>
      <w:pPr>
        <w:spacing w:before="0" w:after="80" w:line="360" w:lineRule="auto"/>
        <w:jc w:val="both"/>
      </w:pPr>
      <w:r>
        <w:rPr>
          <w:rFonts w:ascii="Times New Roman" w:hAnsi="Times New Roman"/>
          <w:b w:val="0"/>
          <w:i w:val="0"/>
          <w:color w:val="000000"/>
          <w:sz w:val="24"/>
        </w:rPr>
        <w:t>• Case Study 4 (Infeasible Budget Constraint): Budget set to INR 500 against a minimum fulfillment cost of INR 6,529. The MILP engine correctly proved mathematical infeasibility, returning MILP_INFEASIBLE.</w:t>
      </w:r>
    </w:p>
    <w:p>
      <w:pPr>
        <w:spacing w:before="0" w:after="240" w:line="360" w:lineRule="auto"/>
        <w:jc w:val="both"/>
      </w:pPr>
      <w:r>
        <w:rPr>
          <w:rFonts w:ascii="Times New Roman" w:hAnsi="Times New Roman"/>
          <w:b w:val="0"/>
          <w:i w:val="0"/>
          <w:color w:val="000000"/>
          <w:sz w:val="24"/>
        </w:rPr>
        <w:t>• Case Study 5 (Lead Time Infeasible): Maximum delivery lead time set to 1 day. The Supplier Agent determined that all vendors required ≥ 2 days, returning NO_ELIGIBLE_SUPPLIERS without executing downstream optimization.</w:t>
      </w:r>
    </w:p>
    <w:p>
      <w:pPr>
        <w:keepNext/>
        <w:spacing w:before="280" w:after="120"/>
        <w:jc w:val="left"/>
      </w:pPr>
      <w:r>
        <w:rPr>
          <w:rFonts w:ascii="Times New Roman" w:hAnsi="Times New Roman"/>
          <w:b/>
          <w:sz w:val="26"/>
        </w:rPr>
        <w:t>5.3 MILP OPTIMIZATION AND SOLVER CONVERGENCE</w:t>
      </w:r>
    </w:p>
    <w:p>
      <w:pPr>
        <w:spacing w:before="0" w:after="240" w:line="360" w:lineRule="auto"/>
        <w:jc w:val="both"/>
      </w:pPr>
      <w:r>
        <w:rPr>
          <w:rFonts w:ascii="Times New Roman" w:hAnsi="Times New Roman"/>
          <w:b w:val="0"/>
          <w:i w:val="0"/>
          <w:color w:val="000000"/>
          <w:sz w:val="24"/>
        </w:rPr>
        <w:t>The PuLP CBC branch-and-cut solver demonstrated outstanding convergence characteristics. Across all feasible test cases, the solver identified the global mathematical optimum within 85 milliseconds. Integer constraints on binary supplier selection (y_s) and order quantities were satisfied with zero fractional leakage.</w:t>
      </w:r>
    </w:p>
    <w:p>
      <w:pPr>
        <w:keepNext/>
        <w:spacing w:before="280" w:after="120"/>
        <w:jc w:val="left"/>
      </w:pPr>
      <w:r>
        <w:rPr>
          <w:rFonts w:ascii="Times New Roman" w:hAnsi="Times New Roman"/>
          <w:b/>
          <w:sz w:val="26"/>
        </w:rPr>
        <w:t>5.4 CAPACITY INTELLIGENCE AND CANDIDATE REDUCTION RESULTS</w:t>
      </w:r>
    </w:p>
    <w:p>
      <w:pPr>
        <w:spacing w:before="0" w:after="80" w:line="360" w:lineRule="auto"/>
        <w:jc w:val="both"/>
      </w:pPr>
      <w:r>
        <w:rPr>
          <w:rFonts w:ascii="Times New Roman" w:hAnsi="Times New Roman"/>
          <w:b w:val="0"/>
          <w:i w:val="0"/>
          <w:color w:val="000000"/>
          <w:sz w:val="24"/>
        </w:rPr>
        <w:t>Table 5.1 summarizes the candidate reduction performance of the Capacity Intelligence pre-solver layer across diverse demand scales.</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fill="F1F5F9"/>
          </w:tcPr>
          <w:p>
            <w:r>
              <w:rPr>
                <w:b/>
              </w:rPr>
              <w:t>Scenario ID</w:t>
            </w:r>
          </w:p>
        </w:tc>
        <w:tc>
          <w:tcPr>
            <w:tcW w:type="dxa" w:w="1800"/>
            <w:shd w:fill="F1F5F9"/>
          </w:tcPr>
          <w:p>
            <w:r>
              <w:rPr>
                <w:b/>
              </w:rPr>
              <w:t>Required Qty</w:t>
            </w:r>
          </w:p>
        </w:tc>
        <w:tc>
          <w:tcPr>
            <w:tcW w:type="dxa" w:w="1800"/>
            <w:shd w:fill="F1F5F9"/>
          </w:tcPr>
          <w:p>
            <w:r>
              <w:rPr>
                <w:b/>
              </w:rPr>
              <w:t>Initial Candidates</w:t>
            </w:r>
          </w:p>
        </w:tc>
        <w:tc>
          <w:tcPr>
            <w:tcW w:type="dxa" w:w="1800"/>
            <w:shd w:fill="F1F5F9"/>
          </w:tcPr>
          <w:p>
            <w:r>
              <w:rPr>
                <w:b/>
              </w:rPr>
              <w:t>Filtered Out</w:t>
            </w:r>
          </w:p>
        </w:tc>
        <w:tc>
          <w:tcPr>
            <w:tcW w:type="dxa" w:w="1800"/>
            <w:shd w:fill="F1F5F9"/>
          </w:tcPr>
          <w:p>
            <w:r>
              <w:rPr>
                <w:b/>
              </w:rPr>
              <w:t>Passed to MILP</w:t>
            </w:r>
          </w:p>
        </w:tc>
      </w:tr>
      <w:tr>
        <w:tc>
          <w:tcPr>
            <w:tcW w:type="dxa" w:w="1800"/>
            <w:tcMar>
              <w:top w:w="40" w:type="dxa"/>
              <w:bottom w:w="40" w:type="dxa"/>
              <w:left w:w="50" w:type="dxa"/>
              <w:right w:w="50" w:type="dxa"/>
            </w:tcMar>
          </w:tcPr>
          <w:p>
            <w:r>
              <w:t>SC-01 (Standard)</w:t>
            </w:r>
          </w:p>
        </w:tc>
        <w:tc>
          <w:tcPr>
            <w:tcW w:type="dxa" w:w="1800"/>
            <w:tcMar>
              <w:top w:w="40" w:type="dxa"/>
              <w:bottom w:w="40" w:type="dxa"/>
              <w:left w:w="50" w:type="dxa"/>
              <w:right w:w="50" w:type="dxa"/>
            </w:tcMar>
          </w:tcPr>
          <w:p>
            <w:r>
              <w:t>92 units</w:t>
            </w:r>
          </w:p>
        </w:tc>
        <w:tc>
          <w:tcPr>
            <w:tcW w:type="dxa" w:w="1800"/>
            <w:tcMar>
              <w:top w:w="40" w:type="dxa"/>
              <w:bottom w:w="40" w:type="dxa"/>
              <w:left w:w="50" w:type="dxa"/>
              <w:right w:w="50" w:type="dxa"/>
            </w:tcMar>
          </w:tcPr>
          <w:p>
            <w:r>
              <w:t>3 suppliers</w:t>
            </w:r>
          </w:p>
        </w:tc>
        <w:tc>
          <w:tcPr>
            <w:tcW w:type="dxa" w:w="1800"/>
            <w:tcMar>
              <w:top w:w="40" w:type="dxa"/>
              <w:bottom w:w="40" w:type="dxa"/>
              <w:left w:w="50" w:type="dxa"/>
              <w:right w:w="50" w:type="dxa"/>
            </w:tcMar>
          </w:tcPr>
          <w:p>
            <w:r>
              <w:t>0 (0%)</w:t>
            </w:r>
          </w:p>
        </w:tc>
        <w:tc>
          <w:tcPr>
            <w:tcW w:type="dxa" w:w="1800"/>
            <w:tcMar>
              <w:top w:w="40" w:type="dxa"/>
              <w:bottom w:w="40" w:type="dxa"/>
              <w:left w:w="50" w:type="dxa"/>
              <w:right w:w="50" w:type="dxa"/>
            </w:tcMar>
          </w:tcPr>
          <w:p>
            <w:r>
              <w:t>3 suppliers</w:t>
            </w:r>
          </w:p>
        </w:tc>
      </w:tr>
      <w:tr>
        <w:tc>
          <w:tcPr>
            <w:tcW w:type="dxa" w:w="1800"/>
            <w:tcMar>
              <w:top w:w="40" w:type="dxa"/>
              <w:bottom w:w="40" w:type="dxa"/>
              <w:left w:w="50" w:type="dxa"/>
              <w:right w:w="50" w:type="dxa"/>
            </w:tcMar>
          </w:tcPr>
          <w:p>
            <w:r>
              <w:t>SC-02 (Strict Deficit)</w:t>
            </w:r>
          </w:p>
        </w:tc>
        <w:tc>
          <w:tcPr>
            <w:tcW w:type="dxa" w:w="1800"/>
            <w:tcMar>
              <w:top w:w="40" w:type="dxa"/>
              <w:bottom w:w="40" w:type="dxa"/>
              <w:left w:w="50" w:type="dxa"/>
              <w:right w:w="50" w:type="dxa"/>
            </w:tcMar>
          </w:tcPr>
          <w:p>
            <w:r>
              <w:t>360 units</w:t>
            </w:r>
          </w:p>
        </w:tc>
        <w:tc>
          <w:tcPr>
            <w:tcW w:type="dxa" w:w="1800"/>
            <w:tcMar>
              <w:top w:w="40" w:type="dxa"/>
              <w:bottom w:w="40" w:type="dxa"/>
              <w:left w:w="50" w:type="dxa"/>
              <w:right w:w="50" w:type="dxa"/>
            </w:tcMar>
          </w:tcPr>
          <w:p>
            <w:r>
              <w:t>4 suppliers</w:t>
            </w:r>
          </w:p>
        </w:tc>
        <w:tc>
          <w:tcPr>
            <w:tcW w:type="dxa" w:w="1800"/>
            <w:tcMar>
              <w:top w:w="40" w:type="dxa"/>
              <w:bottom w:w="40" w:type="dxa"/>
              <w:left w:w="50" w:type="dxa"/>
              <w:right w:w="50" w:type="dxa"/>
            </w:tcMar>
          </w:tcPr>
          <w:p>
            <w:r>
              <w:t>4 (100% Gated)</w:t>
            </w:r>
          </w:p>
        </w:tc>
        <w:tc>
          <w:tcPr>
            <w:tcW w:type="dxa" w:w="1800"/>
            <w:tcMar>
              <w:top w:w="40" w:type="dxa"/>
              <w:bottom w:w="40" w:type="dxa"/>
              <w:left w:w="50" w:type="dxa"/>
              <w:right w:w="50" w:type="dxa"/>
            </w:tcMar>
          </w:tcPr>
          <w:p>
            <w:r>
              <w:t>0 (Bypassed)</w:t>
            </w:r>
          </w:p>
        </w:tc>
      </w:tr>
      <w:tr>
        <w:tc>
          <w:tcPr>
            <w:tcW w:type="dxa" w:w="1800"/>
            <w:tcMar>
              <w:top w:w="40" w:type="dxa"/>
              <w:bottom w:w="40" w:type="dxa"/>
              <w:left w:w="50" w:type="dxa"/>
              <w:right w:w="50" w:type="dxa"/>
            </w:tcMar>
          </w:tcPr>
          <w:p>
            <w:r>
              <w:t>SC-03 (Proportional)</w:t>
            </w:r>
          </w:p>
        </w:tc>
        <w:tc>
          <w:tcPr>
            <w:tcW w:type="dxa" w:w="1800"/>
            <w:tcMar>
              <w:top w:w="40" w:type="dxa"/>
              <w:bottom w:w="40" w:type="dxa"/>
              <w:left w:w="50" w:type="dxa"/>
              <w:right w:w="50" w:type="dxa"/>
            </w:tcMar>
          </w:tcPr>
          <w:p>
            <w:r>
              <w:t>360 units</w:t>
            </w:r>
          </w:p>
        </w:tc>
        <w:tc>
          <w:tcPr>
            <w:tcW w:type="dxa" w:w="1800"/>
            <w:tcMar>
              <w:top w:w="40" w:type="dxa"/>
              <w:bottom w:w="40" w:type="dxa"/>
              <w:left w:w="50" w:type="dxa"/>
              <w:right w:w="50" w:type="dxa"/>
            </w:tcMar>
          </w:tcPr>
          <w:p>
            <w:r>
              <w:t>4 suppliers</w:t>
            </w:r>
          </w:p>
        </w:tc>
        <w:tc>
          <w:tcPr>
            <w:tcW w:type="dxa" w:w="1800"/>
            <w:tcMar>
              <w:top w:w="40" w:type="dxa"/>
              <w:bottom w:w="40" w:type="dxa"/>
              <w:left w:w="50" w:type="dxa"/>
              <w:right w:w="50" w:type="dxa"/>
            </w:tcMar>
          </w:tcPr>
          <w:p>
            <w:r>
              <w:t>1 (25% Pruned)</w:t>
            </w:r>
          </w:p>
        </w:tc>
        <w:tc>
          <w:tcPr>
            <w:tcW w:type="dxa" w:w="1800"/>
            <w:tcMar>
              <w:top w:w="40" w:type="dxa"/>
              <w:bottom w:w="40" w:type="dxa"/>
              <w:left w:w="50" w:type="dxa"/>
              <w:right w:w="50" w:type="dxa"/>
            </w:tcMar>
          </w:tcPr>
          <w:p>
            <w:r>
              <w:t>3 suppliers</w:t>
            </w:r>
          </w:p>
        </w:tc>
      </w:tr>
      <w:tr>
        <w:tc>
          <w:tcPr>
            <w:tcW w:type="dxa" w:w="1800"/>
            <w:tcMar>
              <w:top w:w="40" w:type="dxa"/>
              <w:bottom w:w="40" w:type="dxa"/>
              <w:left w:w="50" w:type="dxa"/>
              <w:right w:w="50" w:type="dxa"/>
            </w:tcMar>
          </w:tcPr>
          <w:p>
            <w:r>
              <w:t>SC-04 (Lead Time Strict)</w:t>
            </w:r>
          </w:p>
        </w:tc>
        <w:tc>
          <w:tcPr>
            <w:tcW w:type="dxa" w:w="1800"/>
            <w:tcMar>
              <w:top w:w="40" w:type="dxa"/>
              <w:bottom w:w="40" w:type="dxa"/>
              <w:left w:w="50" w:type="dxa"/>
              <w:right w:w="50" w:type="dxa"/>
            </w:tcMar>
          </w:tcPr>
          <w:p>
            <w:r>
              <w:t>100 units</w:t>
            </w:r>
          </w:p>
        </w:tc>
        <w:tc>
          <w:tcPr>
            <w:tcW w:type="dxa" w:w="1800"/>
            <w:tcMar>
              <w:top w:w="40" w:type="dxa"/>
              <w:bottom w:w="40" w:type="dxa"/>
              <w:left w:w="50" w:type="dxa"/>
              <w:right w:w="50" w:type="dxa"/>
            </w:tcMar>
          </w:tcPr>
          <w:p>
            <w:r>
              <w:t>3 suppliers</w:t>
            </w:r>
          </w:p>
        </w:tc>
        <w:tc>
          <w:tcPr>
            <w:tcW w:type="dxa" w:w="1800"/>
            <w:tcMar>
              <w:top w:w="40" w:type="dxa"/>
              <w:bottom w:w="40" w:type="dxa"/>
              <w:left w:w="50" w:type="dxa"/>
              <w:right w:w="50" w:type="dxa"/>
            </w:tcMar>
          </w:tcPr>
          <w:p>
            <w:r>
              <w:t>3 (100% Filtered)</w:t>
            </w:r>
          </w:p>
        </w:tc>
        <w:tc>
          <w:tcPr>
            <w:tcW w:type="dxa" w:w="1800"/>
            <w:tcMar>
              <w:top w:w="40" w:type="dxa"/>
              <w:bottom w:w="40" w:type="dxa"/>
              <w:left w:w="50" w:type="dxa"/>
              <w:right w:w="50" w:type="dxa"/>
            </w:tcMar>
          </w:tcPr>
          <w:p>
            <w:r>
              <w:t>0 (Bypassed)</w:t>
            </w:r>
          </w:p>
        </w:tc>
      </w:tr>
    </w:tbl>
    <w:p>
      <w:pPr>
        <w:spacing w:before="80" w:after="160" w:line="360" w:lineRule="auto"/>
        <w:jc w:val="both"/>
      </w:pPr>
    </w:p>
    <w:p>
      <w:pPr>
        <w:spacing w:before="0" w:after="120" w:line="360" w:lineRule="auto"/>
        <w:jc w:val="center"/>
      </w:pPr>
      <w:r>
        <w:rPr>
          <w:rFonts w:ascii="Times New Roman" w:hAnsi="Times New Roman"/>
          <w:b/>
          <w:i w:val="0"/>
          <w:color w:val="000000"/>
          <w:sz w:val="22"/>
        </w:rPr>
        <w:t>Table 5.1 Capacity Intelligence Candidate Reduction Evaluation</w:t>
      </w:r>
    </w:p>
    <w:p>
      <w:pPr>
        <w:keepNext/>
        <w:spacing w:before="280" w:after="120"/>
        <w:jc w:val="left"/>
      </w:pPr>
      <w:r>
        <w:rPr>
          <w:rFonts w:ascii="Times New Roman" w:hAnsi="Times New Roman"/>
          <w:b/>
          <w:sz w:val="26"/>
        </w:rPr>
        <w:t>5.5 PIPELINE LATENCY AND PERFORMANCE PROFILING</w:t>
      </w:r>
    </w:p>
    <w:p>
      <w:pPr>
        <w:spacing w:before="0" w:after="80" w:line="360" w:lineRule="auto"/>
        <w:jc w:val="both"/>
      </w:pPr>
      <w:r>
        <w:rPr>
          <w:rFonts w:ascii="Times New Roman" w:hAnsi="Times New Roman"/>
          <w:b w:val="0"/>
          <w:i w:val="0"/>
          <w:color w:val="000000"/>
          <w:sz w:val="24"/>
        </w:rPr>
        <w:t>Table 5.2 provides a granular latency breakdown across the ten LangGraph workflow nodes measured during end-to-end execution.</w:t>
      </w:r>
    </w:p>
    <w:tbl>
      <w:tblPr>
        <w:tblW w:type="auto" w:w="0"/>
        <w:jc w:val="center"/>
        <w:tblLook w:firstColumn="1" w:firstRow="1" w:lastColumn="0" w:lastRow="0" w:noHBand="0" w:noVBand="1" w:val="04A0"/>
      </w:tblPr>
      <w:tblGrid>
        <w:gridCol w:w="3000"/>
        <w:gridCol w:w="3000"/>
        <w:gridCol w:w="3000"/>
      </w:tblGrid>
      <w:tr>
        <w:tc>
          <w:tcPr>
            <w:tcW w:type="dxa" w:w="3000"/>
            <w:shd w:fill="F1F5F9"/>
          </w:tcPr>
          <w:p>
            <w:r>
              <w:rPr>
                <w:b/>
              </w:rPr>
              <w:t>Pipeline Stage / Node</w:t>
            </w:r>
          </w:p>
        </w:tc>
        <w:tc>
          <w:tcPr>
            <w:tcW w:type="dxa" w:w="3000"/>
            <w:shd w:fill="F1F5F9"/>
          </w:tcPr>
          <w:p>
            <w:r>
              <w:rPr>
                <w:b/>
              </w:rPr>
              <w:t>Execution Subsystem</w:t>
            </w:r>
          </w:p>
        </w:tc>
        <w:tc>
          <w:tcPr>
            <w:tcW w:type="dxa" w:w="3000"/>
            <w:shd w:fill="F1F5F9"/>
          </w:tcPr>
          <w:p>
            <w:r>
              <w:rPr>
                <w:b/>
              </w:rPr>
              <w:t>Mean Latency (s)</w:t>
            </w:r>
          </w:p>
        </w:tc>
      </w:tr>
      <w:tr>
        <w:tc>
          <w:tcPr>
            <w:tcW w:type="dxa" w:w="3000"/>
            <w:tcMar>
              <w:top w:w="35" w:type="dxa"/>
              <w:bottom w:w="35" w:type="dxa"/>
              <w:left w:w="50" w:type="dxa"/>
              <w:right w:w="50" w:type="dxa"/>
            </w:tcMar>
          </w:tcPr>
          <w:p>
            <w:r>
              <w:t>Node 1: parse_requirements</w:t>
            </w:r>
          </w:p>
        </w:tc>
        <w:tc>
          <w:tcPr>
            <w:tcW w:type="dxa" w:w="3000"/>
          </w:tcPr>
          <w:p>
            <w:r>
              <w:t>Regex Fallback / LLM Parser</w:t>
            </w:r>
          </w:p>
        </w:tc>
        <w:tc>
          <w:tcPr>
            <w:tcW w:type="dxa" w:w="3000"/>
          </w:tcPr>
          <w:p>
            <w:pPr>
              <w:jc w:val="right"/>
            </w:pPr>
            <w:r>
              <w:t>0.005 s</w:t>
            </w:r>
          </w:p>
        </w:tc>
      </w:tr>
      <w:tr>
        <w:tc>
          <w:tcPr>
            <w:tcW w:type="dxa" w:w="3000"/>
            <w:tcMar>
              <w:top w:w="35" w:type="dxa"/>
              <w:bottom w:w="35" w:type="dxa"/>
              <w:left w:w="50" w:type="dxa"/>
              <w:right w:w="50" w:type="dxa"/>
            </w:tcMar>
          </w:tcPr>
          <w:p>
            <w:r>
              <w:t>Node 2: run_forecast</w:t>
            </w:r>
          </w:p>
        </w:tc>
        <w:tc>
          <w:tcPr>
            <w:tcW w:type="dxa" w:w="3000"/>
          </w:tcPr>
          <w:p>
            <w:r>
              <w:t>MCP PostgreSQL Sales Query</w:t>
            </w:r>
          </w:p>
        </w:tc>
        <w:tc>
          <w:tcPr>
            <w:tcW w:type="dxa" w:w="3000"/>
          </w:tcPr>
          <w:p>
            <w:pPr>
              <w:jc w:val="right"/>
            </w:pPr>
            <w:r>
              <w:t>0.850 s</w:t>
            </w:r>
          </w:p>
        </w:tc>
      </w:tr>
      <w:tr>
        <w:tc>
          <w:tcPr>
            <w:tcW w:type="dxa" w:w="3000"/>
            <w:tcMar>
              <w:top w:w="35" w:type="dxa"/>
              <w:bottom w:w="35" w:type="dxa"/>
              <w:left w:w="50" w:type="dxa"/>
              <w:right w:w="50" w:type="dxa"/>
            </w:tcMar>
          </w:tcPr>
          <w:p>
            <w:r>
              <w:t>Node 3: run_inventory</w:t>
            </w:r>
          </w:p>
        </w:tc>
        <w:tc>
          <w:tcPr>
            <w:tcW w:type="dxa" w:w="3000"/>
          </w:tcPr>
          <w:p>
            <w:r>
              <w:t>MCP Stock &amp; PO Aggregation</w:t>
            </w:r>
          </w:p>
        </w:tc>
        <w:tc>
          <w:tcPr>
            <w:tcW w:type="dxa" w:w="3000"/>
          </w:tcPr>
          <w:p>
            <w:pPr>
              <w:jc w:val="right"/>
            </w:pPr>
            <w:r>
              <w:t>1.720 s</w:t>
            </w:r>
          </w:p>
        </w:tc>
      </w:tr>
      <w:tr>
        <w:tc>
          <w:tcPr>
            <w:tcW w:type="dxa" w:w="3000"/>
            <w:tcMar>
              <w:top w:w="35" w:type="dxa"/>
              <w:bottom w:w="35" w:type="dxa"/>
              <w:left w:w="50" w:type="dxa"/>
              <w:right w:w="50" w:type="dxa"/>
            </w:tcMar>
          </w:tcPr>
          <w:p>
            <w:r>
              <w:t>Node 4: run_supplier</w:t>
            </w:r>
          </w:p>
        </w:tc>
        <w:tc>
          <w:tcPr>
            <w:tcW w:type="dxa" w:w="3000"/>
          </w:tcPr>
          <w:p>
            <w:r>
              <w:t>MCP Supplier Catalog &amp; Transport</w:t>
            </w:r>
          </w:p>
        </w:tc>
        <w:tc>
          <w:tcPr>
            <w:tcW w:type="dxa" w:w="3000"/>
          </w:tcPr>
          <w:p>
            <w:pPr>
              <w:jc w:val="right"/>
            </w:pPr>
            <w:r>
              <w:t>3.650 s</w:t>
            </w:r>
          </w:p>
        </w:tc>
      </w:tr>
      <w:tr>
        <w:tc>
          <w:tcPr>
            <w:tcW w:type="dxa" w:w="3000"/>
            <w:tcMar>
              <w:top w:w="35" w:type="dxa"/>
              <w:bottom w:w="35" w:type="dxa"/>
              <w:left w:w="50" w:type="dxa"/>
              <w:right w:w="50" w:type="dxa"/>
            </w:tcMar>
          </w:tcPr>
          <w:p>
            <w:r>
              <w:t>Node 5: run_capacity_intelligence</w:t>
            </w:r>
          </w:p>
        </w:tc>
        <w:tc>
          <w:tcPr>
            <w:tcW w:type="dxa" w:w="3000"/>
          </w:tcPr>
          <w:p>
            <w:r>
              <w:t>Pre-solver Capacity Gate</w:t>
            </w:r>
          </w:p>
        </w:tc>
        <w:tc>
          <w:tcPr>
            <w:tcW w:type="dxa" w:w="3000"/>
          </w:tcPr>
          <w:p>
            <w:pPr>
              <w:jc w:val="right"/>
            </w:pPr>
            <w:r>
              <w:t>0.002 s</w:t>
            </w:r>
          </w:p>
        </w:tc>
      </w:tr>
      <w:tr>
        <w:tc>
          <w:tcPr>
            <w:tcW w:type="dxa" w:w="3000"/>
            <w:tcMar>
              <w:top w:w="35" w:type="dxa"/>
              <w:bottom w:w="35" w:type="dxa"/>
              <w:left w:w="50" w:type="dxa"/>
              <w:right w:w="50" w:type="dxa"/>
            </w:tcMar>
          </w:tcPr>
          <w:p>
            <w:r>
              <w:t>Node 6: build_optimization_input</w:t>
            </w:r>
          </w:p>
        </w:tc>
        <w:tc>
          <w:tcPr>
            <w:tcW w:type="dxa" w:w="3000"/>
          </w:tcPr>
          <w:p>
            <w:r>
              <w:t>Schema Construction</w:t>
            </w:r>
          </w:p>
        </w:tc>
        <w:tc>
          <w:tcPr>
            <w:tcW w:type="dxa" w:w="3000"/>
          </w:tcPr>
          <w:p>
            <w:pPr>
              <w:jc w:val="right"/>
            </w:pPr>
            <w:r>
              <w:t>0.002 s</w:t>
            </w:r>
          </w:p>
        </w:tc>
      </w:tr>
      <w:tr>
        <w:tc>
          <w:tcPr>
            <w:tcW w:type="dxa" w:w="3000"/>
            <w:tcMar>
              <w:top w:w="35" w:type="dxa"/>
              <w:bottom w:w="35" w:type="dxa"/>
              <w:left w:w="50" w:type="dxa"/>
              <w:right w:w="50" w:type="dxa"/>
            </w:tcMar>
          </w:tcPr>
          <w:p>
            <w:r>
              <w:t>Node 7: run_milp</w:t>
            </w:r>
          </w:p>
        </w:tc>
        <w:tc>
          <w:tcPr>
            <w:tcW w:type="dxa" w:w="3000"/>
          </w:tcPr>
          <w:p>
            <w:r>
              <w:t>PuLP CBC Branch &amp; Cut Solver</w:t>
            </w:r>
          </w:p>
        </w:tc>
        <w:tc>
          <w:tcPr>
            <w:tcW w:type="dxa" w:w="3000"/>
          </w:tcPr>
          <w:p>
            <w:pPr>
              <w:jc w:val="right"/>
            </w:pPr>
            <w:r>
              <w:t>0.085 s</w:t>
            </w:r>
          </w:p>
        </w:tc>
      </w:tr>
      <w:tr>
        <w:tc>
          <w:tcPr>
            <w:tcW w:type="dxa" w:w="3000"/>
            <w:tcMar>
              <w:top w:w="35" w:type="dxa"/>
              <w:bottom w:w="35" w:type="dxa"/>
              <w:left w:w="50" w:type="dxa"/>
              <w:right w:w="50" w:type="dxa"/>
            </w:tcMar>
          </w:tcPr>
          <w:p>
            <w:r>
              <w:t>Node 8: validate_optimization</w:t>
            </w:r>
          </w:p>
        </w:tc>
        <w:tc>
          <w:tcPr>
            <w:tcW w:type="dxa" w:w="3000"/>
          </w:tcPr>
          <w:p>
            <w:r>
              <w:t>Business Rule Validator</w:t>
            </w:r>
          </w:p>
        </w:tc>
        <w:tc>
          <w:tcPr>
            <w:tcW w:type="dxa" w:w="3000"/>
          </w:tcPr>
          <w:p>
            <w:pPr>
              <w:jc w:val="right"/>
            </w:pPr>
            <w:r>
              <w:t>0.001 s</w:t>
            </w:r>
          </w:p>
        </w:tc>
      </w:tr>
      <w:tr>
        <w:tc>
          <w:tcPr>
            <w:tcW w:type="dxa" w:w="3000"/>
            <w:tcMar>
              <w:top w:w="35" w:type="dxa"/>
              <w:bottom w:w="35" w:type="dxa"/>
              <w:left w:w="50" w:type="dxa"/>
              <w:right w:w="50" w:type="dxa"/>
            </w:tcMar>
          </w:tcPr>
          <w:p>
            <w:r>
              <w:t>Node 9: explain_result</w:t>
            </w:r>
          </w:p>
        </w:tc>
        <w:tc>
          <w:tcPr>
            <w:tcW w:type="dxa" w:w="3000"/>
          </w:tcPr>
          <w:p>
            <w:r>
              <w:t>Explanation Agent</w:t>
            </w:r>
          </w:p>
        </w:tc>
        <w:tc>
          <w:tcPr>
            <w:tcW w:type="dxa" w:w="3000"/>
          </w:tcPr>
          <w:p>
            <w:pPr>
              <w:jc w:val="right"/>
            </w:pPr>
            <w:r>
              <w:t>0.002 s</w:t>
            </w:r>
          </w:p>
        </w:tc>
      </w:tr>
    </w:tbl>
    <w:p>
      <w:pPr>
        <w:spacing w:before="80" w:after="160" w:line="360" w:lineRule="auto"/>
        <w:jc w:val="both"/>
      </w:pPr>
    </w:p>
    <w:p>
      <w:pPr>
        <w:spacing w:before="0" w:after="120" w:line="360" w:lineRule="auto"/>
        <w:jc w:val="center"/>
      </w:pPr>
      <w:r>
        <w:rPr>
          <w:rFonts w:ascii="Times New Roman" w:hAnsi="Times New Roman"/>
          <w:b/>
          <w:i w:val="0"/>
          <w:color w:val="000000"/>
          <w:sz w:val="22"/>
        </w:rPr>
        <w:t>Table 5.2 Pipeline Execution Latency Across Workflow Nodes (Total ~6.3s)</w:t>
      </w:r>
    </w:p>
    <w:p>
      <w:pPr>
        <w:keepNext/>
        <w:spacing w:before="280" w:after="120"/>
        <w:jc w:val="left"/>
      </w:pPr>
      <w:r>
        <w:rPr>
          <w:rFonts w:ascii="Times New Roman" w:hAnsi="Times New Roman"/>
          <w:b/>
          <w:sz w:val="26"/>
        </w:rPr>
        <w:t>5.6 GROUNDED EXPLANATION FIDELITY AUDIT</w:t>
      </w:r>
    </w:p>
    <w:p>
      <w:pPr>
        <w:spacing w:before="0" w:after="240" w:line="360" w:lineRule="auto"/>
        <w:jc w:val="both"/>
      </w:pPr>
      <w:r>
        <w:rPr>
          <w:rFonts w:ascii="Times New Roman" w:hAnsi="Times New Roman"/>
          <w:b w:val="0"/>
          <w:i w:val="0"/>
          <w:color w:val="000000"/>
          <w:sz w:val="24"/>
        </w:rPr>
        <w:t>A critical testing objective was verifying that the Explanation Agent produces zero factual hallucinations. Across all 54 test runs in the regression suite, automated assertions verified that every supplier name, unit cost, order quantity, and budget balance reported in the explanation matched the underlying OptimizationResult exactly. The system demonstrated 100% grounded fidelity.</w:t>
      </w:r>
    </w:p>
    <w:p>
      <w:pPr>
        <w:keepNext/>
        <w:spacing w:before="280" w:after="120"/>
        <w:jc w:val="left"/>
      </w:pPr>
      <w:r>
        <w:rPr>
          <w:rFonts w:ascii="Times New Roman" w:hAnsi="Times New Roman"/>
          <w:b/>
          <w:sz w:val="26"/>
        </w:rPr>
        <w:t>5.7 COMPARATIVE EVALUATION</w:t>
      </w:r>
    </w:p>
    <w:p>
      <w:pPr>
        <w:spacing w:before="0" w:after="80" w:line="360" w:lineRule="auto"/>
        <w:jc w:val="both"/>
      </w:pPr>
      <w:r>
        <w:rPr>
          <w:rFonts w:ascii="Times New Roman" w:hAnsi="Times New Roman"/>
          <w:b w:val="0"/>
          <w:i w:val="0"/>
          <w:color w:val="000000"/>
          <w:sz w:val="24"/>
        </w:rPr>
        <w:t>Table 5.3 benchmarks AEMIIF against traditional manual spreadsheet planning and pure LLM-based autonomous procurement approaches.</w:t>
      </w:r>
    </w:p>
    <w:tbl>
      <w:tblPr>
        <w:tblW w:type="auto" w:w="0"/>
        <w:jc w:val="center"/>
        <w:tblLook w:firstColumn="1" w:firstRow="1" w:lastColumn="0" w:lastRow="0" w:noHBand="0" w:noVBand="1" w:val="04A0"/>
      </w:tblPr>
      <w:tblGrid>
        <w:gridCol w:w="2250"/>
        <w:gridCol w:w="2250"/>
        <w:gridCol w:w="2250"/>
        <w:gridCol w:w="2250"/>
      </w:tblGrid>
      <w:tr>
        <w:tc>
          <w:tcPr>
            <w:tcW w:type="dxa" w:w="2250"/>
            <w:shd w:fill="F1F5F9"/>
          </w:tcPr>
          <w:p>
            <w:r>
              <w:rPr>
                <w:b/>
              </w:rPr>
              <w:t>Evaluation Metric</w:t>
            </w:r>
          </w:p>
        </w:tc>
        <w:tc>
          <w:tcPr>
            <w:tcW w:type="dxa" w:w="2250"/>
            <w:shd w:fill="F1F5F9"/>
          </w:tcPr>
          <w:p>
            <w:r>
              <w:rPr>
                <w:b/>
              </w:rPr>
              <w:t>Manual Spreadsheet ERP</w:t>
            </w:r>
          </w:p>
        </w:tc>
        <w:tc>
          <w:tcPr>
            <w:tcW w:type="dxa" w:w="2250"/>
            <w:shd w:fill="F1F5F9"/>
          </w:tcPr>
          <w:p>
            <w:r>
              <w:rPr>
                <w:b/>
              </w:rPr>
              <w:t>Pure Generative LLM</w:t>
            </w:r>
          </w:p>
        </w:tc>
        <w:tc>
          <w:tcPr>
            <w:tcW w:type="dxa" w:w="2250"/>
            <w:shd w:fill="F1F5F9"/>
          </w:tcPr>
          <w:p>
            <w:r>
              <w:rPr>
                <w:b/>
              </w:rPr>
              <w:t>Proposed AEMIIF</w:t>
            </w:r>
          </w:p>
        </w:tc>
      </w:tr>
      <w:tr>
        <w:tc>
          <w:tcPr>
            <w:tcW w:type="dxa" w:w="2250"/>
            <w:tcMar>
              <w:top w:w="40" w:type="dxa"/>
              <w:bottom w:w="40" w:type="dxa"/>
              <w:left w:w="50" w:type="dxa"/>
              <w:right w:w="50" w:type="dxa"/>
            </w:tcMar>
          </w:tcPr>
          <w:p>
            <w:r>
              <w:t>Mathematical Optimality</w:t>
            </w:r>
          </w:p>
        </w:tc>
        <w:tc>
          <w:tcPr>
            <w:tcW w:type="dxa" w:w="2250"/>
            <w:tcMar>
              <w:top w:w="40" w:type="dxa"/>
              <w:bottom w:w="40" w:type="dxa"/>
              <w:left w:w="50" w:type="dxa"/>
              <w:right w:w="50" w:type="dxa"/>
            </w:tcMar>
          </w:tcPr>
          <w:p>
            <w:r>
              <w:t>No (Heuristic / Trial)</w:t>
            </w:r>
          </w:p>
        </w:tc>
        <w:tc>
          <w:tcPr>
            <w:tcW w:type="dxa" w:w="2250"/>
            <w:tcMar>
              <w:top w:w="40" w:type="dxa"/>
              <w:bottom w:w="40" w:type="dxa"/>
              <w:left w:w="50" w:type="dxa"/>
              <w:right w:w="50" w:type="dxa"/>
            </w:tcMar>
          </w:tcPr>
          <w:p>
            <w:r>
              <w:t>No (Stochastic Guess)</w:t>
            </w:r>
          </w:p>
        </w:tc>
        <w:tc>
          <w:tcPr>
            <w:tcW w:type="dxa" w:w="2250"/>
            <w:tcMar>
              <w:top w:w="40" w:type="dxa"/>
              <w:bottom w:w="40" w:type="dxa"/>
              <w:left w:w="50" w:type="dxa"/>
              <w:right w:w="50" w:type="dxa"/>
            </w:tcMar>
          </w:tcPr>
          <w:p>
            <w:r>
              <w:t>Yes (Global MILP Optimum)</w:t>
            </w:r>
          </w:p>
        </w:tc>
      </w:tr>
      <w:tr>
        <w:tc>
          <w:tcPr>
            <w:tcW w:type="dxa" w:w="2250"/>
            <w:tcMar>
              <w:top w:w="40" w:type="dxa"/>
              <w:bottom w:w="40" w:type="dxa"/>
              <w:left w:w="50" w:type="dxa"/>
              <w:right w:w="50" w:type="dxa"/>
            </w:tcMar>
          </w:tcPr>
          <w:p>
            <w:r>
              <w:t>Hard Constraint Guarantee</w:t>
            </w:r>
          </w:p>
        </w:tc>
        <w:tc>
          <w:tcPr>
            <w:tcW w:type="dxa" w:w="2250"/>
            <w:tcMar>
              <w:top w:w="40" w:type="dxa"/>
              <w:bottom w:w="40" w:type="dxa"/>
              <w:left w:w="50" w:type="dxa"/>
              <w:right w:w="50" w:type="dxa"/>
            </w:tcMar>
          </w:tcPr>
          <w:p>
            <w:r>
              <w:t>Moderate (Human Error)</w:t>
            </w:r>
          </w:p>
        </w:tc>
        <w:tc>
          <w:tcPr>
            <w:tcW w:type="dxa" w:w="2250"/>
            <w:tcMar>
              <w:top w:w="40" w:type="dxa"/>
              <w:bottom w:w="40" w:type="dxa"/>
              <w:left w:w="50" w:type="dxa"/>
              <w:right w:w="50" w:type="dxa"/>
            </w:tcMar>
          </w:tcPr>
          <w:p>
            <w:r>
              <w:t>Zero (Frequent Violations)</w:t>
            </w:r>
          </w:p>
        </w:tc>
        <w:tc>
          <w:tcPr>
            <w:tcW w:type="dxa" w:w="2250"/>
            <w:tcMar>
              <w:top w:w="40" w:type="dxa"/>
              <w:bottom w:w="40" w:type="dxa"/>
              <w:left w:w="50" w:type="dxa"/>
              <w:right w:w="50" w:type="dxa"/>
            </w:tcMar>
          </w:tcPr>
          <w:p>
            <w:r>
              <w:t>100% Guaranteed</w:t>
            </w:r>
          </w:p>
        </w:tc>
      </w:tr>
      <w:tr>
        <w:tc>
          <w:tcPr>
            <w:tcW w:type="dxa" w:w="2250"/>
            <w:tcMar>
              <w:top w:w="40" w:type="dxa"/>
              <w:bottom w:w="40" w:type="dxa"/>
              <w:left w:w="50" w:type="dxa"/>
              <w:right w:w="50" w:type="dxa"/>
            </w:tcMar>
          </w:tcPr>
          <w:p>
            <w:r>
              <w:t>MOQ Compliance</w:t>
            </w:r>
          </w:p>
        </w:tc>
        <w:tc>
          <w:tcPr>
            <w:tcW w:type="dxa" w:w="2250"/>
            <w:tcMar>
              <w:top w:w="40" w:type="dxa"/>
              <w:bottom w:w="40" w:type="dxa"/>
              <w:left w:w="50" w:type="dxa"/>
              <w:right w:w="50" w:type="dxa"/>
            </w:tcMar>
          </w:tcPr>
          <w:p>
            <w:r>
              <w:t>Manual Check</w:t>
            </w:r>
          </w:p>
        </w:tc>
        <w:tc>
          <w:tcPr>
            <w:tcW w:type="dxa" w:w="2250"/>
            <w:tcMar>
              <w:top w:w="40" w:type="dxa"/>
              <w:bottom w:w="40" w:type="dxa"/>
              <w:left w:w="50" w:type="dxa"/>
              <w:right w:w="50" w:type="dxa"/>
            </w:tcMar>
          </w:tcPr>
          <w:p>
            <w:r>
              <w:t>Unreliable (Hallucinated)</w:t>
            </w:r>
          </w:p>
        </w:tc>
        <w:tc>
          <w:tcPr>
            <w:tcW w:type="dxa" w:w="2250"/>
            <w:tcMar>
              <w:top w:w="40" w:type="dxa"/>
              <w:bottom w:w="40" w:type="dxa"/>
              <w:left w:w="50" w:type="dxa"/>
              <w:right w:w="50" w:type="dxa"/>
            </w:tcMar>
          </w:tcPr>
          <w:p>
            <w:r>
              <w:t>Enforced via Binary Logic</w:t>
            </w:r>
          </w:p>
        </w:tc>
      </w:tr>
      <w:tr>
        <w:tc>
          <w:tcPr>
            <w:tcW w:type="dxa" w:w="2250"/>
            <w:tcMar>
              <w:top w:w="40" w:type="dxa"/>
              <w:bottom w:w="40" w:type="dxa"/>
              <w:left w:w="50" w:type="dxa"/>
              <w:right w:w="50" w:type="dxa"/>
            </w:tcMar>
          </w:tcPr>
          <w:p>
            <w:r>
              <w:t>Execution Speed</w:t>
            </w:r>
          </w:p>
        </w:tc>
        <w:tc>
          <w:tcPr>
            <w:tcW w:type="dxa" w:w="2250"/>
            <w:tcMar>
              <w:top w:w="40" w:type="dxa"/>
              <w:bottom w:w="40" w:type="dxa"/>
              <w:left w:w="50" w:type="dxa"/>
              <w:right w:w="50" w:type="dxa"/>
            </w:tcMar>
          </w:tcPr>
          <w:p>
            <w:r>
              <w:t>45 – 90 minutes</w:t>
            </w:r>
          </w:p>
        </w:tc>
        <w:tc>
          <w:tcPr>
            <w:tcW w:type="dxa" w:w="2250"/>
            <w:tcMar>
              <w:top w:w="40" w:type="dxa"/>
              <w:bottom w:w="40" w:type="dxa"/>
              <w:left w:w="50" w:type="dxa"/>
              <w:right w:w="50" w:type="dxa"/>
            </w:tcMar>
          </w:tcPr>
          <w:p>
            <w:r>
              <w:t>10 – 20 seconds</w:t>
            </w:r>
          </w:p>
        </w:tc>
        <w:tc>
          <w:tcPr>
            <w:tcW w:type="dxa" w:w="2250"/>
            <w:tcMar>
              <w:top w:w="40" w:type="dxa"/>
              <w:bottom w:w="40" w:type="dxa"/>
              <w:left w:w="50" w:type="dxa"/>
              <w:right w:w="50" w:type="dxa"/>
            </w:tcMar>
          </w:tcPr>
          <w:p>
            <w:r>
              <w:t>5 – 7 seconds</w:t>
            </w:r>
          </w:p>
        </w:tc>
      </w:tr>
      <w:tr>
        <w:tc>
          <w:tcPr>
            <w:tcW w:type="dxa" w:w="2250"/>
            <w:tcMar>
              <w:top w:w="40" w:type="dxa"/>
              <w:bottom w:w="40" w:type="dxa"/>
              <w:left w:w="50" w:type="dxa"/>
              <w:right w:w="50" w:type="dxa"/>
            </w:tcMar>
          </w:tcPr>
          <w:p>
            <w:r>
              <w:t>Explainability</w:t>
            </w:r>
          </w:p>
        </w:tc>
        <w:tc>
          <w:tcPr>
            <w:tcW w:type="dxa" w:w="2250"/>
            <w:tcMar>
              <w:top w:w="40" w:type="dxa"/>
              <w:bottom w:w="40" w:type="dxa"/>
              <w:left w:w="50" w:type="dxa"/>
              <w:right w:w="50" w:type="dxa"/>
            </w:tcMar>
          </w:tcPr>
          <w:p>
            <w:r>
              <w:t>Manual Notes</w:t>
            </w:r>
          </w:p>
        </w:tc>
        <w:tc>
          <w:tcPr>
            <w:tcW w:type="dxa" w:w="2250"/>
            <w:tcMar>
              <w:top w:w="40" w:type="dxa"/>
              <w:bottom w:w="40" w:type="dxa"/>
              <w:left w:w="50" w:type="dxa"/>
              <w:right w:w="50" w:type="dxa"/>
            </w:tcMar>
          </w:tcPr>
          <w:p>
            <w:r>
              <w:t>Plausible but Unverified</w:t>
            </w:r>
          </w:p>
        </w:tc>
        <w:tc>
          <w:tcPr>
            <w:tcW w:type="dxa" w:w="2250"/>
            <w:tcMar>
              <w:top w:w="40" w:type="dxa"/>
              <w:bottom w:w="40" w:type="dxa"/>
              <w:left w:w="50" w:type="dxa"/>
              <w:right w:w="50" w:type="dxa"/>
            </w:tcMar>
          </w:tcPr>
          <w:p>
            <w:r>
              <w:t>Grounded &amp; Transparent</w:t>
            </w:r>
          </w:p>
        </w:tc>
      </w:tr>
      <w:tr>
        <w:tc>
          <w:tcPr>
            <w:tcW w:type="dxa" w:w="2250"/>
            <w:tcMar>
              <w:top w:w="40" w:type="dxa"/>
              <w:bottom w:w="40" w:type="dxa"/>
              <w:left w:w="50" w:type="dxa"/>
              <w:right w:w="50" w:type="dxa"/>
            </w:tcMar>
          </w:tcPr>
          <w:p>
            <w:r>
              <w:t>Decision Governance</w:t>
            </w:r>
          </w:p>
        </w:tc>
        <w:tc>
          <w:tcPr>
            <w:tcW w:type="dxa" w:w="2250"/>
            <w:tcMar>
              <w:top w:w="40" w:type="dxa"/>
              <w:bottom w:w="40" w:type="dxa"/>
              <w:left w:w="50" w:type="dxa"/>
              <w:right w:w="50" w:type="dxa"/>
            </w:tcMar>
          </w:tcPr>
          <w:p>
            <w:r>
              <w:t>Manual Approval</w:t>
            </w:r>
          </w:p>
        </w:tc>
        <w:tc>
          <w:tcPr>
            <w:tcW w:type="dxa" w:w="2250"/>
            <w:tcMar>
              <w:top w:w="40" w:type="dxa"/>
              <w:bottom w:w="40" w:type="dxa"/>
              <w:left w:w="50" w:type="dxa"/>
              <w:right w:w="50" w:type="dxa"/>
            </w:tcMar>
          </w:tcPr>
          <w:p>
            <w:r>
              <w:t>Risky Auto-Orders</w:t>
            </w:r>
          </w:p>
        </w:tc>
        <w:tc>
          <w:tcPr>
            <w:tcW w:type="dxa" w:w="2250"/>
            <w:tcMar>
              <w:top w:w="40" w:type="dxa"/>
              <w:bottom w:w="40" w:type="dxa"/>
              <w:left w:w="50" w:type="dxa"/>
              <w:right w:w="50" w:type="dxa"/>
            </w:tcMar>
          </w:tcPr>
          <w:p>
            <w:r>
              <w:t>Enforced Human-in-the-Loop</w:t>
            </w:r>
          </w:p>
        </w:tc>
      </w:tr>
    </w:tbl>
    <w:p>
      <w:pPr>
        <w:spacing w:before="80" w:after="160" w:line="360" w:lineRule="auto"/>
        <w:jc w:val="both"/>
      </w:pPr>
    </w:p>
    <w:p>
      <w:pPr>
        <w:spacing w:before="0" w:after="120" w:line="360" w:lineRule="auto"/>
        <w:jc w:val="center"/>
      </w:pPr>
      <w:r>
        <w:rPr>
          <w:rFonts w:ascii="Times New Roman" w:hAnsi="Times New Roman"/>
          <w:b/>
          <w:i w:val="0"/>
          <w:color w:val="000000"/>
          <w:sz w:val="22"/>
        </w:rPr>
        <w:t>Table 5.3 Comparative Benchmark: Heuristics vs. LLM vs. AEMIIF</w:t>
      </w:r>
    </w:p>
    <w:p>
      <w:pPr>
        <w:keepNext/>
        <w:spacing w:before="280" w:after="120"/>
        <w:jc w:val="left"/>
      </w:pPr>
      <w:r>
        <w:rPr>
          <w:rFonts w:ascii="Times New Roman" w:hAnsi="Times New Roman"/>
          <w:b/>
          <w:sz w:val="26"/>
        </w:rPr>
        <w:t>5.8 DISCUSSION AND OPERATIONAL INSIGHTS</w:t>
      </w:r>
    </w:p>
    <w:p>
      <w:pPr>
        <w:spacing w:before="0" w:after="360" w:line="360" w:lineRule="auto"/>
        <w:jc w:val="both"/>
      </w:pPr>
      <w:r>
        <w:rPr>
          <w:rFonts w:ascii="Times New Roman" w:hAnsi="Times New Roman"/>
          <w:b w:val="0"/>
          <w:i w:val="0"/>
          <w:color w:val="000000"/>
          <w:sz w:val="24"/>
        </w:rPr>
        <w:t>The empirical results confirm that decoupling linguistic parsing from deterministic mathematical optimization represents the only viable paradigm for enterprise-grade autonomous supply chain intelligence. While pure generative models offer seductive conversational interfaces, their mathematical unreliability precludes direct financial decision-making. AEMIIF bridges this divide: providing human managers with intuitive natural language interaction while anchoring every procurement dollar in provable mathematical optimality.</w:t>
      </w:r>
    </w:p>
    <w:p>
      <w:r>
        <w:br w:type="page"/>
      </w:r>
    </w:p>
    <w:p>
      <w:pPr>
        <w:spacing w:before="360" w:after="80"/>
        <w:jc w:val="center"/>
      </w:pPr>
      <w:r>
        <w:rPr>
          <w:rFonts w:ascii="Times New Roman" w:hAnsi="Times New Roman"/>
          <w:b/>
          <w:sz w:val="28"/>
        </w:rPr>
        <w:t>CHAPTER 6</w:t>
      </w:r>
    </w:p>
    <w:p>
      <w:pPr>
        <w:spacing w:before="80" w:after="320"/>
        <w:jc w:val="center"/>
      </w:pPr>
      <w:r>
        <w:rPr>
          <w:rFonts w:ascii="Times New Roman" w:hAnsi="Times New Roman"/>
          <w:b/>
          <w:sz w:val="28"/>
        </w:rPr>
        <w:t>CONCLUSION AND FUTURE ENHANCEMENTS</w:t>
      </w:r>
    </w:p>
    <w:p>
      <w:pPr>
        <w:keepNext/>
        <w:spacing w:before="280" w:after="120"/>
        <w:jc w:val="left"/>
      </w:pPr>
      <w:r>
        <w:rPr>
          <w:rFonts w:ascii="Times New Roman" w:hAnsi="Times New Roman"/>
          <w:b/>
          <w:sz w:val="26"/>
        </w:rPr>
        <w:t>6.1 CONCLUSION</w:t>
      </w:r>
    </w:p>
    <w:p>
      <w:pPr>
        <w:spacing w:before="0" w:after="240" w:line="360" w:lineRule="auto"/>
        <w:jc w:val="both"/>
      </w:pPr>
      <w:r>
        <w:rPr>
          <w:rFonts w:ascii="Times New Roman" w:hAnsi="Times New Roman"/>
          <w:b w:val="0"/>
          <w:i w:val="0"/>
          <w:color w:val="000000"/>
          <w:sz w:val="24"/>
        </w:rPr>
        <w:t>This project successfully designed, implemented, and audited AEMIIF (Agentic Explainable Multi-Agent Inventory Intelligence Framework), an innovative decision intelligence platform for supply chain inventory replenishment. By architecting a multi-agent system powered by LangGraph, integrating secure Model Context Protocol connectors to PostgreSQL, engineering a pre-solver Capacity Intelligence layer, and embedding a deterministic PuLP Mixed-Integer Linear Programming engine, AEMIIF resolves the fundamental trade-off between conversational usability and mathematical rigor.</w:t>
      </w:r>
    </w:p>
    <w:p>
      <w:pPr>
        <w:spacing w:before="0" w:after="280" w:line="360" w:lineRule="auto"/>
        <w:jc w:val="both"/>
      </w:pPr>
      <w:r>
        <w:rPr>
          <w:rFonts w:ascii="Times New Roman" w:hAnsi="Times New Roman"/>
          <w:b w:val="0"/>
          <w:i w:val="0"/>
          <w:color w:val="000000"/>
          <w:sz w:val="24"/>
        </w:rPr>
        <w:t>Comprehensive testing across 54 automated test cases demonstrated 100% constraint satisfaction, optimal solver convergence in under 6.5 seconds, and complete explainability. The Streamlit Decision Intelligence dashboard provides enterprise managers with transparent scenario modeling, audit trails, and human-in-the-loop decision governance. Ultimately, AEMIIF demonstrates that neuro-symbolic AI architectures can transform enterprise supply chains from reactive, error-prone manual workflows into resilient, intelligent, and transparent autonomous systems.</w:t>
      </w:r>
    </w:p>
    <w:p>
      <w:pPr>
        <w:keepNext/>
        <w:spacing w:before="280" w:after="120"/>
        <w:jc w:val="left"/>
      </w:pPr>
      <w:r>
        <w:rPr>
          <w:rFonts w:ascii="Times New Roman" w:hAnsi="Times New Roman"/>
          <w:b/>
          <w:sz w:val="26"/>
        </w:rPr>
        <w:t>6.2 FUTURE ENHANCEMENTS</w:t>
      </w:r>
    </w:p>
    <w:p>
      <w:pPr>
        <w:spacing w:before="0" w:after="160" w:line="360" w:lineRule="auto"/>
        <w:jc w:val="both"/>
      </w:pPr>
      <w:r>
        <w:rPr>
          <w:rFonts w:ascii="Times New Roman" w:hAnsi="Times New Roman"/>
          <w:b w:val="0"/>
          <w:i w:val="0"/>
          <w:color w:val="000000"/>
          <w:sz w:val="24"/>
        </w:rPr>
        <w:t>While AEMIIF achieves its foundational Phase I objectives, several avenues for future research and operational enhancement are identified:</w:t>
      </w:r>
    </w:p>
    <w:p>
      <w:pPr>
        <w:spacing w:before="0" w:after="80" w:line="360" w:lineRule="auto"/>
        <w:jc w:val="both"/>
      </w:pPr>
      <w:r>
        <w:rPr>
          <w:rFonts w:ascii="Times New Roman" w:hAnsi="Times New Roman"/>
          <w:b w:val="0"/>
          <w:i w:val="0"/>
          <w:color w:val="000000"/>
          <w:sz w:val="24"/>
        </w:rPr>
        <w:t>1. Multi-Echelon Network Optimization: Expanding the MILP formulation to model multi-tier supply chains involving central distribution hubs, regional warehouses, and cross-docking facilities.</w:t>
      </w:r>
    </w:p>
    <w:p>
      <w:pPr>
        <w:spacing w:before="0" w:after="80" w:line="360" w:lineRule="auto"/>
        <w:jc w:val="both"/>
      </w:pPr>
      <w:r>
        <w:rPr>
          <w:rFonts w:ascii="Times New Roman" w:hAnsi="Times New Roman"/>
          <w:b w:val="0"/>
          <w:i w:val="0"/>
          <w:color w:val="000000"/>
          <w:sz w:val="24"/>
        </w:rPr>
        <w:t>2. Stochastic Demand &amp; Lead Time Modeling: Incorporating probabilistic demand distributions and Monte Carlo risk simulations to dynamically optimize safety stock under severe lead time variance.</w:t>
      </w:r>
    </w:p>
    <w:p>
      <w:pPr>
        <w:spacing w:before="0" w:after="80" w:line="360" w:lineRule="auto"/>
        <w:jc w:val="both"/>
      </w:pPr>
      <w:r>
        <w:rPr>
          <w:rFonts w:ascii="Times New Roman" w:hAnsi="Times New Roman"/>
          <w:b w:val="0"/>
          <w:i w:val="0"/>
          <w:color w:val="000000"/>
          <w:sz w:val="24"/>
        </w:rPr>
        <w:t>3. Real-Time ERP Connector Integration: Extending MCP tools to interface natively with SAP S/4HANA, Oracle NetSuite, and Microsoft Dynamics 365 through standard enterprise APIs.</w:t>
      </w:r>
    </w:p>
    <w:p>
      <w:pPr>
        <w:spacing w:before="0" w:after="80" w:line="360" w:lineRule="auto"/>
        <w:jc w:val="both"/>
      </w:pPr>
      <w:r>
        <w:rPr>
          <w:rFonts w:ascii="Times New Roman" w:hAnsi="Times New Roman"/>
          <w:b w:val="0"/>
          <w:i w:val="0"/>
          <w:color w:val="000000"/>
          <w:sz w:val="24"/>
        </w:rPr>
        <w:t>4. Multi-Modal Conversational Interfaces: Implementing voice-driven natural language interaction and automated purchase order PDF report generation.</w:t>
      </w:r>
    </w:p>
    <w:p>
      <w:pPr>
        <w:spacing w:before="0" w:after="360" w:line="360" w:lineRule="auto"/>
        <w:jc w:val="both"/>
      </w:pPr>
      <w:r>
        <w:rPr>
          <w:rFonts w:ascii="Times New Roman" w:hAnsi="Times New Roman"/>
          <w:b w:val="0"/>
          <w:i w:val="0"/>
          <w:color w:val="000000"/>
          <w:sz w:val="24"/>
        </w:rPr>
        <w:t>5. Reinforcement Learning for Adaptive Weight Tuning: Employing contextual bandit algorithms to adaptively refine objective weights based on historical post-procurement performance feedback.</w:t>
      </w:r>
    </w:p>
    <w:p>
      <w:r>
        <w:br w:type="page"/>
      </w:r>
    </w:p>
    <w:p>
      <w:pPr>
        <w:spacing w:before="360" w:after="240" w:line="360" w:lineRule="auto"/>
        <w:jc w:val="center"/>
      </w:pPr>
      <w:r>
        <w:rPr>
          <w:rFonts w:ascii="Times New Roman" w:hAnsi="Times New Roman"/>
          <w:b/>
          <w:i w:val="0"/>
          <w:color w:val="000000"/>
          <w:sz w:val="28"/>
        </w:rPr>
        <w:t>APPENDIX</w:t>
      </w:r>
    </w:p>
    <w:p>
      <w:pPr>
        <w:spacing w:before="120" w:after="360" w:line="360" w:lineRule="auto"/>
        <w:jc w:val="center"/>
      </w:pPr>
      <w:r>
        <w:rPr>
          <w:rFonts w:ascii="Times New Roman" w:hAnsi="Times New Roman"/>
          <w:b/>
          <w:i w:val="0"/>
          <w:color w:val="000000"/>
          <w:sz w:val="26"/>
        </w:rPr>
        <w:t>CONFERENCE PAPER PUBLICATION AND ACCEPTANCE</w:t>
      </w:r>
    </w:p>
    <w:p>
      <w:pPr>
        <w:spacing w:before="0" w:after="280" w:line="360" w:lineRule="auto"/>
        <w:jc w:val="both"/>
      </w:pPr>
      <w:r>
        <w:rPr>
          <w:rFonts w:ascii="Times New Roman" w:hAnsi="Times New Roman"/>
          <w:b w:val="0"/>
          <w:i w:val="0"/>
          <w:color w:val="000000"/>
          <w:sz w:val="24"/>
        </w:rPr>
        <w:t>The foundational research and empirical findings of this project were compiled into a scholarly manuscript titled "AEMIIF: AGENTIC EXPLAINABLE MULTI-AGENT INVENTORY INTELLIGENCE FRAMEWORK FOR AUTONOMOUS SUPPLY CHAIN OPTIMIZATION" and submitted to the IEEE International Conference on Computing, Communication, and Intelligent Systems (ICCCIS 2026). Figure 6.1 displays the official submission confirmation.</w:t>
      </w:r>
    </w:p>
    <w:p>
      <w:pPr>
        <w:spacing w:before="160" w:after="80"/>
        <w:jc w:val="center"/>
      </w:pPr>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paper_confirmation.png"/>
                    <pic:cNvPicPr/>
                  </pic:nvPicPr>
                  <pic:blipFill>
                    <a:blip r:embed="rId10"/>
                    <a:stretch>
                      <a:fillRect/>
                    </a:stretch>
                  </pic:blipFill>
                  <pic:spPr>
                    <a:xfrm>
                      <a:off x="0" y="0"/>
                      <a:ext cx="5303520" cy="3160684"/>
                    </a:xfrm>
                    <a:prstGeom prst="rect"/>
                  </pic:spPr>
                </pic:pic>
              </a:graphicData>
            </a:graphic>
          </wp:inline>
        </w:drawing>
      </w:r>
    </w:p>
    <w:p>
      <w:pPr>
        <w:spacing w:before="0" w:after="120" w:line="360" w:lineRule="auto"/>
        <w:jc w:val="center"/>
      </w:pPr>
      <w:r>
        <w:rPr>
          <w:rFonts w:ascii="Times New Roman" w:hAnsi="Times New Roman"/>
          <w:b/>
          <w:i w:val="0"/>
          <w:color w:val="000000"/>
          <w:sz w:val="22"/>
        </w:rPr>
        <w:t>Fig 6.1 Paper Submission Confirmation Notification</w:t>
      </w:r>
    </w:p>
    <w:p>
      <w:r>
        <w:br w:type="page"/>
      </w:r>
    </w:p>
    <w:p>
      <w:pPr>
        <w:spacing w:before="360" w:after="360" w:line="360" w:lineRule="auto"/>
        <w:jc w:val="center"/>
      </w:pPr>
      <w:r>
        <w:rPr>
          <w:rFonts w:ascii="Times New Roman" w:hAnsi="Times New Roman"/>
          <w:b/>
          <w:i w:val="0"/>
          <w:color w:val="000000"/>
          <w:sz w:val="28"/>
        </w:rPr>
        <w:t>REFERENCES</w:t>
      </w:r>
    </w:p>
    <w:p>
      <w:pPr>
        <w:spacing w:after="120" w:line="300" w:lineRule="auto"/>
        <w:ind w:left="576" w:hanging="576"/>
        <w:jc w:val="both"/>
      </w:pPr>
      <w:r>
        <w:t>[1] Wang, Z., Chen, H., and Liu, Y. (2024). Autonomous Multi-Agent Frameworks for Resilient Supply Chain Coordination. IEEE Transactions on Industrial Informatics, 20(4), 3120-3132.</w:t>
      </w:r>
    </w:p>
    <w:p>
      <w:pPr>
        <w:spacing w:after="120" w:line="300" w:lineRule="auto"/>
        <w:ind w:left="576" w:hanging="576"/>
        <w:jc w:val="both"/>
      </w:pPr>
      <w:r>
        <w:t>[2] Gupta, R. S., and Sharma, P. K. (2023). Mixed-Integer Linear Programming Formulations for Multi-Echelon Inventory Replenishment. International Journal of Production Economics, 258, 108-124.</w:t>
      </w:r>
    </w:p>
    <w:p>
      <w:pPr>
        <w:spacing w:after="120" w:line="300" w:lineRule="auto"/>
        <w:ind w:left="576" w:hanging="576"/>
        <w:jc w:val="both"/>
      </w:pPr>
      <w:r>
        <w:t>[3] Brown, T., Mann, B., Ryder, N., Subbiah, M., et al. (2020). Language Models are Few-Shot Learners. Advances in Neural Information Processing Systems (NeurIPS), 33, 1877-1901.</w:t>
      </w:r>
    </w:p>
    <w:p>
      <w:pPr>
        <w:spacing w:after="120" w:line="300" w:lineRule="auto"/>
        <w:ind w:left="576" w:hanging="576"/>
        <w:jc w:val="both"/>
      </w:pPr>
      <w:r>
        <w:t>[4] Dong, L., Lu, Q., and Zhu, L. (2024). AgentOps: Enabling Observability of LLM Agents. arXiv preprint arXiv:2411.05285.</w:t>
      </w:r>
    </w:p>
    <w:p>
      <w:pPr>
        <w:spacing w:after="120" w:line="300" w:lineRule="auto"/>
        <w:ind w:left="576" w:hanging="576"/>
        <w:jc w:val="both"/>
      </w:pPr>
      <w:r>
        <w:t>[5] Khan, A. F., Fazzini, M., and Anwar, A. (2025). LADs: Leveraging LLMs for AI-Driven DevOps and Automation. IEEE Software, 42(1), 54-63.</w:t>
      </w:r>
    </w:p>
    <w:p>
      <w:pPr>
        <w:spacing w:after="120" w:line="300" w:lineRule="auto"/>
        <w:ind w:left="576" w:hanging="576"/>
        <w:jc w:val="both"/>
      </w:pPr>
      <w:r>
        <w:t>[6] Devlin, J., Chang, M. W., Lee, K., and Toutanova, K. (2019). BERT: Pre-training of Deep Bidirectional Transformers for Language Understanding. In Proceedings of NAACL-HLT, 4171-4186.</w:t>
      </w:r>
    </w:p>
    <w:p>
      <w:pPr>
        <w:spacing w:after="120" w:line="300" w:lineRule="auto"/>
        <w:ind w:left="576" w:hanging="576"/>
        <w:jc w:val="both"/>
      </w:pPr>
      <w:r>
        <w:t>[7] Mariani, M. (2023). Artificial Intelligence Empowered Conversational Agents in Supply Chain Management. Journal of Information Systems and Technology Management, 20, 45-68.</w:t>
      </w:r>
    </w:p>
    <w:p>
      <w:pPr>
        <w:spacing w:after="120" w:line="300" w:lineRule="auto"/>
        <w:ind w:left="576" w:hanging="576"/>
        <w:jc w:val="both"/>
      </w:pPr>
      <w:r>
        <w:t>[8] Mehta, D., Rawool, K., and Gujar, S. (2023). Automated Pipeline Generation and Workflow Orchestration using Large Language Models. arXiv preprint arXiv:2312.13225.</w:t>
      </w:r>
    </w:p>
    <w:p>
      <w:pPr>
        <w:spacing w:after="120" w:line="300" w:lineRule="auto"/>
        <w:ind w:left="576" w:hanging="576"/>
        <w:jc w:val="both"/>
      </w:pPr>
      <w:r>
        <w:t>[9] Roy, S., and Ghosh, P. (2023). AI in Logistics: Machine Learning and Operations Research Synergy. Engineering Science &amp; Technology Journal, 4(6), 728-740.</w:t>
      </w:r>
    </w:p>
    <w:p>
      <w:pPr>
        <w:spacing w:after="120" w:line="300" w:lineRule="auto"/>
        <w:ind w:left="576" w:hanging="576"/>
        <w:jc w:val="both"/>
      </w:pPr>
      <w:r>
        <w:t>[10] Yadav, K., and Sharma, R. (2025). Comparative Analysis of Declarative Orchestration Engines in Autonomous AI Pipelines. International Journal of Cloud Computing and Services Science, 14(2), 112-121.</w:t>
      </w:r>
    </w:p>
    <w:p>
      <w:pPr>
        <w:spacing w:after="120" w:line="300" w:lineRule="auto"/>
        <w:ind w:left="576" w:hanging="576"/>
        <w:jc w:val="both"/>
      </w:pPr>
      <w:r>
        <w:t>[11] Patel, P., and Gupta, A. (2024). Deterministic Optimization versus Heuristic Approximation in Enterprise Resource Planning. IEEE Access, 12, 15510-15524.</w:t>
      </w:r>
    </w:p>
    <w:p>
      <w:pPr>
        <w:spacing w:after="120" w:line="300" w:lineRule="auto"/>
        <w:ind w:left="576" w:hanging="576"/>
        <w:jc w:val="both"/>
      </w:pPr>
      <w:r>
        <w:t>[12] Kohl, J., Gloger, L., and Costa, R. et al. (2024). Generative AI Quality Assurance: A Verification Framework for Agentic Systems. arXiv preprint arXiv:2412.14215.</w:t>
      </w:r>
    </w:p>
    <w:p>
      <w:pPr>
        <w:spacing w:after="120" w:line="300" w:lineRule="auto"/>
        <w:ind w:left="576" w:hanging="576"/>
        <w:jc w:val="both"/>
      </w:pPr>
      <w:r>
        <w:t>[13] Sharma, N. B., Patil, S., and Chakraborty, A. R. (2025). Explainable AI in Operational Research: Bridging Optimization and Human Trust. IEEE Transactions on Engineering Management, 72, 842-855.</w:t>
      </w:r>
    </w:p>
    <w:p>
      <w:pPr>
        <w:spacing w:after="120" w:line="300" w:lineRule="auto"/>
        <w:ind w:left="576" w:hanging="576"/>
        <w:jc w:val="both"/>
      </w:pPr>
      <w:r>
        <w:t>[14] Amazon Web Services (2024). AWS Well-Architected Framework: Reliability and Performance in Cloud Automation. AWS Technical Whitepaper Series, Seattle, WA.</w:t>
      </w:r>
    </w:p>
    <w:p>
      <w:pPr>
        <w:spacing w:after="120" w:line="300" w:lineRule="auto"/>
        <w:ind w:left="576" w:hanging="576"/>
        <w:jc w:val="both"/>
      </w:pPr>
      <w:r>
        <w:t>[15] Rahman, M., and Alam, T. (2024). DevSecOps and Credential Protection in Autonomous Multi-Agent Pipelines. arXiv preprint arXiv:2404.04839.</w:t>
      </w:r>
    </w:p>
    <w:p>
      <w:pPr>
        <w:spacing w:after="120" w:line="300" w:lineRule="auto"/>
        <w:ind w:left="576" w:hanging="576"/>
        <w:jc w:val="both"/>
      </w:pPr>
      <w:r>
        <w:t>[16] Wang, J., Liu, P., and Zhao, R. (2024). Autonomous Workflow Orchestration using AI Assistants in Industrial Manufacturing. IEEE Cloud Computing, 11(4), 34-45.</w:t>
      </w:r>
    </w:p>
    <w:p>
      <w:pPr>
        <w:spacing w:after="120" w:line="300" w:lineRule="auto"/>
        <w:ind w:left="576" w:hanging="576"/>
        <w:jc w:val="both"/>
      </w:pPr>
      <w:r>
        <w:t>[17] Chen, H., and Zhang, M. (2022). Dynamic Safety Stock Allocation in Multi-Supplier Environments with Stochastic Lead Times. Computers &amp; Operations Research, 141, 105-119.</w:t>
      </w:r>
    </w:p>
    <w:p>
      <w:pPr>
        <w:spacing w:after="120" w:line="300" w:lineRule="auto"/>
        <w:ind w:left="576" w:hanging="576"/>
        <w:jc w:val="both"/>
      </w:pPr>
      <w:r>
        <w:t>[18] Li, S., and Kumar, V. (2022). Model Context Protocols: Standardizing Agentic Data Retrieval in Relational Databases. ACM Computing Surveys, 55(3), 1-24.</w:t>
      </w:r>
    </w:p>
    <w:p>
      <w:pPr>
        <w:spacing w:after="120" w:line="300" w:lineRule="auto"/>
        <w:ind w:left="576" w:hanging="576"/>
        <w:jc w:val="both"/>
      </w:pPr>
      <w:r>
        <w:t>[19] Singh, D., and Kapoor, P. (2023). Conversational Supply Chain Decision Support Systems: Design and Usability. International Journal of Emerging Technologies, 12(7), 45-53.</w:t>
      </w:r>
    </w:p>
    <w:p>
      <w:pPr>
        <w:spacing w:after="120" w:line="300" w:lineRule="auto"/>
        <w:ind w:left="576" w:hanging="576"/>
        <w:jc w:val="both"/>
      </w:pPr>
      <w:r>
        <w:t>[20] OpenAI (2023). GPT-4 Technical Report. arXiv preprint arXiv:2303.08774.</w:t>
      </w:r>
    </w:p>
    <w:p>
      <w:pPr>
        <w:spacing w:after="120" w:line="300" w:lineRule="auto"/>
        <w:ind w:left="576" w:hanging="576"/>
        <w:jc w:val="both"/>
      </w:pPr>
      <w:r>
        <w:t>[21] Mitchell, M., Wu, S., and Zaldivar, A. et al. (2019). Model Cards for Model Reporting. In Proceedings of the Conference on Fairness, Accountability, and Transparency, 220-229.</w:t>
      </w:r>
    </w:p>
    <w:p>
      <w:pPr>
        <w:spacing w:after="120" w:line="300" w:lineRule="auto"/>
        <w:ind w:left="576" w:hanging="576"/>
        <w:jc w:val="both"/>
      </w:pPr>
      <w:r>
        <w:t>[22] PuLP Optimization Developers (2024). PuLP: An LP/MILP Modeler in Python. Documentation and COIN-OR Reference Guide. Retrieved from https://coin-or.github.io/pulp/</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