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 Light" w:hAnsi="Calibri Light"/>
          <w:b/>
          <w:color w:val="1F497D"/>
          <w:sz w:val="40"/>
        </w:rPr>
        <w:t>Predictive Risk Identification for Diabetes and Heart Disease</w:t>
      </w:r>
    </w:p>
    <w:p>
      <w:pPr>
        <w:spacing w:before="0" w:after="120"/>
      </w:pPr>
      <w:r>
        <w:rPr>
          <w:rFonts w:ascii="Calibri" w:hAnsi="Calibri"/>
          <w:b/>
          <w:color w:val="D95F02"/>
          <w:sz w:val="24"/>
        </w:rPr>
        <w:t>Project Status Report, Gap Analysis &amp; Comprehensive Roadmap</w:t>
      </w:r>
    </w:p>
    <w:p>
      <w:pPr>
        <w:keepNext/>
        <w:spacing w:before="160" w:after="60"/>
      </w:pPr>
      <w:r>
        <w:rPr>
          <w:rFonts w:ascii="Calibri" w:hAnsi="Calibri"/>
          <w:b/>
          <w:color w:val="1F497D"/>
          <w:sz w:val="19"/>
        </w:rPr>
        <w:t>Project Metadata &amp; Audit Scope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7"/>
              </w:rPr>
              <w:t>Role</w:t>
            </w:r>
          </w:p>
        </w:tc>
        <w:tc>
          <w:tcPr>
            <w:tcW w:type="dxa" w:w="69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7"/>
              </w:rPr>
              <w:t>Project Auditor &amp; Technical Writer</w:t>
            </w:r>
          </w:p>
        </w:tc>
      </w:tr>
      <w:tr>
        <w:tc>
          <w:tcPr>
            <w:tcW w:type="dxa" w:w="2592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7"/>
              </w:rPr>
              <w:t>Evaluation Scope</w:t>
            </w:r>
          </w:p>
        </w:tc>
        <w:tc>
          <w:tcPr>
            <w:tcW w:type="dxa" w:w="6912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7"/>
              </w:rPr>
              <w:t>All Code, Data, Notebooks, Models, Outputs, and Reports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7"/>
              </w:rPr>
              <w:t>Current Status</w:t>
            </w:r>
          </w:p>
        </w:tc>
        <w:tc>
          <w:tcPr>
            <w:tcW w:type="dxa" w:w="69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7"/>
              </w:rPr>
              <w:t>50% Complete (Stages 1 &amp; 2 Complete; Stage 3 Pending)</w:t>
            </w:r>
          </w:p>
        </w:tc>
      </w:tr>
      <w:tr>
        <w:tc>
          <w:tcPr>
            <w:tcW w:type="dxa" w:w="2592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7"/>
              </w:rPr>
              <w:t>Target Models</w:t>
            </w:r>
          </w:p>
        </w:tc>
        <w:tc>
          <w:tcPr>
            <w:tcW w:type="dxa" w:w="6912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7"/>
              </w:rPr>
              <w:t>Logistic Regression, Decision Tree, Random Forest + SHAP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7"/>
              </w:rPr>
              <w:t>Evaluation Metrics</w:t>
            </w:r>
          </w:p>
        </w:tc>
        <w:tc>
          <w:tcPr>
            <w:tcW w:type="dxa" w:w="69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7"/>
              </w:rPr>
              <w:t>F1-Score, ROC-AUC, Recall / Sensitivity (Separate Per Disease)</w:t>
            </w:r>
          </w:p>
        </w:tc>
      </w:tr>
      <w:tr>
        <w:tc>
          <w:tcPr>
            <w:tcW w:type="dxa" w:w="2592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7"/>
              </w:rPr>
              <w:t>Audit Date</w:t>
            </w:r>
          </w:p>
        </w:tc>
        <w:tc>
          <w:tcPr>
            <w:tcW w:type="dxa" w:w="6912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7"/>
              </w:rPr>
              <w:t>October 2026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2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F497D"/>
              <w:bottom w:val="none"/>
              <w:right w:val="none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F497D"/>
                <w:sz w:val="21"/>
              </w:rPr>
              <w:t>Executive Summary: Current Completion Level = 50%</w:t>
              <w:br/>
            </w:r>
            <w:r>
              <w:rPr>
                <w:rFonts w:ascii="Calibri" w:hAnsi="Calibri"/>
                <w:i w:val="0"/>
                <w:color w:val="282828"/>
                <w:sz w:val="19"/>
              </w:rPr>
              <w:t>One-Line Justification: The project has completed thorough, high-quality data cleaning, dataset integration, exploratory data analysis, frequent pattern mining, unsupervised clustering, dimensionality reduction, and outlier diagnostics (Stages 1 &amp; 2), but has NOT yet implemented supervised predictive modeling, model comparison, evaluation metrics (F1/ROC-AUC/Recall), SHAP explainability, or the interactive new-patient inference interface (Stage 3).</w:t>
            </w:r>
          </w:p>
        </w:tc>
      </w:tr>
    </w:tbl>
    <w:p>
      <w:pPr>
        <w:spacing w:after="80"/>
      </w:pPr>
    </w:p>
    <w:p>
      <w:pPr>
        <w:pStyle w:val="Heading1"/>
        <w:spacing w:before="200" w:after="40"/>
      </w:pPr>
      <w:r>
        <w:rPr>
          <w:rFonts w:ascii="Calibri Light" w:hAnsi="Calibri Light"/>
          <w:b/>
          <w:color w:val="1F497D"/>
          <w:sz w:val="28"/>
        </w:rPr>
        <w:t>1. Work Completed So Far</w:t>
      </w:r>
    </w:p>
    <w:p>
      <w:r>
        <w:t>The project repository reflects two successfully delivered milestones: Stage 1 (Mid-Term Report: Preprocessing, Missing Data Science, Integration, and Frequent Pattern Mining) and Stage 2 (Clustering, Dimensionality Reduction, and Anomaly Diagnostics). Below is an evidence-based audit of each completed step.</w:t>
      </w:r>
    </w:p>
    <w:p>
      <w:pPr>
        <w:pStyle w:val="Heading2"/>
        <w:spacing w:before="120" w:after="40"/>
      </w:pPr>
      <w:r>
        <w:rPr>
          <w:color w:val="1F497D"/>
        </w:rPr>
        <w:t>1.1 Data Loading &amp; Workspace Inventory</w:t>
      </w:r>
    </w:p>
    <w:p>
      <w:r>
        <w:t>A complete inventory was conducted across all 8 raw CSV files in the workspace (totaling 1,590,066 records). Four benchmark datasets totaling 699,877 records were selected for primary clinical and population analysis:</w:t>
        <w:br/>
        <w:t>• UCI Pima Indians Diabetes (data/raw/diabetes.csv): 768 patient records across 9 clinical lab features (34.90% diabetes).</w:t>
        <w:br/>
        <w:t>• UCI Cleveland Heart Disease (data/raw/heart_cleveland_upload.csv): 297 patient records across 14 cardiac features (46.13% disease).</w:t>
        <w:br/>
        <w:t>• CDC BRFSS 2015 Health Indicators: 253,680 survey records across 22 questions with dual disease outcomes (13.93% diabetes, 9.42% heart disease).</w:t>
        <w:br/>
        <w:t>• CDC Heart 2022 (with NaNs): 445,132 records used as a benchmark for real-world survey missingness mechanisms.</w:t>
      </w:r>
    </w:p>
    <w:p>
      <w:pPr>
        <w:keepNext/>
        <w:spacing w:before="160" w:after="60"/>
      </w:pPr>
      <w:r>
        <w:rPr>
          <w:rFonts w:ascii="Calibri" w:hAnsi="Calibri"/>
          <w:b/>
          <w:color w:val="1F497D"/>
          <w:sz w:val="19"/>
        </w:rPr>
        <w:t>Table 1: Complete Dataset Inventory in Workspace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Filename</w:t>
            </w:r>
          </w:p>
        </w:tc>
        <w:tc>
          <w:tcPr>
            <w:tcW w:type="dxa" w:w="1419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419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Rows</w:t>
            </w:r>
          </w:p>
        </w:tc>
        <w:tc>
          <w:tcPr>
            <w:tcW w:type="dxa" w:w="1419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Columns</w:t>
            </w:r>
          </w:p>
        </w:tc>
        <w:tc>
          <w:tcPr>
            <w:tcW w:type="dxa" w:w="1419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Size Mb</w:t>
            </w:r>
          </w:p>
        </w:tc>
        <w:tc>
          <w:tcPr>
            <w:tcW w:type="dxa" w:w="1419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Selected</w:t>
            </w:r>
          </w:p>
        </w:tc>
        <w:tc>
          <w:tcPr>
            <w:tcW w:type="dxa" w:w="1419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Reason</w:t>
            </w:r>
          </w:p>
        </w:tc>
      </w:tr>
      <w:tr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diabetes.csv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UCI Pima Indians Diabetes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768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9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0.02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True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Primary clinical or survey benchmark</w:t>
            </w:r>
          </w:p>
        </w:tc>
      </w:tr>
      <w:tr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heart_cleveland_upload.csv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UCI Cleveland Heart Disease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297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14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0.01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True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Primary clinical or survey benchmark</w:t>
            </w:r>
          </w:p>
        </w:tc>
      </w:tr>
      <w:tr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diabetes_binary_health_indicators_BRFSS2015.csv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CDC BRFSS 2015 (Binary Outcome)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253680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22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21.68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True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Primary clinical or survey benchmark</w:t>
            </w:r>
          </w:p>
        </w:tc>
      </w:tr>
      <w:tr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diabetes_binary_5050split_health_indicators_BRFSS2015.csv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CDC BRFSS 2015 (50/50 Balanced Split)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70692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22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6.05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False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Derivative or redundant split</w:t>
            </w:r>
          </w:p>
        </w:tc>
      </w:tr>
      <w:tr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diabetes_012_health_indicators_BRFSS2015.csv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CDC BRFSS 2015 (3-Class Outcome)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253680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22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21.68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False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Derivative or redundant split</w:t>
            </w:r>
          </w:p>
        </w:tc>
      </w:tr>
      <w:tr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heart_2020_cleaned.csv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CDC BRFSS 2020 (Pre-cleaned)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319795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18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24.02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False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Derivative or redundant split</w:t>
            </w:r>
          </w:p>
        </w:tc>
      </w:tr>
      <w:tr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heart_2022_no_nans.csv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CDC BRFSS 2022 (No NaNs)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246022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40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78.19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False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Derivative or redundant split</w:t>
            </w:r>
          </w:p>
        </w:tc>
      </w:tr>
      <w:tr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heart_2022_with_nans.csv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CDC BRFSS 2022 (Raw with NaNs)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445132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40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133.39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True</w:t>
            </w:r>
          </w:p>
        </w:tc>
        <w:tc>
          <w:tcPr>
            <w:tcW w:type="dxa" w:w="1419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Primary clinical or survey benchmark</w:t>
            </w:r>
          </w:p>
        </w:tc>
      </w:tr>
    </w:tbl>
    <w:p>
      <w:pPr>
        <w:spacing w:after="80"/>
      </w:pPr>
    </w:p>
    <w:p>
      <w:pPr>
        <w:pStyle w:val="Heading2"/>
        <w:spacing w:before="120" w:after="40"/>
      </w:pPr>
      <w:r>
        <w:rPr>
          <w:color w:val="1F497D"/>
        </w:rPr>
        <w:t>1.2 Data Preprocessing &amp; Missing Data Science</w:t>
      </w:r>
    </w:p>
    <w:p>
      <w:r>
        <w:t>Data cleaning and quality audits were executed via src/02_clean.py, src/02b_clean_brfss.py, and src/project_pipeline.py:</w:t>
        <w:br/>
        <w:t>• Pima Hidden Zeros Audit: Uncovered 652 hidden zeros across 376 individual patient rows (48.96% of cohort). These zeros represented test omissions in continuous biometrics where a true zero is biologically impossible: Insulin (374 rows, 48.70%), Skinfold Thickness (227 rows, 29.56%), Diastolic BP (35 rows, 4.56%), BMI (11 rows, 1.43%), and Glucose (5 rows, 0.65%). All impossible zeros were replaced with NaN in data/clean/pima_clean.csv. Pregnancies zeros (111 rows, 14.45%) were preserved as valid nulliparous counts.</w:t>
        <w:br/>
        <w:t>• Survey Missingness &amp; Duplicates: In CDC Heart 2022, listwise deletion was shown to drop 44.73% of records (199,110 rows), whereas preserving observed targets dropped only 0.69%. In CDC BRFSS 2015, 24,206 duplicate rows (9.54%) were identified and intentionally retained, as discrete survey profiles from 253,680 people naturally produce identical responses.</w:t>
        <w:br/>
        <w:t>• Vertical Dataset Integration: Vertically merged Pima (768), Cleveland (297), and a stratified sample of BRFSS (25,000) into data/clean/integrated_dataset.csv (26,065 rows, 13 harmonized columns). Documented structural missingness by design: lab values are absent in survey data (Cholesterol 98.86%, Glucose 97.07%, BP 96.05%, Insulin 98.49% missing).</w:t>
        <w:br/>
        <w:t>• Normalization &amp; Transformations: Tested Min-Max, Z-score, and log1p transformations. Insulin skewness improved from +2.17 to -0.09. Age log-transformation was proven contraindicated, worsening skewness from -0.36 to -1.01.</w:t>
      </w:r>
    </w:p>
    <w:p>
      <w:pPr>
        <w:keepNext/>
        <w:spacing w:before="160" w:after="60"/>
      </w:pPr>
      <w:r>
        <w:rPr>
          <w:rFonts w:ascii="Calibri" w:hAnsi="Calibri"/>
          <w:b/>
          <w:color w:val="1F497D"/>
          <w:sz w:val="19"/>
        </w:rPr>
        <w:t>Table 2: Pima Indians Diabetes Hidden Zero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2484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Zero Placeholder Count</w:t>
            </w:r>
          </w:p>
        </w:tc>
        <w:tc>
          <w:tcPr>
            <w:tcW w:type="dxa" w:w="2484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Percent Missing</w:t>
            </w:r>
          </w:p>
        </w:tc>
        <w:tc>
          <w:tcPr>
            <w:tcW w:type="dxa" w:w="2484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Clinical Mechanism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6"/>
              </w:rPr>
              <w:t>Glucose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6"/>
              </w:rPr>
              <w:t>5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6"/>
              </w:rPr>
              <w:t>0.65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6"/>
              </w:rPr>
              <w:t>Fasting plasma glucose draw skipped during field evaluation.</w:t>
            </w:r>
          </w:p>
        </w:tc>
      </w:tr>
      <w:tr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6"/>
              </w:rPr>
              <w:t>BloodPressure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6"/>
              </w:rPr>
              <w:t>35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6"/>
              </w:rPr>
              <w:t>4.56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6"/>
              </w:rPr>
              <w:t>Sphygmomanometer test omitted or inaudible diastolic Korotkoff sounds.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6"/>
              </w:rPr>
              <w:t>SkinThickness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6"/>
              </w:rPr>
              <w:t>227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6"/>
              </w:rPr>
              <w:t>29.56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6"/>
              </w:rPr>
              <w:t>Triceps skinfold caliper measurement omitted due to patient discomfort or protocol bypass.</w:t>
            </w:r>
          </w:p>
        </w:tc>
      </w:tr>
      <w:tr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6"/>
              </w:rPr>
              <w:t>Insulin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6"/>
              </w:rPr>
              <w:t>374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6"/>
              </w:rPr>
              <w:t>48.70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6"/>
              </w:rPr>
              <w:t>2-hour serum insulin after 75g oral glucose tolerance challenge omitted (invasive and costly).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6"/>
              </w:rPr>
              <w:t>BMI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6"/>
              </w:rPr>
              <w:t>11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6"/>
              </w:rPr>
              <w:t>1.43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6"/>
              </w:rPr>
              <w:t>Weight or standing height unrecorded during clinical intake.</w:t>
            </w:r>
          </w:p>
        </w:tc>
      </w:tr>
      <w:tr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6"/>
              </w:rPr>
              <w:t>Pregnancies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6"/>
              </w:rPr>
              <w:t>0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6"/>
              </w:rPr>
              <w:t>0.00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6"/>
              </w:rPr>
              <w:t>Valid biological zero: 111 women (14.45%) are nulliparous.</w:t>
            </w:r>
          </w:p>
        </w:tc>
      </w:tr>
    </w:tbl>
    <w:p>
      <w:pPr>
        <w:spacing w:after="80"/>
      </w:pPr>
    </w:p>
    <w:p>
      <w:pPr>
        <w:pStyle w:val="Heading2"/>
        <w:spacing w:before="120" w:after="40"/>
      </w:pPr>
      <w:r>
        <w:rPr>
          <w:color w:val="1F497D"/>
        </w:rPr>
        <w:t>1.3 Frequent Pattern Mining &amp; Association Rules</w:t>
      </w:r>
    </w:p>
    <w:p>
      <w:r>
        <w:t>Conducted frequent pattern mining on 25,000 transactions (15 binary items) using Apriori and FP-Growth:</w:t>
        <w:br/>
        <w:t>• Algorithm Benchmark: Verified exact itemset equivalence at min_support = 0.20 (72 identical itemsets). FP-Growth executed faster (0.0031s vs 0.0041s).</w:t>
        <w:br/>
        <w:t>• Support Sensitivity: Evaluated support thresholds across [0.40, 0.30, 0.20, 0.10, 0.05]. At 0.05, 611 itemsets and 5,836 association rules emerged.</w:t>
        <w:br/>
        <w:t>• Top Population Rules: {HighChol, BMI&gt;=30, Age&gt;=50} -&gt; Diabetes (Confidence: 35.66%, Lift: 2.58 vs. 13.93% baseline). {HighChol, HighBP, Age&gt;=50} -&gt; HeartDisease (Confidence: 23.00%, Lift: 2.43 vs. 9.46% baseline).</w:t>
        <w:br/>
        <w:t>• Clinical Benchmark Rules: In Pima, {Age&gt;=35, Glucose&gt;125, BMI&gt;=30} -&gt; Diabetes yielded 77.06% confidence (Lift: 2.21). In Cleveland, {Male, HighChol&gt;=240, ExAngina} -&gt; HeartDisease yielded 90.24% confidence (Lift: 1.96).</w:t>
      </w:r>
    </w:p>
    <w:p>
      <w:pPr>
        <w:pStyle w:val="Heading2"/>
        <w:spacing w:before="120" w:after="40"/>
      </w:pPr>
      <w:r>
        <w:rPr>
          <w:color w:val="1F497D"/>
        </w:rPr>
        <w:t>1.4 Unsupervised Clustering, Dimensionality Reduction &amp; Outlier Diagnostics</w:t>
      </w:r>
    </w:p>
    <w:p>
      <w:r>
        <w:t>Executed Stage 2 unsupervised machine learning via src/stage2_pipeline.py:</w:t>
        <w:br/>
        <w:t>• Clustering Models: Benchmarked K-Means (k=3), Hierarchical Agglomerative (Ward linkage, k=3), and DBSCAN (eps=2.4, minPts=5). K-Means (k=3) achieved Silhouette = 0.1534, Davies-Bouldin = 2.1061, and Calinski-Harabasz = 860.45. Discovered 3 clinical phenotypes: Cluster 0 (Low Risk, 46.8%, 3.2% diabetes, 1.8% heart disease), Cluster 1 (Moderate Overweight, 39.1%, 21.6% diabetes, 14.4% heart disease), and Cluster 2 (Multi-Morbidity Crisis, 14.1%, 27.0% diabetes, 23.0% heart disease).</w:t>
        <w:br/>
        <w:t>• Dimensionality Reduction: PCA decomposed 11 features into PC1 (24.78% variance; physical deterioration) and PC2 (13.91% variance; vascular aging). Top 6 PCs retain 73.98% variance. Re-clustering on 6 PCs improved Silhouette by +33.4% (to 0.2046) and reduced Davies-Bouldin by -19.0% (to 1.7054).</w:t>
        <w:br/>
        <w:t>• Outlier Detection: Isolation Forest identified 175 outliers (3.5% contamination). Outliers represent severe multi-morbidity (avg BMI 33.4, max 82.0, 24.9 days/month impaired, 29.7% diabetes, 25.1% heart disease). Pruning outliers restored cluster centroids toward realistic population medians.</w:t>
      </w:r>
    </w:p>
    <w:p>
      <w:pPr>
        <w:keepNext/>
        <w:spacing w:before="160" w:after="60"/>
      </w:pPr>
      <w:r>
        <w:rPr>
          <w:rFonts w:ascii="Calibri" w:hAnsi="Calibri"/>
          <w:b/>
          <w:color w:val="1F497D"/>
          <w:sz w:val="19"/>
        </w:rPr>
        <w:t>Table 3: Health and Biometric Profiles across K-Means Clusters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</w:tblGrid>
      <w:tr>
        <w:tc>
          <w:tcPr>
            <w:tcW w:type="dxa" w:w="710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Cluster Id</w:t>
            </w:r>
          </w:p>
        </w:tc>
        <w:tc>
          <w:tcPr>
            <w:tcW w:type="dxa" w:w="710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Designation</w:t>
            </w:r>
          </w:p>
        </w:tc>
        <w:tc>
          <w:tcPr>
            <w:tcW w:type="dxa" w:w="710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Sample Size N</w:t>
            </w:r>
          </w:p>
        </w:tc>
        <w:tc>
          <w:tcPr>
            <w:tcW w:type="dxa" w:w="710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Percent Cohort</w:t>
            </w:r>
          </w:p>
        </w:tc>
        <w:tc>
          <w:tcPr>
            <w:tcW w:type="dxa" w:w="710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Avg Age Years</w:t>
            </w:r>
          </w:p>
        </w:tc>
        <w:tc>
          <w:tcPr>
            <w:tcW w:type="dxa" w:w="710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Avg Bmi</w:t>
            </w:r>
          </w:p>
        </w:tc>
        <w:tc>
          <w:tcPr>
            <w:tcW w:type="dxa" w:w="710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Hypertension Rate Pct</w:t>
            </w:r>
          </w:p>
        </w:tc>
        <w:tc>
          <w:tcPr>
            <w:tcW w:type="dxa" w:w="710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High Cholesterol Pct</w:t>
            </w:r>
          </w:p>
        </w:tc>
        <w:tc>
          <w:tcPr>
            <w:tcW w:type="dxa" w:w="710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Smoker Rate Pct</w:t>
            </w:r>
          </w:p>
        </w:tc>
        <w:tc>
          <w:tcPr>
            <w:tcW w:type="dxa" w:w="710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Phys Activity Pct</w:t>
            </w:r>
          </w:p>
        </w:tc>
        <w:tc>
          <w:tcPr>
            <w:tcW w:type="dxa" w:w="710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Avg Poor Phys Days</w:t>
            </w:r>
          </w:p>
        </w:tc>
        <w:tc>
          <w:tcPr>
            <w:tcW w:type="dxa" w:w="710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Avg Poor Ment Days</w:t>
            </w:r>
          </w:p>
        </w:tc>
        <w:tc>
          <w:tcPr>
            <w:tcW w:type="dxa" w:w="710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Diabetes Prevalence Pct</w:t>
            </w:r>
          </w:p>
        </w:tc>
        <w:tc>
          <w:tcPr>
            <w:tcW w:type="dxa" w:w="710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Heart Disease Pct</w:t>
            </w:r>
          </w:p>
        </w:tc>
      </w:tr>
      <w:tr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Cluster 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Cluster 0: Low-Risk / Active Young Cohort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2339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46.80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49.60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26.90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8.00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18.10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32.00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87.70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1.10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1.70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3.20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1.80</w:t>
            </w:r>
          </w:p>
        </w:tc>
      </w:tr>
      <w:tr>
        <w:tc>
          <w:tcPr>
            <w:tcW w:type="dxa" w:w="71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Cluster 1</w:t>
            </w:r>
          </w:p>
        </w:tc>
        <w:tc>
          <w:tcPr>
            <w:tcW w:type="dxa" w:w="71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Cluster 1: Moderate-Risk / Overweight Metabolic</w:t>
            </w:r>
          </w:p>
        </w:tc>
        <w:tc>
          <w:tcPr>
            <w:tcW w:type="dxa" w:w="71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1956</w:t>
            </w:r>
          </w:p>
        </w:tc>
        <w:tc>
          <w:tcPr>
            <w:tcW w:type="dxa" w:w="71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39.10</w:t>
            </w:r>
          </w:p>
        </w:tc>
        <w:tc>
          <w:tcPr>
            <w:tcW w:type="dxa" w:w="71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65.70</w:t>
            </w:r>
          </w:p>
        </w:tc>
        <w:tc>
          <w:tcPr>
            <w:tcW w:type="dxa" w:w="71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29.50</w:t>
            </w:r>
          </w:p>
        </w:tc>
        <w:tc>
          <w:tcPr>
            <w:tcW w:type="dxa" w:w="71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78.30</w:t>
            </w:r>
          </w:p>
        </w:tc>
        <w:tc>
          <w:tcPr>
            <w:tcW w:type="dxa" w:w="71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67.60</w:t>
            </w:r>
          </w:p>
        </w:tc>
        <w:tc>
          <w:tcPr>
            <w:tcW w:type="dxa" w:w="71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54.70</w:t>
            </w:r>
          </w:p>
        </w:tc>
        <w:tc>
          <w:tcPr>
            <w:tcW w:type="dxa" w:w="71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68.80</w:t>
            </w:r>
          </w:p>
        </w:tc>
        <w:tc>
          <w:tcPr>
            <w:tcW w:type="dxa" w:w="71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1.50</w:t>
            </w:r>
          </w:p>
        </w:tc>
        <w:tc>
          <w:tcPr>
            <w:tcW w:type="dxa" w:w="71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1.10</w:t>
            </w:r>
          </w:p>
        </w:tc>
        <w:tc>
          <w:tcPr>
            <w:tcW w:type="dxa" w:w="71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21.60</w:t>
            </w:r>
          </w:p>
        </w:tc>
        <w:tc>
          <w:tcPr>
            <w:tcW w:type="dxa" w:w="710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14.40</w:t>
            </w:r>
          </w:p>
        </w:tc>
      </w:tr>
      <w:tr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Cluster 2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Cluster 2: High-Risk / Elderly Multi-Morbidity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705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14.10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59.10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31.00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62.60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53.00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59.90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50.50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21.40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13.00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27.00</w:t>
            </w:r>
          </w:p>
        </w:tc>
        <w:tc>
          <w:tcPr>
            <w:tcW w:type="dxa" w:w="71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23.00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812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_fig4_cluster_scatter_proj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12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0"/>
        <w:jc w:val="center"/>
      </w:pPr>
      <w:r>
        <w:rPr>
          <w:rFonts w:ascii="Calibri" w:hAnsi="Calibri"/>
          <w:b/>
          <w:color w:val="1F497D"/>
          <w:sz w:val="17"/>
        </w:rPr>
        <w:t>Figure 1: 2D Manifold Visualizations — PCA vs. t-SNE Projections Colored by Risk Clusters and Diagnoses</w:t>
      </w:r>
    </w:p>
    <w:p>
      <w:pPr>
        <w:spacing w:before="0" w:after="120"/>
        <w:jc w:val="center"/>
      </w:pPr>
      <w:r>
        <w:rPr>
          <w:rFonts w:ascii="Calibri" w:hAnsi="Calibri"/>
          <w:i/>
          <w:color w:val="5A5A5A"/>
          <w:sz w:val="16"/>
        </w:rPr>
        <w:t>Key Finding: PCA and t-SNE cleanly segregate Low-Risk healthy respondents from High-Risk multi-morbidity patients.</w:t>
      </w:r>
    </w:p>
    <w:p>
      <w:pPr>
        <w:pStyle w:val="Heading2"/>
        <w:spacing w:before="120" w:after="40"/>
      </w:pPr>
      <w:r>
        <w:rPr>
          <w:color w:val="1F497D"/>
        </w:rPr>
        <w:t>1.5 Supervised Machine Learning &amp; Explainability (Current Status)</w:t>
      </w:r>
    </w:p>
    <w:p>
      <w:r>
        <w:t>Plain-Truth Audit: Supervised model training, evaluation, and explainability work have NOT YET BEEN IMPLEMENTED. Specifically: no classification models (Logistic Regression, Decision Tree, Random Forest) have been trained or evaluated; no F1, ROC-AUC, or Recall metrics have been generated; and no SHAP global summary or patient-level waterfall plots exist in the repository.</w:t>
      </w:r>
    </w:p>
    <w:p>
      <w:pPr>
        <w:pStyle w:val="Heading1"/>
        <w:spacing w:before="200" w:after="40"/>
      </w:pPr>
      <w:r>
        <w:rPr>
          <w:rFonts w:ascii="Calibri Light" w:hAnsi="Calibri Light"/>
          <w:b/>
          <w:color w:val="1F497D"/>
          <w:sz w:val="28"/>
        </w:rPr>
        <w:t>2. Current State vs. The End Product (Gap Analysis)</w:t>
      </w:r>
    </w:p>
    <w:p>
      <w:r>
        <w:t>The table below details every explicit project requirement against actual files and outputs in the workspace:</w:t>
      </w:r>
    </w:p>
    <w:p>
      <w:pPr>
        <w:keepNext/>
        <w:spacing w:before="160" w:after="60"/>
      </w:pPr>
      <w:r>
        <w:rPr>
          <w:rFonts w:ascii="Calibri" w:hAnsi="Calibri"/>
          <w:b/>
          <w:color w:val="1F497D"/>
          <w:sz w:val="19"/>
        </w:rPr>
        <w:t>Table 4: Comprehensive Gap Analysis against Required End Product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484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484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2484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What Is Missing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Clean, merged, model-ready dataset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Partial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data/clean/integrated_dataset.csv, pima_clean.csv, cleveland_clean.csv, brfss_clean.csv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Merged dataset has 96-98% structural missingness for lab values. Dedicated feature matrices (X, y) split into train/test folds have not been built.</w:t>
            </w:r>
          </w:p>
        </w:tc>
      </w:tr>
      <w:tr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Risk prediction model for diabetes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Not started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None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No supervised model (Logistic Regression, Decision Tree, Random Forest) trained for diabetes prediction.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Risk prediction model for heart disease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Not started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None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No supervised model trained for heart disease prediction.</w:t>
            </w:r>
          </w:p>
        </w:tc>
      </w:tr>
      <w:tr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Model comparison &amp; best-model selection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Not started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None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No cross-validation benchmark or selection criteria comparing algorithms.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Evaluation with F1, ROC-AUC, Recall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Not started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None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No evaluation metrics, ROC curves, PR curves, or confusion matrices exist for supervised predictions.</w:t>
            </w:r>
          </w:p>
        </w:tc>
      </w:tr>
      <w:tr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Global feature importance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Partial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stage2_pca_loadings.csv, top_diabetes_rules_by_lift.csv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Only unsupervised PCA loadings and rule lift exist. Supervised Gini importance, logistic weights, and global SHAP values are missing.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Patient-level explanation of risk variables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Not started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None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No SHAP TreeExplainer/LinearExplainer or local waterfall/force plots explaining individual patients.</w:t>
            </w:r>
          </w:p>
        </w:tc>
      </w:tr>
      <w:tr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Input a new patient &amp; get risk + top variables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Not started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None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No interactive script, function, CLI, or UI accepting user inputs and outputting risk predictions + explanations.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Final report and presentation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Partial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stage2_report.pdf (20 pages), mid_report_v2.pdf (18 pages)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Mid-term and Stage 2 reports are complete, but final Stage 3 report and presentation slides are not yet authored.</w:t>
            </w:r>
          </w:p>
        </w:tc>
      </w:tr>
    </w:tbl>
    <w:p>
      <w:pPr>
        <w:spacing w:after="80"/>
      </w:pPr>
    </w:p>
    <w:p>
      <w:pPr>
        <w:pStyle w:val="Heading1"/>
        <w:spacing w:before="200" w:after="40"/>
      </w:pPr>
      <w:r>
        <w:rPr>
          <w:rFonts w:ascii="Calibri Light" w:hAnsi="Calibri Light"/>
          <w:b/>
          <w:color w:val="1F497D"/>
          <w:sz w:val="28"/>
        </w:rPr>
        <w:t>3. Key Findings So Far</w:t>
      </w:r>
    </w:p>
    <w:p>
      <w:r>
        <w:t>Quantitative findings from data preprocessing, pattern mining, and unsupervised clustering:</w:t>
        <w:br/>
        <w:t>• Baseline Population Disease Burden: In CDC BRFSS (N=253,680), diabetes prevalence is 13.93% (35,346 positive cases) and heart disease prevalence is 9.42% (23,893 positive cases), reflecting class imbalance ratios of ~6.2:1 and ~9.6:1 respectively.</w:t>
        <w:br/>
        <w:t>• Age &amp; Vascular Aging: Age has the single highest positive loading on PCA Component 2 (+0.5740). Population association rules indicate that Age&gt;=50 serves as a requisite gatekeeper for cardiometabolic escalation.</w:t>
        <w:br/>
        <w:t>• Hypertension (HighBP): HighBP loads strongly on PC2 (+0.4215) and PC1 (+0.3034). Prevalent in 78.3% of Moderate-Risk cluster patients and 62.6% of High-Risk cluster patients, compared to only 8.0% of Low-Risk individuals.</w:t>
        <w:br/>
        <w:t>• High Cholesterol (HighChol): Loads heavily on PC2 (+0.4574). Paired with HighBP and Age&gt;=50, it elevates population heart attack probability by 2.43x baseline (Confidence: 23.00%). In Cleveland angiography, HighChol&gt;=240 paired with exercise angina predicted heart disease with 90.24% confidence.</w:t>
        <w:br/>
        <w:t>• General &amp; Physical Health Days: GenHlth (+0.4692) and PhysHlth (+0.3838) dominate PC1. Normal inliers report 3.4 days/month of poor physical health vs. 24.9 days/month for high-acuity outliers.</w:t>
        <w:br/>
        <w:t>• Fasting Glucose in Clinical Cohorts: Fasting glucose &gt;125 mg/dL in Pima predicts diabetes with 77.06% confidence when combined with BMI&gt;=30 and Age&gt;=35.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749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_fig9_outliers_projection_boxpl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4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20"/>
        <w:jc w:val="center"/>
      </w:pPr>
      <w:r>
        <w:rPr>
          <w:rFonts w:ascii="Calibri" w:hAnsi="Calibri"/>
          <w:b/>
          <w:color w:val="1F497D"/>
          <w:sz w:val="17"/>
        </w:rPr>
        <w:t>Figure 2: Outlier Diagnostics — Manifold Embeddings and Biometric Distribution Contrasts</w:t>
      </w:r>
    </w:p>
    <w:p>
      <w:pPr>
        <w:spacing w:before="0" w:after="120"/>
        <w:jc w:val="center"/>
      </w:pPr>
      <w:r>
        <w:rPr>
          <w:rFonts w:ascii="Calibri" w:hAnsi="Calibri"/>
          <w:i/>
          <w:color w:val="5A5A5A"/>
          <w:sz w:val="16"/>
        </w:rPr>
        <w:t>Key Finding: Isolation Forest outliers exhibit dramatic elevations in BMI (up to 82.0 kg/m²) and physical health impairment (24.9 days/month).</w:t>
      </w:r>
    </w:p>
    <w:p>
      <w:pPr>
        <w:pStyle w:val="Heading1"/>
        <w:spacing w:before="200" w:after="40"/>
      </w:pPr>
      <w:r>
        <w:rPr>
          <w:rFonts w:ascii="Calibri Light" w:hAnsi="Calibri Light"/>
          <w:b/>
          <w:color w:val="1F497D"/>
          <w:sz w:val="28"/>
        </w:rPr>
        <w:t>4. Problems, Risks, and Limitations</w:t>
      </w:r>
    </w:p>
    <w:p>
      <w:r>
        <w:t>Critical analytical and technical constraints identified during the audit:</w:t>
        <w:br/>
        <w:t>1. Structural Missingness in Merged Cohort: In integrated_dataset.csv, continuous lab tests (glucose, insulin, continuous BP, cholesterol) are absent in over 96% to 98% of rows because the CDC survey records only binary questions. Training a single model directly on the merged dataset would introduce severe bias. Separate models must be trained per disease cohort or trained on survey-common features.</w:t>
        <w:br/>
        <w:t>2. Severe Class Imbalance: Both disease targets in the survey cohort are heavily skewed (~90% negative vs ~10% positive). Standard accuracy is misleading (a naive dummy classifier achieves &gt;90% accuracy). Evaluation must strictly prioritize Recall, F1, and ROC-AUC.</w:t>
        <w:br/>
        <w:t>3. Small Clinical Cohort Sizes: UCI Cleveland (N=297) and UCI Pima (N=768) are small clinical datasets compared to CDC BRFSS (N=253,680), making clinical models vulnerable to overfitting if regularized hyperparameters are not enforced.</w:t>
        <w:br/>
        <w:t>4. Target Proxy Circularity Risk: high_glucose in BRFSS was mapped directly from Diabetes_binary (r=0.97). While removed from the EDA heatmap, it must strictly be excluded as an input feature in supervised modeling to avoid trivial target leakage.</w:t>
        <w:br/>
        <w:t>5. Survey Recall Bias: CDC BRFSS relies on self-reported phone survey responses, subject to recall bias and lack of longitudinal verification.</w:t>
      </w:r>
    </w:p>
    <w:p>
      <w:pPr>
        <w:pStyle w:val="Heading1"/>
        <w:spacing w:before="200" w:after="40"/>
      </w:pPr>
      <w:r>
        <w:rPr>
          <w:rFonts w:ascii="Calibri Light" w:hAnsi="Calibri Light"/>
          <w:b/>
          <w:color w:val="1F497D"/>
          <w:sz w:val="28"/>
        </w:rPr>
        <w:t>5. Prioritized Roadmap to Complete the End Product</w:t>
      </w:r>
    </w:p>
    <w:p>
      <w:r>
        <w:t>To advance the project from 50% to 100% completion, the following 5 sequential phases must be executed:</w:t>
      </w:r>
    </w:p>
    <w:p>
      <w:pPr>
        <w:keepNext/>
        <w:spacing w:before="160" w:after="60"/>
      </w:pPr>
      <w:r>
        <w:rPr>
          <w:rFonts w:ascii="Calibri" w:hAnsi="Calibri"/>
          <w:b/>
          <w:color w:val="1F497D"/>
          <w:sz w:val="19"/>
        </w:rPr>
        <w:t>Table 5: Prioritized Step-by-Step Implementation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484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Key Tasks</w:t>
            </w:r>
          </w:p>
        </w:tc>
        <w:tc>
          <w:tcPr>
            <w:tcW w:type="dxa" w:w="2484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Files To Create Or Modify</w:t>
            </w:r>
          </w:p>
        </w:tc>
        <w:tc>
          <w:tcPr>
            <w:tcW w:type="dxa" w:w="2484"/>
            <w:shd w:fill="1F497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Effort Estimate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Phase 1: Feature Matrices &amp; Leakage-Free Splitting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Build separate model-ready datasets (Population Survey vs. Clinical Lab); implement stratified 80/20 train/test splits; build scikit-learn Pipelines with median/robust scaling.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src/03_model_preprocessing.py, data/clean/diabetes_model_ready.csv, data/clean/heart_model_ready.csv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4 - 6 Hours</w:t>
            </w:r>
          </w:p>
        </w:tc>
      </w:tr>
      <w:tr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Phase 2: Supervised Model Training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Train separate models for Diabetes and Heart Disease across Logistic Regression, Decision Tree, and Random Forest; tune hyperparameters via GridSearchCV; handle class imbalance via class_weight='balanced' and SMOTE.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src/04_train_models.py, models/diabetes_*.joblib, models/heart_*.joblib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6 - 8 Hours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Phase 3: Model Evaluation &amp; Best Selection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Evaluate held-out test sets on F1-Score, ROC-AUC, Recall (Sensitivity); generate comparative benchmark tables, ROC curves, PR curves, and confusion matrices; select champion model.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src/05_evaluate_models.py, outputs/tables/model_comparison_metrics.csv, outputs/figures/stage3_roc_pr_curves.png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5 - 6 Hours</w:t>
            </w:r>
          </w:p>
        </w:tc>
      </w:tr>
      <w:tr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Phase 4: Global &amp; Local SHAP Explainability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Compute SHAP values using TreeExplainer and LinearExplainer; generate global summary beeswarm plots; implement patient-level waterfall plots explaining exact variables pushing risk.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src/06_explainability_shap.py, outputs/figures/shap_summary_plots.png, outputs/figures/shap_patient_waterfall.png</w:t>
            </w:r>
          </w:p>
        </w:tc>
        <w:tc>
          <w:tcPr>
            <w:tcW w:type="dxa" w:w="2484"/>
            <w:shd w:fill="F2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6 - 8 Hours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Phase 5: Interactive Patient Inference Tool &amp; Final Report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Develop CLI/interactive script where user enters patient biometrics and gets predicted risk + top 3 pushing factors; compile final Stage 3 report and presentation slides.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5"/>
              </w:rPr>
              <w:t>src/predict_patient.py, src/build_final_report.py, stage3_final_report.docx/.pdf, final_presentation.pptx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5"/>
              </w:rPr>
              <w:t>6 - 8 Hours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2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1F497D"/>
              <w:bottom w:val="none"/>
              <w:right w:val="none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F497D"/>
                <w:sz w:val="21"/>
              </w:rPr>
              <w:t>Total Estimated Remaining Effort</w:t>
              <w:br/>
            </w:r>
            <w:r>
              <w:rPr>
                <w:rFonts w:ascii="Calibri" w:hAnsi="Calibri"/>
                <w:i w:val="0"/>
                <w:color w:val="282828"/>
                <w:sz w:val="19"/>
              </w:rPr>
              <w:t>Total Estimated Implementation Time: 27 – 36 Working Hours (approximately 4 to 5 working days).</w:t>
              <w:br/>
              <w:t>Execution Path: Preprocessing -&gt; Model Training -&gt; Multi-Metric Evaluation -&gt; SHAP Explainability -&gt; Interactive Triage Interface -&gt; Final Report.</w:t>
            </w:r>
          </w:p>
        </w:tc>
      </w:tr>
    </w:tbl>
    <w:p>
      <w:pPr>
        <w:spacing w:after="80"/>
      </w:pPr>
    </w:p>
    <w:p>
      <w:pPr>
        <w:spacing w:before="240"/>
      </w:pPr>
      <w:r>
        <w:rPr>
          <w:i/>
          <w:color w:val="787878"/>
          <w:sz w:val="17"/>
        </w:rPr>
        <w:t>Audit Sign-off:</w:t>
        <w:br/>
        <w:t>Verified against repository filesystem, data pipelines, output tables, and compiled reports.</w:t>
        <w:br/>
        <w:t>Report Output: PROJECT_STATUS_REPORT.pdf | Date: October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