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97D"/>
          <w:sz w:val="36"/>
        </w:rPr>
        <w:t>Predictive Risk Identification for Diabetes and Heart Disease</w:t>
      </w:r>
    </w:p>
    <w:p>
      <w:pPr>
        <w:spacing w:before="0" w:after="120"/>
        <w:jc w:val="center"/>
      </w:pPr>
      <w:r>
        <w:rPr>
          <w:rFonts w:ascii="Calibri" w:hAnsi="Calibri"/>
          <w:i/>
          <w:color w:val="646464"/>
          <w:sz w:val="21"/>
        </w:rPr>
        <w:t>Stage 2 Technical Report: Unsupervised Clustering, Manifold Dimensionality Reduction, and Outlier Diagnostics</w:t>
      </w:r>
    </w:p>
    <w:p>
      <w:pPr>
        <w:spacing w:before="0" w:after="200"/>
        <w:jc w:val="center"/>
      </w:pPr>
      <w:r>
        <w:rPr>
          <w:rFonts w:ascii="Calibri" w:hAnsi="Calibri"/>
          <w:b/>
          <w:color w:val="2B5C8F"/>
          <w:sz w:val="17"/>
        </w:rPr>
        <w:t>Team Data Mining Course Project Report (Stage 2 Deliverable) | Reproducibility Seed: random_state = 42</w:t>
      </w:r>
    </w:p>
    <w:p>
      <w:pPr>
        <w:pStyle w:val="Heading1"/>
        <w:spacing w:before="160" w:after="40"/>
      </w:pPr>
      <w:r>
        <w:t>Introduction &amp; Stage 1 Integration Recap</w:t>
      </w:r>
    </w:p>
    <w:p>
      <w:r>
        <w:t>Cardiometabolic diseases—predominantly Type 2 Diabetes Mellitus (T2D) and Coronary Heart Disease (CHD)—constitute the foremost global drivers of adult morbidity and preventable healthcare expenditure. Rather than operating as independent pathologies, modern clinical epidemiology demonstrates that diabetes and cardiovascular disease share a unified systemic pathophysiological continuum: chronic insulin resistance, atherogenic dyslipidemia, microvascular and macrovascular endothelial inflammation, and arterial hypertension. Uncovering the latent phenotypic clusters and multi-dimensional risk manifolds underlying these conditions is vital for preventative clinical triage.</w:t>
      </w:r>
    </w:p>
    <w:p>
      <w:r>
        <w:t>In Mid-Report 1, our research team established a rigorous, audit-controlled data foundation across four core datasets: (1) UCI Pima Indians Diabetes (diabetes.csv, N=768), where an audit of 'hidden zeros' converted 652 impossible biological values (e.g., glucose, blood pressure, and BMI of zero) to explicit missing values; (2) UCI Cleveland Heart Disease (heart_cleveland_upload.csv, N=297), where genuine clinical pathologies—including an extreme cholesterol record of 564 mg/dL representing familial hypercholesterolemia—were validated and preserved; (3) CDC BRFSS 2015 Health Indicators (diabetes_binary_health_indicators_BRFSS2015.csv, N=253,680), which recorded both diabetes and heart disease outcomes on the exact same respondents; and (4) an integrated vertical cohort (N=26,065). Mid-Report 1 analyzed missingness mechanisms, standardized features, and executed frequent pattern mining (Apriori and FP-Growth) to uncover multi-factor association rules.</w:t>
      </w:r>
    </w:p>
    <w:p>
      <w:r>
        <w:t>Stage 2 extends this empirical foundation into advanced unsupervised data mining. Specifically, we investigate three interconnected analytical pillars: (1) Clustering Analysis to identify natural risk phenotypes and clinical subgroups; (2) Dimensionality Reduction via Principal Component Analysis (PCA) and t-Distributed Stochastic Neighbor Embedding (t-SNE) to untangle multi-collinear risk factors, visualize high-dimensional manifolds, and compress feature space; and (3) Outlier Detection via Isolation Forests and Local Outlier Factor (LOF) to distinguish genuine life-threatening multi-morbidity crises from recording artifacts, evaluating their impact on model stability. All analytical steps are grounded in Python (scikit-learn, scipy, pandas, numpy, seaborn) with random_state=42 strictly enforced.</w:t>
      </w:r>
    </w:p>
    <w:p>
      <w:pPr>
        <w:pStyle w:val="Heading1"/>
        <w:spacing w:before="180" w:after="40"/>
      </w:pPr>
      <w:r>
        <w:t>1. Clustering Analysis</w:t>
      </w:r>
    </w:p>
    <w:p>
      <w:r>
        <w:t>To discover unobserved patient risk segments without relying on supervised labels, we applied three distinct clustering paradigms to our standardized multi-risk cohort: (1) K-Means (centroid-based spherical partitioning), (2) Hierarchical Agglomerative Clustering (connectivity-based variance minimization with Ward's linkage), and (3) Density-Based Spatial Clustering of Applications with Noise (DBSCAN). Features included standardized clinical and lifestyle predictors: Age, Body Mass Index (BMI), General Health, Physical Health Impairment Days, Mental Health Impairment Days, Hypertension Status, High Cholesterol Status, Smoking History, Physical Activity, Household Income, and Education.</w:t>
      </w:r>
    </w:p>
    <w:p>
      <w:pPr>
        <w:pStyle w:val="Heading2"/>
        <w:spacing w:before="120" w:after="40"/>
      </w:pPr>
      <w:r>
        <w:t>1.1 Hyperparameter Optimization &amp; Mathematical Justification</w:t>
      </w:r>
    </w:p>
    <w:p>
      <w:r>
        <w:t xml:space="preserve">Cluster cardinality and boundary thresholds were determined through rigorous diagnostic optimization: </w:t>
        <w:br/>
        <w:t>• K-Means Cluster Count (k): Evaluated across k in [2, 10] using within-cluster sum of squares (WCSS / Inertia) and mean silhouette coefficients. As illustrated in Figure 1, the WCSS trajectory exhibits a sharp inflection ('elbow knee') at k=3 (Inertia = 45,710.2), where the rate of variance reduction decelerates markedly. Concurrently, the silhouette coefficient attains an optimal local peak at k=3 (Silhouette = 0.1534), confirming that partitioning the cohort into three risk tiers maximizes mathematical parsimony while preventing artificial fragmentation.</w:t>
        <w:br/>
        <w:t>• DBSCAN Neighborhood Parameters (eps and minPts): In d=11 dimensions, the core neighborhood size was set to minPts = 5 based on dimensional heuristics (minPts &gt;= d + 1). To determine the optimal radius (eps), a sorted 5-nearest-neighbor (5-NN) distance graph was constructed (Figure 2). The distance curve displays a pronounced elbow knee at eps = 2.40. Below this threshold, point density collapses into excessive noise; above it, distinct clusters merge into an undifferentiated mega-cluster.</w:t>
        <w:br/>
        <w:t>• Hierarchical Linkage and Distance Metric: Agglomerative clustering was executed using Euclidean distance paired with Ward's minimum-variance criterion (linkage='ward'). Ward's objective minimizes the total within-cluster variance growth at each iterative merge step. The resulting cophenetic dendrogram (Figure 3) reveals three prominent primary branches that fuse at a cophenetic merge distance above 18.0, corroborating the 3-cluster partition.</w:t>
      </w:r>
    </w:p>
    <w:p>
      <w:pPr>
        <w:keepNext/>
        <w:spacing w:before="120" w:after="40"/>
        <w:jc w:val="center"/>
      </w:pPr>
      <w:r>
        <w:drawing>
          <wp:inline xmlns:a="http://schemas.openxmlformats.org/drawingml/2006/main" xmlns:pic="http://schemas.openxmlformats.org/drawingml/2006/picture">
            <wp:extent cx="4937760" cy="2158492"/>
            <wp:docPr id="1" name="Picture 1"/>
            <wp:cNvGraphicFramePr>
              <a:graphicFrameLocks noChangeAspect="1"/>
            </wp:cNvGraphicFramePr>
            <a:graphic>
              <a:graphicData uri="http://schemas.openxmlformats.org/drawingml/2006/picture">
                <pic:pic>
                  <pic:nvPicPr>
                    <pic:cNvPr id="0" name="stage2_fig1_kmeans_elbow_silhouette.png"/>
                    <pic:cNvPicPr/>
                  </pic:nvPicPr>
                  <pic:blipFill>
                    <a:blip r:embed="rId9"/>
                    <a:stretch>
                      <a:fillRect/>
                    </a:stretch>
                  </pic:blipFill>
                  <pic:spPr>
                    <a:xfrm>
                      <a:off x="0" y="0"/>
                      <a:ext cx="4937760" cy="2158492"/>
                    </a:xfrm>
                    <a:prstGeom prst="rect"/>
                  </pic:spPr>
                </pic:pic>
              </a:graphicData>
            </a:graphic>
          </wp:inline>
        </w:drawing>
      </w:r>
    </w:p>
    <w:p>
      <w:pPr>
        <w:keepNext/>
        <w:spacing w:before="40" w:after="20"/>
        <w:jc w:val="center"/>
      </w:pPr>
      <w:r>
        <w:rPr>
          <w:rFonts w:ascii="Calibri" w:hAnsi="Calibri"/>
          <w:b/>
          <w:color w:val="1F497D"/>
          <w:sz w:val="18"/>
        </w:rPr>
        <w:t>Figure 1: K-Means Optimization Curves — Within-Cluster Sum of Squares (Inertia) and Mean Silhouette Coefficient across k ∈ [2, 10]</w:t>
      </w:r>
    </w:p>
    <w:p>
      <w:pPr>
        <w:spacing w:before="20" w:after="100"/>
        <w:jc w:val="center"/>
      </w:pPr>
      <w:r>
        <w:rPr>
          <w:rFonts w:ascii="Calibri" w:hAnsi="Calibri"/>
          <w:b/>
          <w:color w:val="B43214"/>
          <w:sz w:val="17"/>
        </w:rPr>
        <w:t xml:space="preserve">Key Takeaway: </w:t>
      </w:r>
      <w:r>
        <w:rPr>
          <w:rFonts w:ascii="Calibri" w:hAnsi="Calibri"/>
          <w:i/>
          <w:color w:val="3C3C3C"/>
          <w:sz w:val="17"/>
        </w:rPr>
        <w:t>The WCSS elbow knee and peak local silhouette coefficient simultaneously identify k=3 as the mathematically optimal cluster partition.</w:t>
      </w:r>
    </w:p>
    <w:p>
      <w:pPr>
        <w:keepNext/>
        <w:spacing w:before="120" w:after="40"/>
        <w:jc w:val="center"/>
      </w:pPr>
      <w:r>
        <w:drawing>
          <wp:inline xmlns:a="http://schemas.openxmlformats.org/drawingml/2006/main" xmlns:pic="http://schemas.openxmlformats.org/drawingml/2006/picture">
            <wp:extent cx="4937760" cy="2996460"/>
            <wp:docPr id="2" name="Picture 2"/>
            <wp:cNvGraphicFramePr>
              <a:graphicFrameLocks noChangeAspect="1"/>
            </wp:cNvGraphicFramePr>
            <a:graphic>
              <a:graphicData uri="http://schemas.openxmlformats.org/drawingml/2006/picture">
                <pic:pic>
                  <pic:nvPicPr>
                    <pic:cNvPr id="0" name="stage2_fig2_dbscan_kdistance.png"/>
                    <pic:cNvPicPr/>
                  </pic:nvPicPr>
                  <pic:blipFill>
                    <a:blip r:embed="rId10"/>
                    <a:stretch>
                      <a:fillRect/>
                    </a:stretch>
                  </pic:blipFill>
                  <pic:spPr>
                    <a:xfrm>
                      <a:off x="0" y="0"/>
                      <a:ext cx="4937760" cy="2996460"/>
                    </a:xfrm>
                    <a:prstGeom prst="rect"/>
                  </pic:spPr>
                </pic:pic>
              </a:graphicData>
            </a:graphic>
          </wp:inline>
        </w:drawing>
      </w:r>
    </w:p>
    <w:p>
      <w:pPr>
        <w:keepNext/>
        <w:spacing w:before="40" w:after="20"/>
        <w:jc w:val="center"/>
      </w:pPr>
      <w:r>
        <w:rPr>
          <w:rFonts w:ascii="Calibri" w:hAnsi="Calibri"/>
          <w:b/>
          <w:color w:val="1F497D"/>
          <w:sz w:val="18"/>
        </w:rPr>
        <w:t>Figure 2: Sorted 5-Nearest Neighbor Distance Curve for DBSCAN Neighborhood Tuning (minPts = 5)</w:t>
      </w:r>
    </w:p>
    <w:p>
      <w:pPr>
        <w:spacing w:before="20" w:after="100"/>
        <w:jc w:val="center"/>
      </w:pPr>
      <w:r>
        <w:rPr>
          <w:rFonts w:ascii="Calibri" w:hAnsi="Calibri"/>
          <w:b/>
          <w:color w:val="B43214"/>
          <w:sz w:val="17"/>
        </w:rPr>
        <w:t xml:space="preserve">Key Takeaway: </w:t>
      </w:r>
      <w:r>
        <w:rPr>
          <w:rFonts w:ascii="Calibri" w:hAnsi="Calibri"/>
          <w:i/>
          <w:color w:val="3C3C3C"/>
          <w:sz w:val="17"/>
        </w:rPr>
        <w:t>The sharp knee transition at eps = 2.40 establishes the boundary between core high-density patient manifolds and peripheral sparse noise.</w:t>
      </w:r>
    </w:p>
    <w:p>
      <w:pPr>
        <w:keepNext/>
        <w:spacing w:before="120" w:after="40"/>
        <w:jc w:val="center"/>
      </w:pPr>
      <w:r>
        <w:drawing>
          <wp:inline xmlns:a="http://schemas.openxmlformats.org/drawingml/2006/main" xmlns:pic="http://schemas.openxmlformats.org/drawingml/2006/picture">
            <wp:extent cx="4937760" cy="2532811"/>
            <wp:docPr id="3" name="Picture 3"/>
            <wp:cNvGraphicFramePr>
              <a:graphicFrameLocks noChangeAspect="1"/>
            </wp:cNvGraphicFramePr>
            <a:graphic>
              <a:graphicData uri="http://schemas.openxmlformats.org/drawingml/2006/picture">
                <pic:pic>
                  <pic:nvPicPr>
                    <pic:cNvPr id="0" name="stage2_fig3_hierarchical_dendrogram.png"/>
                    <pic:cNvPicPr/>
                  </pic:nvPicPr>
                  <pic:blipFill>
                    <a:blip r:embed="rId11"/>
                    <a:stretch>
                      <a:fillRect/>
                    </a:stretch>
                  </pic:blipFill>
                  <pic:spPr>
                    <a:xfrm>
                      <a:off x="0" y="0"/>
                      <a:ext cx="4937760" cy="2532811"/>
                    </a:xfrm>
                    <a:prstGeom prst="rect"/>
                  </pic:spPr>
                </pic:pic>
              </a:graphicData>
            </a:graphic>
          </wp:inline>
        </w:drawing>
      </w:r>
    </w:p>
    <w:p>
      <w:pPr>
        <w:keepNext/>
        <w:spacing w:before="40" w:after="20"/>
        <w:jc w:val="center"/>
      </w:pPr>
      <w:r>
        <w:rPr>
          <w:rFonts w:ascii="Calibri" w:hAnsi="Calibri"/>
          <w:b/>
          <w:color w:val="1F497D"/>
          <w:sz w:val="18"/>
        </w:rPr>
        <w:t>Figure 3: Hierarchical Agglomerative Clustering Dendrogram (Ward Linkage, Euclidean Distance, Truncated p=25)</w:t>
      </w:r>
    </w:p>
    <w:p>
      <w:pPr>
        <w:spacing w:before="20" w:after="100"/>
        <w:jc w:val="center"/>
      </w:pPr>
      <w:r>
        <w:rPr>
          <w:rFonts w:ascii="Calibri" w:hAnsi="Calibri"/>
          <w:b/>
          <w:color w:val="B43214"/>
          <w:sz w:val="17"/>
        </w:rPr>
        <w:t xml:space="preserve">Key Takeaway: </w:t>
      </w:r>
      <w:r>
        <w:rPr>
          <w:rFonts w:ascii="Calibri" w:hAnsi="Calibri"/>
          <w:i/>
          <w:color w:val="3C3C3C"/>
          <w:sz w:val="17"/>
        </w:rPr>
        <w:t>The horizontal distance cut at height 18.0 cleanly delineates three primary cluster lineages before cophenetic distance escalates.</w:t>
      </w:r>
    </w:p>
    <w:p>
      <w:pPr>
        <w:pStyle w:val="Heading2"/>
        <w:spacing w:before="120" w:after="40"/>
      </w:pPr>
      <w:r>
        <w:t>1.2 Health Domain Interpretation &amp; Clinical Actionability</w:t>
      </w:r>
    </w:p>
    <w:p>
      <w:r>
        <w:t>To assess clinical validity, we profiled the resulting K-Means clusters against health metrics and empirical disease diagnoses (Table 1). The three clusters uncover highly distinct, biologically coherent stages along the cardiometabolic disease spectrum:</w:t>
        <w:br/>
        <w:t>1. Cluster 0 — 'Low-Risk / Active Baseline Cohort' (N=2,339; 46.8% of sample): Characterized by an average estimated age of 49.6 years, mean BMI of 26.9 kg/m² (mildly overweight, well below clinical obesity), high physical activity (87.7%), and minimal physical impairment (1.1 days/month). Baseline hypertension (8.0%) and high cholesterol (18.1%) are remarkably low. Crucially, empirical diabetes prevalence is only 3.2% and coronary heart disease is only 1.8%. This represents a resilient, lifestyle-protected cohort requiring primary wellness maintenance.</w:t>
        <w:br/>
        <w:t>2. Cluster 1 — 'Moderate-Risk / Overweight Metabolic Segment' (N=1,956; 39.1% of sample): Patients are older (mean age 65.7 years) with an elevated mean BMI of 29.5 kg/m² (borderline clinical obesity). Despite maintaining fair physical activity (68.8%) and low disability days (1.5 days/month), this cluster exhibits pervasive vascular and lipid degeneration: 78.3% suffer from hypertension and 67.6% from hypercholesterolemia. Consequently, diabetes prevalence escalates nearly 7-fold to 21.6% and heart disease jumps 8-fold to 14.4%. This is a high-leverage pre-symptomatic segment where aggressive dietary, exercise, and blood pressure interventions can arrest progression toward end-organ complications.</w:t>
        <w:br/>
        <w:t>3. Cluster 2 — 'High-Risk / Multi-Morbidity Crisis Segment' (N=705; 14.1% of sample): Represents severe systemic disease burden. Despite an average age of 59.1 years (younger than Cluster 1), these individuals have a mean BMI of 31.0 kg/m² (Class I clinical obesity), high smoking rates (59.9%), poor physical activity (50.5%), and catastrophic physical disability (mean 21.4 days of poor physical health per month out of 30) paired with heavy mental health burden (13.0 days/month). In this cluster, diabetes prevalence reaches 27.0% and heart disease reaches 23.0% (nearly 1 in 4). This group represents an actionable crisis segment requiring multidisciplinary clinical care, glycemic stabilization, and close cardiovascular monitoring.</w:t>
      </w:r>
    </w:p>
    <w:p>
      <w:pPr>
        <w:keepNext/>
        <w:spacing w:before="120" w:after="40"/>
      </w:pPr>
      <w:r>
        <w:rPr>
          <w:rFonts w:ascii="Calibri" w:hAnsi="Calibri"/>
          <w:b/>
          <w:color w:val="1F497D"/>
          <w:sz w:val="18"/>
        </w:rPr>
        <w:t>Table 1: Clinical and Demographic Health Profiles across Unsupervised K-Means Risk Clusters (N=5,000)</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1F497D"/>
            <w:tcMar>
              <w:top w:w="90" w:type="dxa"/>
              <w:bottom w:w="90" w:type="dxa"/>
              <w:left w:w="100" w:type="dxa"/>
              <w:right w:w="100" w:type="dxa"/>
            </w:tcMar>
          </w:tcPr>
          <w:p>
            <w:pPr>
              <w:jc w:val="center"/>
            </w:pPr>
            <w:r>
              <w:rPr>
                <w:rFonts w:ascii="Calibri" w:hAnsi="Calibri"/>
                <w:b/>
                <w:color w:val="FFFFFF"/>
                <w:sz w:val="15"/>
              </w:rPr>
              <w:t>Cluster Id</w:t>
            </w:r>
          </w:p>
        </w:tc>
        <w:tc>
          <w:tcPr>
            <w:tcW w:type="dxa" w:w="720"/>
            <w:shd w:fill="1F497D"/>
            <w:tcMar>
              <w:top w:w="90" w:type="dxa"/>
              <w:bottom w:w="90" w:type="dxa"/>
              <w:left w:w="100" w:type="dxa"/>
              <w:right w:w="100" w:type="dxa"/>
            </w:tcMar>
          </w:tcPr>
          <w:p>
            <w:pPr>
              <w:jc w:val="center"/>
            </w:pPr>
            <w:r>
              <w:rPr>
                <w:rFonts w:ascii="Calibri" w:hAnsi="Calibri"/>
                <w:b/>
                <w:color w:val="FFFFFF"/>
                <w:sz w:val="15"/>
              </w:rPr>
              <w:t>Clinical Designation</w:t>
            </w:r>
          </w:p>
        </w:tc>
        <w:tc>
          <w:tcPr>
            <w:tcW w:type="dxa" w:w="720"/>
            <w:shd w:fill="1F497D"/>
            <w:tcMar>
              <w:top w:w="90" w:type="dxa"/>
              <w:bottom w:w="90" w:type="dxa"/>
              <w:left w:w="100" w:type="dxa"/>
              <w:right w:w="100" w:type="dxa"/>
            </w:tcMar>
          </w:tcPr>
          <w:p>
            <w:pPr>
              <w:jc w:val="center"/>
            </w:pPr>
            <w:r>
              <w:rPr>
                <w:rFonts w:ascii="Calibri" w:hAnsi="Calibri"/>
                <w:b/>
                <w:color w:val="FFFFFF"/>
                <w:sz w:val="15"/>
              </w:rPr>
              <w:t>Sample Size N</w:t>
            </w:r>
          </w:p>
        </w:tc>
        <w:tc>
          <w:tcPr>
            <w:tcW w:type="dxa" w:w="720"/>
            <w:shd w:fill="1F497D"/>
            <w:tcMar>
              <w:top w:w="90" w:type="dxa"/>
              <w:bottom w:w="90" w:type="dxa"/>
              <w:left w:w="100" w:type="dxa"/>
              <w:right w:w="100" w:type="dxa"/>
            </w:tcMar>
          </w:tcPr>
          <w:p>
            <w:pPr>
              <w:jc w:val="center"/>
            </w:pPr>
            <w:r>
              <w:rPr>
                <w:rFonts w:ascii="Calibri" w:hAnsi="Calibri"/>
                <w:b/>
                <w:color w:val="FFFFFF"/>
                <w:sz w:val="15"/>
              </w:rPr>
              <w:t>Percent Cohort</w:t>
            </w:r>
          </w:p>
        </w:tc>
        <w:tc>
          <w:tcPr>
            <w:tcW w:type="dxa" w:w="720"/>
            <w:shd w:fill="1F497D"/>
            <w:tcMar>
              <w:top w:w="90" w:type="dxa"/>
              <w:bottom w:w="90" w:type="dxa"/>
              <w:left w:w="100" w:type="dxa"/>
              <w:right w:w="100" w:type="dxa"/>
            </w:tcMar>
          </w:tcPr>
          <w:p>
            <w:pPr>
              <w:jc w:val="center"/>
            </w:pPr>
            <w:r>
              <w:rPr>
                <w:rFonts w:ascii="Calibri" w:hAnsi="Calibri"/>
                <w:b/>
                <w:color w:val="FFFFFF"/>
                <w:sz w:val="15"/>
              </w:rPr>
              <w:t>Avg Age Years</w:t>
            </w:r>
          </w:p>
        </w:tc>
        <w:tc>
          <w:tcPr>
            <w:tcW w:type="dxa" w:w="720"/>
            <w:shd w:fill="1F497D"/>
            <w:tcMar>
              <w:top w:w="90" w:type="dxa"/>
              <w:bottom w:w="90" w:type="dxa"/>
              <w:left w:w="100" w:type="dxa"/>
              <w:right w:w="100" w:type="dxa"/>
            </w:tcMar>
          </w:tcPr>
          <w:p>
            <w:pPr>
              <w:jc w:val="center"/>
            </w:pPr>
            <w:r>
              <w:rPr>
                <w:rFonts w:ascii="Calibri" w:hAnsi="Calibri"/>
                <w:b/>
                <w:color w:val="FFFFFF"/>
                <w:sz w:val="15"/>
              </w:rPr>
              <w:t>Avg Bmi</w:t>
            </w:r>
          </w:p>
        </w:tc>
        <w:tc>
          <w:tcPr>
            <w:tcW w:type="dxa" w:w="720"/>
            <w:shd w:fill="1F497D"/>
            <w:tcMar>
              <w:top w:w="90" w:type="dxa"/>
              <w:bottom w:w="90" w:type="dxa"/>
              <w:left w:w="100" w:type="dxa"/>
              <w:right w:w="100" w:type="dxa"/>
            </w:tcMar>
          </w:tcPr>
          <w:p>
            <w:pPr>
              <w:jc w:val="center"/>
            </w:pPr>
            <w:r>
              <w:rPr>
                <w:rFonts w:ascii="Calibri" w:hAnsi="Calibri"/>
                <w:b/>
                <w:color w:val="FFFFFF"/>
                <w:sz w:val="15"/>
              </w:rPr>
              <w:t>Hypertension Rate Pct</w:t>
            </w:r>
          </w:p>
        </w:tc>
        <w:tc>
          <w:tcPr>
            <w:tcW w:type="dxa" w:w="720"/>
            <w:shd w:fill="1F497D"/>
            <w:tcMar>
              <w:top w:w="90" w:type="dxa"/>
              <w:bottom w:w="90" w:type="dxa"/>
              <w:left w:w="100" w:type="dxa"/>
              <w:right w:w="100" w:type="dxa"/>
            </w:tcMar>
          </w:tcPr>
          <w:p>
            <w:pPr>
              <w:jc w:val="center"/>
            </w:pPr>
            <w:r>
              <w:rPr>
                <w:rFonts w:ascii="Calibri" w:hAnsi="Calibri"/>
                <w:b/>
                <w:color w:val="FFFFFF"/>
                <w:sz w:val="15"/>
              </w:rPr>
              <w:t>High Cholesterol Pct</w:t>
            </w:r>
          </w:p>
        </w:tc>
        <w:tc>
          <w:tcPr>
            <w:tcW w:type="dxa" w:w="720"/>
            <w:shd w:fill="1F497D"/>
            <w:tcMar>
              <w:top w:w="90" w:type="dxa"/>
              <w:bottom w:w="90" w:type="dxa"/>
              <w:left w:w="100" w:type="dxa"/>
              <w:right w:w="100" w:type="dxa"/>
            </w:tcMar>
          </w:tcPr>
          <w:p>
            <w:pPr>
              <w:jc w:val="center"/>
            </w:pPr>
            <w:r>
              <w:rPr>
                <w:rFonts w:ascii="Calibri" w:hAnsi="Calibri"/>
                <w:b/>
                <w:color w:val="FFFFFF"/>
                <w:sz w:val="15"/>
              </w:rPr>
              <w:t>Smoker Rate Pct</w:t>
            </w:r>
          </w:p>
        </w:tc>
        <w:tc>
          <w:tcPr>
            <w:tcW w:type="dxa" w:w="720"/>
            <w:shd w:fill="1F497D"/>
            <w:tcMar>
              <w:top w:w="90" w:type="dxa"/>
              <w:bottom w:w="90" w:type="dxa"/>
              <w:left w:w="100" w:type="dxa"/>
              <w:right w:w="100" w:type="dxa"/>
            </w:tcMar>
          </w:tcPr>
          <w:p>
            <w:pPr>
              <w:jc w:val="center"/>
            </w:pPr>
            <w:r>
              <w:rPr>
                <w:rFonts w:ascii="Calibri" w:hAnsi="Calibri"/>
                <w:b/>
                <w:color w:val="FFFFFF"/>
                <w:sz w:val="15"/>
              </w:rPr>
              <w:t>Phys Activity Pct</w:t>
            </w:r>
          </w:p>
        </w:tc>
        <w:tc>
          <w:tcPr>
            <w:tcW w:type="dxa" w:w="720"/>
            <w:shd w:fill="1F497D"/>
            <w:tcMar>
              <w:top w:w="90" w:type="dxa"/>
              <w:bottom w:w="90" w:type="dxa"/>
              <w:left w:w="100" w:type="dxa"/>
              <w:right w:w="100" w:type="dxa"/>
            </w:tcMar>
          </w:tcPr>
          <w:p>
            <w:pPr>
              <w:jc w:val="center"/>
            </w:pPr>
            <w:r>
              <w:rPr>
                <w:rFonts w:ascii="Calibri" w:hAnsi="Calibri"/>
                <w:b/>
                <w:color w:val="FFFFFF"/>
                <w:sz w:val="15"/>
              </w:rPr>
              <w:t>Avg Poor Phys Days</w:t>
            </w:r>
          </w:p>
        </w:tc>
        <w:tc>
          <w:tcPr>
            <w:tcW w:type="dxa" w:w="720"/>
            <w:shd w:fill="1F497D"/>
            <w:tcMar>
              <w:top w:w="90" w:type="dxa"/>
              <w:bottom w:w="90" w:type="dxa"/>
              <w:left w:w="100" w:type="dxa"/>
              <w:right w:w="100" w:type="dxa"/>
            </w:tcMar>
          </w:tcPr>
          <w:p>
            <w:pPr>
              <w:jc w:val="center"/>
            </w:pPr>
            <w:r>
              <w:rPr>
                <w:rFonts w:ascii="Calibri" w:hAnsi="Calibri"/>
                <w:b/>
                <w:color w:val="FFFFFF"/>
                <w:sz w:val="15"/>
              </w:rPr>
              <w:t>Avg Poor Ment Days</w:t>
            </w:r>
          </w:p>
        </w:tc>
        <w:tc>
          <w:tcPr>
            <w:tcW w:type="dxa" w:w="720"/>
            <w:shd w:fill="1F497D"/>
            <w:tcMar>
              <w:top w:w="90" w:type="dxa"/>
              <w:bottom w:w="90" w:type="dxa"/>
              <w:left w:w="100" w:type="dxa"/>
              <w:right w:w="100" w:type="dxa"/>
            </w:tcMar>
          </w:tcPr>
          <w:p>
            <w:pPr>
              <w:jc w:val="center"/>
            </w:pPr>
            <w:r>
              <w:rPr>
                <w:rFonts w:ascii="Calibri" w:hAnsi="Calibri"/>
                <w:b/>
                <w:color w:val="FFFFFF"/>
                <w:sz w:val="15"/>
              </w:rPr>
              <w:t>Diabetes Prevalence Pct</w:t>
            </w:r>
          </w:p>
        </w:tc>
        <w:tc>
          <w:tcPr>
            <w:tcW w:type="dxa" w:w="720"/>
            <w:shd w:fill="1F497D"/>
            <w:tcMar>
              <w:top w:w="90" w:type="dxa"/>
              <w:bottom w:w="90" w:type="dxa"/>
              <w:left w:w="100" w:type="dxa"/>
              <w:right w:w="100" w:type="dxa"/>
            </w:tcMar>
          </w:tcPr>
          <w:p>
            <w:pPr>
              <w:jc w:val="center"/>
            </w:pPr>
            <w:r>
              <w:rPr>
                <w:rFonts w:ascii="Calibri" w:hAnsi="Calibri"/>
                <w:b/>
                <w:color w:val="FFFFFF"/>
                <w:sz w:val="15"/>
              </w:rPr>
              <w:t>Heart Disease Pct</w:t>
            </w:r>
          </w:p>
        </w:tc>
      </w:tr>
      <w:tr>
        <w:tc>
          <w:tcPr>
            <w:tcW w:type="dxa" w:w="720"/>
            <w:shd w:fill="FFFFFF"/>
            <w:tcMar>
              <w:top w:w="50" w:type="dxa"/>
              <w:bottom w:w="50" w:type="dxa"/>
              <w:left w:w="80" w:type="dxa"/>
              <w:right w:w="80" w:type="dxa"/>
            </w:tcMar>
          </w:tcPr>
          <w:p>
            <w:pPr>
              <w:jc w:val="left"/>
            </w:pPr>
            <w:r>
              <w:rPr>
                <w:rFonts w:ascii="Calibri" w:hAnsi="Calibri"/>
                <w:color w:val="282828"/>
                <w:sz w:val="15"/>
              </w:rPr>
              <w:t>Cluster 0</w:t>
            </w:r>
          </w:p>
        </w:tc>
        <w:tc>
          <w:tcPr>
            <w:tcW w:type="dxa" w:w="720"/>
            <w:shd w:fill="FFFFFF"/>
            <w:tcMar>
              <w:top w:w="50" w:type="dxa"/>
              <w:bottom w:w="50" w:type="dxa"/>
              <w:left w:w="80" w:type="dxa"/>
              <w:right w:w="80" w:type="dxa"/>
            </w:tcMar>
          </w:tcPr>
          <w:p>
            <w:pPr>
              <w:jc w:val="left"/>
            </w:pPr>
            <w:r>
              <w:rPr>
                <w:rFonts w:ascii="Calibri" w:hAnsi="Calibri"/>
                <w:color w:val="282828"/>
                <w:sz w:val="15"/>
              </w:rPr>
              <w:t>Cluster 0: Low-Risk / Active Young Cohort</w:t>
            </w:r>
          </w:p>
        </w:tc>
        <w:tc>
          <w:tcPr>
            <w:tcW w:type="dxa" w:w="720"/>
            <w:shd w:fill="FFFFFF"/>
            <w:tcMar>
              <w:top w:w="50" w:type="dxa"/>
              <w:bottom w:w="50" w:type="dxa"/>
              <w:left w:w="80" w:type="dxa"/>
              <w:right w:w="80" w:type="dxa"/>
            </w:tcMar>
          </w:tcPr>
          <w:p>
            <w:pPr>
              <w:jc w:val="center"/>
            </w:pPr>
            <w:r>
              <w:rPr>
                <w:rFonts w:ascii="Calibri" w:hAnsi="Calibri"/>
                <w:color w:val="282828"/>
                <w:sz w:val="15"/>
              </w:rPr>
              <w:t>2339</w:t>
            </w:r>
          </w:p>
        </w:tc>
        <w:tc>
          <w:tcPr>
            <w:tcW w:type="dxa" w:w="720"/>
            <w:shd w:fill="FFFFFF"/>
            <w:tcMar>
              <w:top w:w="50" w:type="dxa"/>
              <w:bottom w:w="50" w:type="dxa"/>
              <w:left w:w="80" w:type="dxa"/>
              <w:right w:w="80" w:type="dxa"/>
            </w:tcMar>
          </w:tcPr>
          <w:p>
            <w:pPr>
              <w:jc w:val="center"/>
            </w:pPr>
            <w:r>
              <w:rPr>
                <w:rFonts w:ascii="Calibri" w:hAnsi="Calibri"/>
                <w:color w:val="282828"/>
                <w:sz w:val="15"/>
              </w:rPr>
              <w:t>46.80</w:t>
            </w:r>
          </w:p>
        </w:tc>
        <w:tc>
          <w:tcPr>
            <w:tcW w:type="dxa" w:w="720"/>
            <w:shd w:fill="FFFFFF"/>
            <w:tcMar>
              <w:top w:w="50" w:type="dxa"/>
              <w:bottom w:w="50" w:type="dxa"/>
              <w:left w:w="80" w:type="dxa"/>
              <w:right w:w="80" w:type="dxa"/>
            </w:tcMar>
          </w:tcPr>
          <w:p>
            <w:pPr>
              <w:jc w:val="center"/>
            </w:pPr>
            <w:r>
              <w:rPr>
                <w:rFonts w:ascii="Calibri" w:hAnsi="Calibri"/>
                <w:color w:val="282828"/>
                <w:sz w:val="15"/>
              </w:rPr>
              <w:t>49.60</w:t>
            </w:r>
          </w:p>
        </w:tc>
        <w:tc>
          <w:tcPr>
            <w:tcW w:type="dxa" w:w="720"/>
            <w:shd w:fill="FFFFFF"/>
            <w:tcMar>
              <w:top w:w="50" w:type="dxa"/>
              <w:bottom w:w="50" w:type="dxa"/>
              <w:left w:w="80" w:type="dxa"/>
              <w:right w:w="80" w:type="dxa"/>
            </w:tcMar>
          </w:tcPr>
          <w:p>
            <w:pPr>
              <w:jc w:val="center"/>
            </w:pPr>
            <w:r>
              <w:rPr>
                <w:rFonts w:ascii="Calibri" w:hAnsi="Calibri"/>
                <w:color w:val="282828"/>
                <w:sz w:val="15"/>
              </w:rPr>
              <w:t>26.90</w:t>
            </w:r>
          </w:p>
        </w:tc>
        <w:tc>
          <w:tcPr>
            <w:tcW w:type="dxa" w:w="720"/>
            <w:shd w:fill="FFFFFF"/>
            <w:tcMar>
              <w:top w:w="50" w:type="dxa"/>
              <w:bottom w:w="50" w:type="dxa"/>
              <w:left w:w="80" w:type="dxa"/>
              <w:right w:w="80" w:type="dxa"/>
            </w:tcMar>
          </w:tcPr>
          <w:p>
            <w:pPr>
              <w:jc w:val="center"/>
            </w:pPr>
            <w:r>
              <w:rPr>
                <w:rFonts w:ascii="Calibri" w:hAnsi="Calibri"/>
                <w:color w:val="282828"/>
                <w:sz w:val="15"/>
              </w:rPr>
              <w:t>8.00</w:t>
            </w:r>
          </w:p>
        </w:tc>
        <w:tc>
          <w:tcPr>
            <w:tcW w:type="dxa" w:w="720"/>
            <w:shd w:fill="FFFFFF"/>
            <w:tcMar>
              <w:top w:w="50" w:type="dxa"/>
              <w:bottom w:w="50" w:type="dxa"/>
              <w:left w:w="80" w:type="dxa"/>
              <w:right w:w="80" w:type="dxa"/>
            </w:tcMar>
          </w:tcPr>
          <w:p>
            <w:pPr>
              <w:jc w:val="center"/>
            </w:pPr>
            <w:r>
              <w:rPr>
                <w:rFonts w:ascii="Calibri" w:hAnsi="Calibri"/>
                <w:color w:val="282828"/>
                <w:sz w:val="15"/>
              </w:rPr>
              <w:t>18.10</w:t>
            </w:r>
          </w:p>
        </w:tc>
        <w:tc>
          <w:tcPr>
            <w:tcW w:type="dxa" w:w="720"/>
            <w:shd w:fill="FFFFFF"/>
            <w:tcMar>
              <w:top w:w="50" w:type="dxa"/>
              <w:bottom w:w="50" w:type="dxa"/>
              <w:left w:w="80" w:type="dxa"/>
              <w:right w:w="80" w:type="dxa"/>
            </w:tcMar>
          </w:tcPr>
          <w:p>
            <w:pPr>
              <w:jc w:val="center"/>
            </w:pPr>
            <w:r>
              <w:rPr>
                <w:rFonts w:ascii="Calibri" w:hAnsi="Calibri"/>
                <w:color w:val="282828"/>
                <w:sz w:val="15"/>
              </w:rPr>
              <w:t>32.00</w:t>
            </w:r>
          </w:p>
        </w:tc>
        <w:tc>
          <w:tcPr>
            <w:tcW w:type="dxa" w:w="720"/>
            <w:shd w:fill="FFFFFF"/>
            <w:tcMar>
              <w:top w:w="50" w:type="dxa"/>
              <w:bottom w:w="50" w:type="dxa"/>
              <w:left w:w="80" w:type="dxa"/>
              <w:right w:w="80" w:type="dxa"/>
            </w:tcMar>
          </w:tcPr>
          <w:p>
            <w:pPr>
              <w:jc w:val="center"/>
            </w:pPr>
            <w:r>
              <w:rPr>
                <w:rFonts w:ascii="Calibri" w:hAnsi="Calibri"/>
                <w:color w:val="282828"/>
                <w:sz w:val="15"/>
              </w:rPr>
              <w:t>87.70</w:t>
            </w:r>
          </w:p>
        </w:tc>
        <w:tc>
          <w:tcPr>
            <w:tcW w:type="dxa" w:w="720"/>
            <w:shd w:fill="FFFFFF"/>
            <w:tcMar>
              <w:top w:w="50" w:type="dxa"/>
              <w:bottom w:w="50" w:type="dxa"/>
              <w:left w:w="80" w:type="dxa"/>
              <w:right w:w="80" w:type="dxa"/>
            </w:tcMar>
          </w:tcPr>
          <w:p>
            <w:pPr>
              <w:jc w:val="center"/>
            </w:pPr>
            <w:r>
              <w:rPr>
                <w:rFonts w:ascii="Calibri" w:hAnsi="Calibri"/>
                <w:color w:val="282828"/>
                <w:sz w:val="15"/>
              </w:rPr>
              <w:t>1.10</w:t>
            </w:r>
          </w:p>
        </w:tc>
        <w:tc>
          <w:tcPr>
            <w:tcW w:type="dxa" w:w="720"/>
            <w:shd w:fill="FFFFFF"/>
            <w:tcMar>
              <w:top w:w="50" w:type="dxa"/>
              <w:bottom w:w="50" w:type="dxa"/>
              <w:left w:w="80" w:type="dxa"/>
              <w:right w:w="80" w:type="dxa"/>
            </w:tcMar>
          </w:tcPr>
          <w:p>
            <w:pPr>
              <w:jc w:val="center"/>
            </w:pPr>
            <w:r>
              <w:rPr>
                <w:rFonts w:ascii="Calibri" w:hAnsi="Calibri"/>
                <w:color w:val="282828"/>
                <w:sz w:val="15"/>
              </w:rPr>
              <w:t>1.70</w:t>
            </w:r>
          </w:p>
        </w:tc>
        <w:tc>
          <w:tcPr>
            <w:tcW w:type="dxa" w:w="720"/>
            <w:shd w:fill="FFFFFF"/>
            <w:tcMar>
              <w:top w:w="50" w:type="dxa"/>
              <w:bottom w:w="50" w:type="dxa"/>
              <w:left w:w="80" w:type="dxa"/>
              <w:right w:w="80" w:type="dxa"/>
            </w:tcMar>
          </w:tcPr>
          <w:p>
            <w:pPr>
              <w:jc w:val="center"/>
            </w:pPr>
            <w:r>
              <w:rPr>
                <w:rFonts w:ascii="Calibri" w:hAnsi="Calibri"/>
                <w:color w:val="282828"/>
                <w:sz w:val="15"/>
              </w:rPr>
              <w:t>3.20</w:t>
            </w:r>
          </w:p>
        </w:tc>
        <w:tc>
          <w:tcPr>
            <w:tcW w:type="dxa" w:w="720"/>
            <w:shd w:fill="FFFFFF"/>
            <w:tcMar>
              <w:top w:w="50" w:type="dxa"/>
              <w:bottom w:w="50" w:type="dxa"/>
              <w:left w:w="80" w:type="dxa"/>
              <w:right w:w="80" w:type="dxa"/>
            </w:tcMar>
          </w:tcPr>
          <w:p>
            <w:pPr>
              <w:jc w:val="center"/>
            </w:pPr>
            <w:r>
              <w:rPr>
                <w:rFonts w:ascii="Calibri" w:hAnsi="Calibri"/>
                <w:color w:val="282828"/>
                <w:sz w:val="15"/>
              </w:rPr>
              <w:t>1.80</w:t>
            </w:r>
          </w:p>
        </w:tc>
      </w:tr>
      <w:tr>
        <w:tc>
          <w:tcPr>
            <w:tcW w:type="dxa" w:w="720"/>
            <w:shd w:fill="F2F5F9"/>
            <w:tcMar>
              <w:top w:w="50" w:type="dxa"/>
              <w:bottom w:w="50" w:type="dxa"/>
              <w:left w:w="80" w:type="dxa"/>
              <w:right w:w="80" w:type="dxa"/>
            </w:tcMar>
          </w:tcPr>
          <w:p>
            <w:pPr>
              <w:jc w:val="left"/>
            </w:pPr>
            <w:r>
              <w:rPr>
                <w:rFonts w:ascii="Calibri" w:hAnsi="Calibri"/>
                <w:color w:val="282828"/>
                <w:sz w:val="15"/>
              </w:rPr>
              <w:t>Cluster 1</w:t>
            </w:r>
          </w:p>
        </w:tc>
        <w:tc>
          <w:tcPr>
            <w:tcW w:type="dxa" w:w="720"/>
            <w:shd w:fill="F2F5F9"/>
            <w:tcMar>
              <w:top w:w="50" w:type="dxa"/>
              <w:bottom w:w="50" w:type="dxa"/>
              <w:left w:w="80" w:type="dxa"/>
              <w:right w:w="80" w:type="dxa"/>
            </w:tcMar>
          </w:tcPr>
          <w:p>
            <w:pPr>
              <w:jc w:val="left"/>
            </w:pPr>
            <w:r>
              <w:rPr>
                <w:rFonts w:ascii="Calibri" w:hAnsi="Calibri"/>
                <w:color w:val="282828"/>
                <w:sz w:val="15"/>
              </w:rPr>
              <w:t>Cluster 1: Moderate-Risk / Overweight Metabolic</w:t>
            </w:r>
          </w:p>
        </w:tc>
        <w:tc>
          <w:tcPr>
            <w:tcW w:type="dxa" w:w="720"/>
            <w:shd w:fill="F2F5F9"/>
            <w:tcMar>
              <w:top w:w="50" w:type="dxa"/>
              <w:bottom w:w="50" w:type="dxa"/>
              <w:left w:w="80" w:type="dxa"/>
              <w:right w:w="80" w:type="dxa"/>
            </w:tcMar>
          </w:tcPr>
          <w:p>
            <w:pPr>
              <w:jc w:val="center"/>
            </w:pPr>
            <w:r>
              <w:rPr>
                <w:rFonts w:ascii="Calibri" w:hAnsi="Calibri"/>
                <w:color w:val="282828"/>
                <w:sz w:val="15"/>
              </w:rPr>
              <w:t>1956</w:t>
            </w:r>
          </w:p>
        </w:tc>
        <w:tc>
          <w:tcPr>
            <w:tcW w:type="dxa" w:w="720"/>
            <w:shd w:fill="F2F5F9"/>
            <w:tcMar>
              <w:top w:w="50" w:type="dxa"/>
              <w:bottom w:w="50" w:type="dxa"/>
              <w:left w:w="80" w:type="dxa"/>
              <w:right w:w="80" w:type="dxa"/>
            </w:tcMar>
          </w:tcPr>
          <w:p>
            <w:pPr>
              <w:jc w:val="center"/>
            </w:pPr>
            <w:r>
              <w:rPr>
                <w:rFonts w:ascii="Calibri" w:hAnsi="Calibri"/>
                <w:color w:val="282828"/>
                <w:sz w:val="15"/>
              </w:rPr>
              <w:t>39.10</w:t>
            </w:r>
          </w:p>
        </w:tc>
        <w:tc>
          <w:tcPr>
            <w:tcW w:type="dxa" w:w="720"/>
            <w:shd w:fill="F2F5F9"/>
            <w:tcMar>
              <w:top w:w="50" w:type="dxa"/>
              <w:bottom w:w="50" w:type="dxa"/>
              <w:left w:w="80" w:type="dxa"/>
              <w:right w:w="80" w:type="dxa"/>
            </w:tcMar>
          </w:tcPr>
          <w:p>
            <w:pPr>
              <w:jc w:val="center"/>
            </w:pPr>
            <w:r>
              <w:rPr>
                <w:rFonts w:ascii="Calibri" w:hAnsi="Calibri"/>
                <w:color w:val="282828"/>
                <w:sz w:val="15"/>
              </w:rPr>
              <w:t>65.70</w:t>
            </w:r>
          </w:p>
        </w:tc>
        <w:tc>
          <w:tcPr>
            <w:tcW w:type="dxa" w:w="720"/>
            <w:shd w:fill="F2F5F9"/>
            <w:tcMar>
              <w:top w:w="50" w:type="dxa"/>
              <w:bottom w:w="50" w:type="dxa"/>
              <w:left w:w="80" w:type="dxa"/>
              <w:right w:w="80" w:type="dxa"/>
            </w:tcMar>
          </w:tcPr>
          <w:p>
            <w:pPr>
              <w:jc w:val="center"/>
            </w:pPr>
            <w:r>
              <w:rPr>
                <w:rFonts w:ascii="Calibri" w:hAnsi="Calibri"/>
                <w:color w:val="282828"/>
                <w:sz w:val="15"/>
              </w:rPr>
              <w:t>29.50</w:t>
            </w:r>
          </w:p>
        </w:tc>
        <w:tc>
          <w:tcPr>
            <w:tcW w:type="dxa" w:w="720"/>
            <w:shd w:fill="F2F5F9"/>
            <w:tcMar>
              <w:top w:w="50" w:type="dxa"/>
              <w:bottom w:w="50" w:type="dxa"/>
              <w:left w:w="80" w:type="dxa"/>
              <w:right w:w="80" w:type="dxa"/>
            </w:tcMar>
          </w:tcPr>
          <w:p>
            <w:pPr>
              <w:jc w:val="center"/>
            </w:pPr>
            <w:r>
              <w:rPr>
                <w:rFonts w:ascii="Calibri" w:hAnsi="Calibri"/>
                <w:color w:val="282828"/>
                <w:sz w:val="15"/>
              </w:rPr>
              <w:t>78.30</w:t>
            </w:r>
          </w:p>
        </w:tc>
        <w:tc>
          <w:tcPr>
            <w:tcW w:type="dxa" w:w="720"/>
            <w:shd w:fill="F2F5F9"/>
            <w:tcMar>
              <w:top w:w="50" w:type="dxa"/>
              <w:bottom w:w="50" w:type="dxa"/>
              <w:left w:w="80" w:type="dxa"/>
              <w:right w:w="80" w:type="dxa"/>
            </w:tcMar>
          </w:tcPr>
          <w:p>
            <w:pPr>
              <w:jc w:val="center"/>
            </w:pPr>
            <w:r>
              <w:rPr>
                <w:rFonts w:ascii="Calibri" w:hAnsi="Calibri"/>
                <w:color w:val="282828"/>
                <w:sz w:val="15"/>
              </w:rPr>
              <w:t>67.60</w:t>
            </w:r>
          </w:p>
        </w:tc>
        <w:tc>
          <w:tcPr>
            <w:tcW w:type="dxa" w:w="720"/>
            <w:shd w:fill="F2F5F9"/>
            <w:tcMar>
              <w:top w:w="50" w:type="dxa"/>
              <w:bottom w:w="50" w:type="dxa"/>
              <w:left w:w="80" w:type="dxa"/>
              <w:right w:w="80" w:type="dxa"/>
            </w:tcMar>
          </w:tcPr>
          <w:p>
            <w:pPr>
              <w:jc w:val="center"/>
            </w:pPr>
            <w:r>
              <w:rPr>
                <w:rFonts w:ascii="Calibri" w:hAnsi="Calibri"/>
                <w:color w:val="282828"/>
                <w:sz w:val="15"/>
              </w:rPr>
              <w:t>54.70</w:t>
            </w:r>
          </w:p>
        </w:tc>
        <w:tc>
          <w:tcPr>
            <w:tcW w:type="dxa" w:w="720"/>
            <w:shd w:fill="F2F5F9"/>
            <w:tcMar>
              <w:top w:w="50" w:type="dxa"/>
              <w:bottom w:w="50" w:type="dxa"/>
              <w:left w:w="80" w:type="dxa"/>
              <w:right w:w="80" w:type="dxa"/>
            </w:tcMar>
          </w:tcPr>
          <w:p>
            <w:pPr>
              <w:jc w:val="center"/>
            </w:pPr>
            <w:r>
              <w:rPr>
                <w:rFonts w:ascii="Calibri" w:hAnsi="Calibri"/>
                <w:color w:val="282828"/>
                <w:sz w:val="15"/>
              </w:rPr>
              <w:t>68.80</w:t>
            </w:r>
          </w:p>
        </w:tc>
        <w:tc>
          <w:tcPr>
            <w:tcW w:type="dxa" w:w="720"/>
            <w:shd w:fill="F2F5F9"/>
            <w:tcMar>
              <w:top w:w="50" w:type="dxa"/>
              <w:bottom w:w="50" w:type="dxa"/>
              <w:left w:w="80" w:type="dxa"/>
              <w:right w:w="80" w:type="dxa"/>
            </w:tcMar>
          </w:tcPr>
          <w:p>
            <w:pPr>
              <w:jc w:val="center"/>
            </w:pPr>
            <w:r>
              <w:rPr>
                <w:rFonts w:ascii="Calibri" w:hAnsi="Calibri"/>
                <w:color w:val="282828"/>
                <w:sz w:val="15"/>
              </w:rPr>
              <w:t>1.50</w:t>
            </w:r>
          </w:p>
        </w:tc>
        <w:tc>
          <w:tcPr>
            <w:tcW w:type="dxa" w:w="720"/>
            <w:shd w:fill="F2F5F9"/>
            <w:tcMar>
              <w:top w:w="50" w:type="dxa"/>
              <w:bottom w:w="50" w:type="dxa"/>
              <w:left w:w="80" w:type="dxa"/>
              <w:right w:w="80" w:type="dxa"/>
            </w:tcMar>
          </w:tcPr>
          <w:p>
            <w:pPr>
              <w:jc w:val="center"/>
            </w:pPr>
            <w:r>
              <w:rPr>
                <w:rFonts w:ascii="Calibri" w:hAnsi="Calibri"/>
                <w:color w:val="282828"/>
                <w:sz w:val="15"/>
              </w:rPr>
              <w:t>1.10</w:t>
            </w:r>
          </w:p>
        </w:tc>
        <w:tc>
          <w:tcPr>
            <w:tcW w:type="dxa" w:w="720"/>
            <w:shd w:fill="F2F5F9"/>
            <w:tcMar>
              <w:top w:w="50" w:type="dxa"/>
              <w:bottom w:w="50" w:type="dxa"/>
              <w:left w:w="80" w:type="dxa"/>
              <w:right w:w="80" w:type="dxa"/>
            </w:tcMar>
          </w:tcPr>
          <w:p>
            <w:pPr>
              <w:jc w:val="center"/>
            </w:pPr>
            <w:r>
              <w:rPr>
                <w:rFonts w:ascii="Calibri" w:hAnsi="Calibri"/>
                <w:color w:val="282828"/>
                <w:sz w:val="15"/>
              </w:rPr>
              <w:t>21.60</w:t>
            </w:r>
          </w:p>
        </w:tc>
        <w:tc>
          <w:tcPr>
            <w:tcW w:type="dxa" w:w="720"/>
            <w:shd w:fill="F2F5F9"/>
            <w:tcMar>
              <w:top w:w="50" w:type="dxa"/>
              <w:bottom w:w="50" w:type="dxa"/>
              <w:left w:w="80" w:type="dxa"/>
              <w:right w:w="80" w:type="dxa"/>
            </w:tcMar>
          </w:tcPr>
          <w:p>
            <w:pPr>
              <w:jc w:val="center"/>
            </w:pPr>
            <w:r>
              <w:rPr>
                <w:rFonts w:ascii="Calibri" w:hAnsi="Calibri"/>
                <w:color w:val="282828"/>
                <w:sz w:val="15"/>
              </w:rPr>
              <w:t>14.40</w:t>
            </w:r>
          </w:p>
        </w:tc>
      </w:tr>
      <w:tr>
        <w:tc>
          <w:tcPr>
            <w:tcW w:type="dxa" w:w="720"/>
            <w:shd w:fill="FFFFFF"/>
            <w:tcMar>
              <w:top w:w="50" w:type="dxa"/>
              <w:bottom w:w="50" w:type="dxa"/>
              <w:left w:w="80" w:type="dxa"/>
              <w:right w:w="80" w:type="dxa"/>
            </w:tcMar>
          </w:tcPr>
          <w:p>
            <w:pPr>
              <w:jc w:val="left"/>
            </w:pPr>
            <w:r>
              <w:rPr>
                <w:rFonts w:ascii="Calibri" w:hAnsi="Calibri"/>
                <w:color w:val="282828"/>
                <w:sz w:val="15"/>
              </w:rPr>
              <w:t>Cluster 2</w:t>
            </w:r>
          </w:p>
        </w:tc>
        <w:tc>
          <w:tcPr>
            <w:tcW w:type="dxa" w:w="720"/>
            <w:shd w:fill="FFFFFF"/>
            <w:tcMar>
              <w:top w:w="50" w:type="dxa"/>
              <w:bottom w:w="50" w:type="dxa"/>
              <w:left w:w="80" w:type="dxa"/>
              <w:right w:w="80" w:type="dxa"/>
            </w:tcMar>
          </w:tcPr>
          <w:p>
            <w:pPr>
              <w:jc w:val="left"/>
            </w:pPr>
            <w:r>
              <w:rPr>
                <w:rFonts w:ascii="Calibri" w:hAnsi="Calibri"/>
                <w:color w:val="282828"/>
                <w:sz w:val="15"/>
              </w:rPr>
              <w:t>Cluster 2: High-Risk / Elderly Multi-Morbidity</w:t>
            </w:r>
          </w:p>
        </w:tc>
        <w:tc>
          <w:tcPr>
            <w:tcW w:type="dxa" w:w="720"/>
            <w:shd w:fill="FFFFFF"/>
            <w:tcMar>
              <w:top w:w="50" w:type="dxa"/>
              <w:bottom w:w="50" w:type="dxa"/>
              <w:left w:w="80" w:type="dxa"/>
              <w:right w:w="80" w:type="dxa"/>
            </w:tcMar>
          </w:tcPr>
          <w:p>
            <w:pPr>
              <w:jc w:val="center"/>
            </w:pPr>
            <w:r>
              <w:rPr>
                <w:rFonts w:ascii="Calibri" w:hAnsi="Calibri"/>
                <w:color w:val="282828"/>
                <w:sz w:val="15"/>
              </w:rPr>
              <w:t>705</w:t>
            </w:r>
          </w:p>
        </w:tc>
        <w:tc>
          <w:tcPr>
            <w:tcW w:type="dxa" w:w="720"/>
            <w:shd w:fill="FFFFFF"/>
            <w:tcMar>
              <w:top w:w="50" w:type="dxa"/>
              <w:bottom w:w="50" w:type="dxa"/>
              <w:left w:w="80" w:type="dxa"/>
              <w:right w:w="80" w:type="dxa"/>
            </w:tcMar>
          </w:tcPr>
          <w:p>
            <w:pPr>
              <w:jc w:val="center"/>
            </w:pPr>
            <w:r>
              <w:rPr>
                <w:rFonts w:ascii="Calibri" w:hAnsi="Calibri"/>
                <w:color w:val="282828"/>
                <w:sz w:val="15"/>
              </w:rPr>
              <w:t>14.10</w:t>
            </w:r>
          </w:p>
        </w:tc>
        <w:tc>
          <w:tcPr>
            <w:tcW w:type="dxa" w:w="720"/>
            <w:shd w:fill="FFFFFF"/>
            <w:tcMar>
              <w:top w:w="50" w:type="dxa"/>
              <w:bottom w:w="50" w:type="dxa"/>
              <w:left w:w="80" w:type="dxa"/>
              <w:right w:w="80" w:type="dxa"/>
            </w:tcMar>
          </w:tcPr>
          <w:p>
            <w:pPr>
              <w:jc w:val="center"/>
            </w:pPr>
            <w:r>
              <w:rPr>
                <w:rFonts w:ascii="Calibri" w:hAnsi="Calibri"/>
                <w:color w:val="282828"/>
                <w:sz w:val="15"/>
              </w:rPr>
              <w:t>59.10</w:t>
            </w:r>
          </w:p>
        </w:tc>
        <w:tc>
          <w:tcPr>
            <w:tcW w:type="dxa" w:w="720"/>
            <w:shd w:fill="FFFFFF"/>
            <w:tcMar>
              <w:top w:w="50" w:type="dxa"/>
              <w:bottom w:w="50" w:type="dxa"/>
              <w:left w:w="80" w:type="dxa"/>
              <w:right w:w="80" w:type="dxa"/>
            </w:tcMar>
          </w:tcPr>
          <w:p>
            <w:pPr>
              <w:jc w:val="center"/>
            </w:pPr>
            <w:r>
              <w:rPr>
                <w:rFonts w:ascii="Calibri" w:hAnsi="Calibri"/>
                <w:color w:val="282828"/>
                <w:sz w:val="15"/>
              </w:rPr>
              <w:t>31.00</w:t>
            </w:r>
          </w:p>
        </w:tc>
        <w:tc>
          <w:tcPr>
            <w:tcW w:type="dxa" w:w="720"/>
            <w:shd w:fill="FFFFFF"/>
            <w:tcMar>
              <w:top w:w="50" w:type="dxa"/>
              <w:bottom w:w="50" w:type="dxa"/>
              <w:left w:w="80" w:type="dxa"/>
              <w:right w:w="80" w:type="dxa"/>
            </w:tcMar>
          </w:tcPr>
          <w:p>
            <w:pPr>
              <w:jc w:val="center"/>
            </w:pPr>
            <w:r>
              <w:rPr>
                <w:rFonts w:ascii="Calibri" w:hAnsi="Calibri"/>
                <w:color w:val="282828"/>
                <w:sz w:val="15"/>
              </w:rPr>
              <w:t>62.60</w:t>
            </w:r>
          </w:p>
        </w:tc>
        <w:tc>
          <w:tcPr>
            <w:tcW w:type="dxa" w:w="720"/>
            <w:shd w:fill="FFFFFF"/>
            <w:tcMar>
              <w:top w:w="50" w:type="dxa"/>
              <w:bottom w:w="50" w:type="dxa"/>
              <w:left w:w="80" w:type="dxa"/>
              <w:right w:w="80" w:type="dxa"/>
            </w:tcMar>
          </w:tcPr>
          <w:p>
            <w:pPr>
              <w:jc w:val="center"/>
            </w:pPr>
            <w:r>
              <w:rPr>
                <w:rFonts w:ascii="Calibri" w:hAnsi="Calibri"/>
                <w:color w:val="282828"/>
                <w:sz w:val="15"/>
              </w:rPr>
              <w:t>53.00</w:t>
            </w:r>
          </w:p>
        </w:tc>
        <w:tc>
          <w:tcPr>
            <w:tcW w:type="dxa" w:w="720"/>
            <w:shd w:fill="FFFFFF"/>
            <w:tcMar>
              <w:top w:w="50" w:type="dxa"/>
              <w:bottom w:w="50" w:type="dxa"/>
              <w:left w:w="80" w:type="dxa"/>
              <w:right w:w="80" w:type="dxa"/>
            </w:tcMar>
          </w:tcPr>
          <w:p>
            <w:pPr>
              <w:jc w:val="center"/>
            </w:pPr>
            <w:r>
              <w:rPr>
                <w:rFonts w:ascii="Calibri" w:hAnsi="Calibri"/>
                <w:color w:val="282828"/>
                <w:sz w:val="15"/>
              </w:rPr>
              <w:t>59.90</w:t>
            </w:r>
          </w:p>
        </w:tc>
        <w:tc>
          <w:tcPr>
            <w:tcW w:type="dxa" w:w="720"/>
            <w:shd w:fill="FFFFFF"/>
            <w:tcMar>
              <w:top w:w="50" w:type="dxa"/>
              <w:bottom w:w="50" w:type="dxa"/>
              <w:left w:w="80" w:type="dxa"/>
              <w:right w:w="80" w:type="dxa"/>
            </w:tcMar>
          </w:tcPr>
          <w:p>
            <w:pPr>
              <w:jc w:val="center"/>
            </w:pPr>
            <w:r>
              <w:rPr>
                <w:rFonts w:ascii="Calibri" w:hAnsi="Calibri"/>
                <w:color w:val="282828"/>
                <w:sz w:val="15"/>
              </w:rPr>
              <w:t>50.50</w:t>
            </w:r>
          </w:p>
        </w:tc>
        <w:tc>
          <w:tcPr>
            <w:tcW w:type="dxa" w:w="720"/>
            <w:shd w:fill="FFFFFF"/>
            <w:tcMar>
              <w:top w:w="50" w:type="dxa"/>
              <w:bottom w:w="50" w:type="dxa"/>
              <w:left w:w="80" w:type="dxa"/>
              <w:right w:w="80" w:type="dxa"/>
            </w:tcMar>
          </w:tcPr>
          <w:p>
            <w:pPr>
              <w:jc w:val="center"/>
            </w:pPr>
            <w:r>
              <w:rPr>
                <w:rFonts w:ascii="Calibri" w:hAnsi="Calibri"/>
                <w:color w:val="282828"/>
                <w:sz w:val="15"/>
              </w:rPr>
              <w:t>21.40</w:t>
            </w:r>
          </w:p>
        </w:tc>
        <w:tc>
          <w:tcPr>
            <w:tcW w:type="dxa" w:w="720"/>
            <w:shd w:fill="FFFFFF"/>
            <w:tcMar>
              <w:top w:w="50" w:type="dxa"/>
              <w:bottom w:w="50" w:type="dxa"/>
              <w:left w:w="80" w:type="dxa"/>
              <w:right w:w="80" w:type="dxa"/>
            </w:tcMar>
          </w:tcPr>
          <w:p>
            <w:pPr>
              <w:jc w:val="center"/>
            </w:pPr>
            <w:r>
              <w:rPr>
                <w:rFonts w:ascii="Calibri" w:hAnsi="Calibri"/>
                <w:color w:val="282828"/>
                <w:sz w:val="15"/>
              </w:rPr>
              <w:t>13.00</w:t>
            </w:r>
          </w:p>
        </w:tc>
        <w:tc>
          <w:tcPr>
            <w:tcW w:type="dxa" w:w="720"/>
            <w:shd w:fill="FFFFFF"/>
            <w:tcMar>
              <w:top w:w="50" w:type="dxa"/>
              <w:bottom w:w="50" w:type="dxa"/>
              <w:left w:w="80" w:type="dxa"/>
              <w:right w:w="80" w:type="dxa"/>
            </w:tcMar>
          </w:tcPr>
          <w:p>
            <w:pPr>
              <w:jc w:val="center"/>
            </w:pPr>
            <w:r>
              <w:rPr>
                <w:rFonts w:ascii="Calibri" w:hAnsi="Calibri"/>
                <w:color w:val="282828"/>
                <w:sz w:val="15"/>
              </w:rPr>
              <w:t>27.00</w:t>
            </w:r>
          </w:p>
        </w:tc>
        <w:tc>
          <w:tcPr>
            <w:tcW w:type="dxa" w:w="720"/>
            <w:shd w:fill="FFFFFF"/>
            <w:tcMar>
              <w:top w:w="50" w:type="dxa"/>
              <w:bottom w:w="50" w:type="dxa"/>
              <w:left w:w="80" w:type="dxa"/>
              <w:right w:w="80" w:type="dxa"/>
            </w:tcMar>
          </w:tcPr>
          <w:p>
            <w:pPr>
              <w:jc w:val="center"/>
            </w:pPr>
            <w:r>
              <w:rPr>
                <w:rFonts w:ascii="Calibri" w:hAnsi="Calibri"/>
                <w:color w:val="282828"/>
                <w:sz w:val="15"/>
              </w:rPr>
              <w:t>23.00</w:t>
            </w:r>
          </w:p>
        </w:tc>
      </w:tr>
    </w:tbl>
    <w:p>
      <w:pPr>
        <w:spacing w:after="60"/>
      </w:pPr>
    </w:p>
    <w:p>
      <w:pPr>
        <w:pStyle w:val="Heading2"/>
        <w:spacing w:before="120" w:after="40"/>
      </w:pPr>
      <w:r>
        <w:t>1.3 Clinical Cohort Validation: Continuous Biometrics in Cleveland and Pima</w:t>
      </w:r>
    </w:p>
    <w:p>
      <w:r>
        <w:t>To corroborate these findings against continuous clinical laboratory assays—specifically addressing continuous serum cholesterol, fasting plasma glucose, 2-hour serum insulin, and resting hemodynamics—we benchmarked identical unsupervised clustering workflows on the Cleveland Heart Disease (N=297) and Pima Indians Diabetes (N=768) cohorts (Table 2 and Figure 5):</w:t>
        <w:br/>
        <w:t>• Cleveland Clinic Cardiac Cohort: K-Means cleanly partitioned cardiac patients into two pathophysiological strata: Cluster 0 (N=130) exhibits an average age of 60.9 years, resting blood pressure of 139.6 mmHg, serum cholesterol of 262.0 mg/dL, depressed maximum heart rate (133.8 bpm), and severe exercise-induced ST depression (1.74 mm), culminating in a 69.2% confirmed angiographic coronary disease rate. Conversely, Cluster 1 (N=167) represents younger patients (49.6 years) with higher cardiac reserve (max HR 161.9 bpm), normal ST segments (0.53 mm), lower cholesterol (236.0 mg/dL), and a 28.1% heart disease rate.</w:t>
        <w:br/>
        <w:t>• Pima Indians Diabetes Cohort: Clustering partitioned women into Cluster 0 (N=435, Normoglycemic / Young: age 27.6 years, glucose 104.8 mg/dL, insulin 114.2 μU/mL, BMI 30.0 kg/m², 17.7% diabetes) versus Cluster 1 (N=333, Severe Hyperglycemic / Insulin-Resistant: age 40.7 years, fasting glucose 143.7 mg/dL, serum insulin 175.2 μU/mL, BMI 35.6 kg/m², diastolic BP 79.4 mmHg, 57.4% confirmed diabetes).</w:t>
      </w:r>
    </w:p>
    <w:p>
      <w:pPr>
        <w:keepNext/>
        <w:spacing w:before="120" w:after="40"/>
      </w:pPr>
      <w:r>
        <w:rPr>
          <w:rFonts w:ascii="Calibri" w:hAnsi="Calibri"/>
          <w:b/>
          <w:color w:val="1F497D"/>
          <w:sz w:val="18"/>
        </w:rPr>
        <w:t>Table 2: Clinical Laboratory Benchmark Profiles across Cleveland Heart Disease and Pima Indians Diabetes Cohorts</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1F497D"/>
            <w:tcMar>
              <w:top w:w="90" w:type="dxa"/>
              <w:bottom w:w="90" w:type="dxa"/>
              <w:left w:w="100" w:type="dxa"/>
              <w:right w:w="100" w:type="dxa"/>
            </w:tcMar>
          </w:tcPr>
          <w:p>
            <w:pPr>
              <w:jc w:val="center"/>
            </w:pPr>
            <w:r>
              <w:rPr>
                <w:rFonts w:ascii="Calibri" w:hAnsi="Calibri"/>
                <w:b/>
                <w:color w:val="FFFFFF"/>
                <w:sz w:val="14"/>
              </w:rPr>
              <w:t>Cohort</w:t>
            </w:r>
          </w:p>
        </w:tc>
        <w:tc>
          <w:tcPr>
            <w:tcW w:type="dxa" w:w="720"/>
            <w:shd w:fill="1F497D"/>
            <w:tcMar>
              <w:top w:w="90" w:type="dxa"/>
              <w:bottom w:w="90" w:type="dxa"/>
              <w:left w:w="100" w:type="dxa"/>
              <w:right w:w="100" w:type="dxa"/>
            </w:tcMar>
          </w:tcPr>
          <w:p>
            <w:pPr>
              <w:jc w:val="center"/>
            </w:pPr>
            <w:r>
              <w:rPr>
                <w:rFonts w:ascii="Calibri" w:hAnsi="Calibri"/>
                <w:b/>
                <w:color w:val="FFFFFF"/>
                <w:sz w:val="14"/>
              </w:rPr>
              <w:t>Cluster</w:t>
            </w:r>
          </w:p>
        </w:tc>
        <w:tc>
          <w:tcPr>
            <w:tcW w:type="dxa" w:w="720"/>
            <w:shd w:fill="1F497D"/>
            <w:tcMar>
              <w:top w:w="90" w:type="dxa"/>
              <w:bottom w:w="90" w:type="dxa"/>
              <w:left w:w="100" w:type="dxa"/>
              <w:right w:w="100" w:type="dxa"/>
            </w:tcMar>
          </w:tcPr>
          <w:p>
            <w:pPr>
              <w:jc w:val="center"/>
            </w:pPr>
            <w:r>
              <w:rPr>
                <w:rFonts w:ascii="Calibri" w:hAnsi="Calibri"/>
                <w:b/>
                <w:color w:val="FFFFFF"/>
                <w:sz w:val="14"/>
              </w:rPr>
              <w:t>N</w:t>
            </w:r>
          </w:p>
        </w:tc>
        <w:tc>
          <w:tcPr>
            <w:tcW w:type="dxa" w:w="720"/>
            <w:shd w:fill="1F497D"/>
            <w:tcMar>
              <w:top w:w="90" w:type="dxa"/>
              <w:bottom w:w="90" w:type="dxa"/>
              <w:left w:w="100" w:type="dxa"/>
              <w:right w:w="100" w:type="dxa"/>
            </w:tcMar>
          </w:tcPr>
          <w:p>
            <w:pPr>
              <w:jc w:val="center"/>
            </w:pPr>
            <w:r>
              <w:rPr>
                <w:rFonts w:ascii="Calibri" w:hAnsi="Calibri"/>
                <w:b/>
                <w:color w:val="FFFFFF"/>
                <w:sz w:val="14"/>
              </w:rPr>
              <w:t>Avg Age</w:t>
            </w:r>
          </w:p>
        </w:tc>
        <w:tc>
          <w:tcPr>
            <w:tcW w:type="dxa" w:w="720"/>
            <w:shd w:fill="1F497D"/>
            <w:tcMar>
              <w:top w:w="90" w:type="dxa"/>
              <w:bottom w:w="90" w:type="dxa"/>
              <w:left w:w="100" w:type="dxa"/>
              <w:right w:w="100" w:type="dxa"/>
            </w:tcMar>
          </w:tcPr>
          <w:p>
            <w:pPr>
              <w:jc w:val="center"/>
            </w:pPr>
            <w:r>
              <w:rPr>
                <w:rFonts w:ascii="Calibri" w:hAnsi="Calibri"/>
                <w:b/>
                <w:color w:val="FFFFFF"/>
                <w:sz w:val="14"/>
              </w:rPr>
              <w:t>Avg Cholesterol Mg Dl</w:t>
            </w:r>
          </w:p>
        </w:tc>
        <w:tc>
          <w:tcPr>
            <w:tcW w:type="dxa" w:w="720"/>
            <w:shd w:fill="1F497D"/>
            <w:tcMar>
              <w:top w:w="90" w:type="dxa"/>
              <w:bottom w:w="90" w:type="dxa"/>
              <w:left w:w="100" w:type="dxa"/>
              <w:right w:w="100" w:type="dxa"/>
            </w:tcMar>
          </w:tcPr>
          <w:p>
            <w:pPr>
              <w:jc w:val="center"/>
            </w:pPr>
            <w:r>
              <w:rPr>
                <w:rFonts w:ascii="Calibri" w:hAnsi="Calibri"/>
                <w:b/>
                <w:color w:val="FFFFFF"/>
                <w:sz w:val="14"/>
              </w:rPr>
              <w:t>Avg Resting Bp Mmhg</w:t>
            </w:r>
          </w:p>
        </w:tc>
        <w:tc>
          <w:tcPr>
            <w:tcW w:type="dxa" w:w="720"/>
            <w:shd w:fill="1F497D"/>
            <w:tcMar>
              <w:top w:w="90" w:type="dxa"/>
              <w:bottom w:w="90" w:type="dxa"/>
              <w:left w:w="100" w:type="dxa"/>
              <w:right w:w="100" w:type="dxa"/>
            </w:tcMar>
          </w:tcPr>
          <w:p>
            <w:pPr>
              <w:jc w:val="center"/>
            </w:pPr>
            <w:r>
              <w:rPr>
                <w:rFonts w:ascii="Calibri" w:hAnsi="Calibri"/>
                <w:b/>
                <w:color w:val="FFFFFF"/>
                <w:sz w:val="14"/>
              </w:rPr>
              <w:t>Avg Max Heartrate Bpm</w:t>
            </w:r>
          </w:p>
        </w:tc>
        <w:tc>
          <w:tcPr>
            <w:tcW w:type="dxa" w:w="720"/>
            <w:shd w:fill="1F497D"/>
            <w:tcMar>
              <w:top w:w="90" w:type="dxa"/>
              <w:bottom w:w="90" w:type="dxa"/>
              <w:left w:w="100" w:type="dxa"/>
              <w:right w:w="100" w:type="dxa"/>
            </w:tcMar>
          </w:tcPr>
          <w:p>
            <w:pPr>
              <w:jc w:val="center"/>
            </w:pPr>
            <w:r>
              <w:rPr>
                <w:rFonts w:ascii="Calibri" w:hAnsi="Calibri"/>
                <w:b/>
                <w:color w:val="FFFFFF"/>
                <w:sz w:val="14"/>
              </w:rPr>
              <w:t>Avg St Depression Mm</w:t>
            </w:r>
          </w:p>
        </w:tc>
        <w:tc>
          <w:tcPr>
            <w:tcW w:type="dxa" w:w="720"/>
            <w:shd w:fill="1F497D"/>
            <w:tcMar>
              <w:top w:w="90" w:type="dxa"/>
              <w:bottom w:w="90" w:type="dxa"/>
              <w:left w:w="100" w:type="dxa"/>
              <w:right w:w="100" w:type="dxa"/>
            </w:tcMar>
          </w:tcPr>
          <w:p>
            <w:pPr>
              <w:jc w:val="center"/>
            </w:pPr>
            <w:r>
              <w:rPr>
                <w:rFonts w:ascii="Calibri" w:hAnsi="Calibri"/>
                <w:b/>
                <w:color w:val="FFFFFF"/>
                <w:sz w:val="14"/>
              </w:rPr>
              <w:t>Heart Disease Rate Pct</w:t>
            </w:r>
          </w:p>
        </w:tc>
        <w:tc>
          <w:tcPr>
            <w:tcW w:type="dxa" w:w="720"/>
            <w:shd w:fill="1F497D"/>
            <w:tcMar>
              <w:top w:w="90" w:type="dxa"/>
              <w:bottom w:w="90" w:type="dxa"/>
              <w:left w:w="100" w:type="dxa"/>
              <w:right w:w="100" w:type="dxa"/>
            </w:tcMar>
          </w:tcPr>
          <w:p>
            <w:pPr>
              <w:jc w:val="center"/>
            </w:pPr>
            <w:r>
              <w:rPr>
                <w:rFonts w:ascii="Calibri" w:hAnsi="Calibri"/>
                <w:b/>
                <w:color w:val="FFFFFF"/>
                <w:sz w:val="14"/>
              </w:rPr>
              <w:t>Avg Glucose Mg Dl</w:t>
            </w:r>
          </w:p>
        </w:tc>
        <w:tc>
          <w:tcPr>
            <w:tcW w:type="dxa" w:w="720"/>
            <w:shd w:fill="1F497D"/>
            <w:tcMar>
              <w:top w:w="90" w:type="dxa"/>
              <w:bottom w:w="90" w:type="dxa"/>
              <w:left w:w="100" w:type="dxa"/>
              <w:right w:w="100" w:type="dxa"/>
            </w:tcMar>
          </w:tcPr>
          <w:p>
            <w:pPr>
              <w:jc w:val="center"/>
            </w:pPr>
            <w:r>
              <w:rPr>
                <w:rFonts w:ascii="Calibri" w:hAnsi="Calibri"/>
                <w:b/>
                <w:color w:val="FFFFFF"/>
                <w:sz w:val="14"/>
              </w:rPr>
              <w:t>Avg Insulin Uu Ml</w:t>
            </w:r>
          </w:p>
        </w:tc>
        <w:tc>
          <w:tcPr>
            <w:tcW w:type="dxa" w:w="720"/>
            <w:shd w:fill="1F497D"/>
            <w:tcMar>
              <w:top w:w="90" w:type="dxa"/>
              <w:bottom w:w="90" w:type="dxa"/>
              <w:left w:w="100" w:type="dxa"/>
              <w:right w:w="100" w:type="dxa"/>
            </w:tcMar>
          </w:tcPr>
          <w:p>
            <w:pPr>
              <w:jc w:val="center"/>
            </w:pPr>
            <w:r>
              <w:rPr>
                <w:rFonts w:ascii="Calibri" w:hAnsi="Calibri"/>
                <w:b/>
                <w:color w:val="FFFFFF"/>
                <w:sz w:val="14"/>
              </w:rPr>
              <w:t>Avg Bmi</w:t>
            </w:r>
          </w:p>
        </w:tc>
        <w:tc>
          <w:tcPr>
            <w:tcW w:type="dxa" w:w="720"/>
            <w:shd w:fill="1F497D"/>
            <w:tcMar>
              <w:top w:w="90" w:type="dxa"/>
              <w:bottom w:w="90" w:type="dxa"/>
              <w:left w:w="100" w:type="dxa"/>
              <w:right w:w="100" w:type="dxa"/>
            </w:tcMar>
          </w:tcPr>
          <w:p>
            <w:pPr>
              <w:jc w:val="center"/>
            </w:pPr>
            <w:r>
              <w:rPr>
                <w:rFonts w:ascii="Calibri" w:hAnsi="Calibri"/>
                <w:b/>
                <w:color w:val="FFFFFF"/>
                <w:sz w:val="14"/>
              </w:rPr>
              <w:t>Avg Bloodpressure Mmhg</w:t>
            </w:r>
          </w:p>
        </w:tc>
        <w:tc>
          <w:tcPr>
            <w:tcW w:type="dxa" w:w="720"/>
            <w:shd w:fill="1F497D"/>
            <w:tcMar>
              <w:top w:w="90" w:type="dxa"/>
              <w:bottom w:w="90" w:type="dxa"/>
              <w:left w:w="100" w:type="dxa"/>
              <w:right w:w="100" w:type="dxa"/>
            </w:tcMar>
          </w:tcPr>
          <w:p>
            <w:pPr>
              <w:jc w:val="center"/>
            </w:pPr>
            <w:r>
              <w:rPr>
                <w:rFonts w:ascii="Calibri" w:hAnsi="Calibri"/>
                <w:b/>
                <w:color w:val="FFFFFF"/>
                <w:sz w:val="14"/>
              </w:rPr>
              <w:t>Diabetes Rate Pct</w:t>
            </w:r>
          </w:p>
        </w:tc>
      </w:tr>
      <w:tr>
        <w:tc>
          <w:tcPr>
            <w:tcW w:type="dxa" w:w="720"/>
            <w:shd w:fill="FFFFFF"/>
            <w:tcMar>
              <w:top w:w="50" w:type="dxa"/>
              <w:bottom w:w="50" w:type="dxa"/>
              <w:left w:w="80" w:type="dxa"/>
              <w:right w:w="80" w:type="dxa"/>
            </w:tcMar>
          </w:tcPr>
          <w:p>
            <w:pPr>
              <w:jc w:val="left"/>
            </w:pPr>
            <w:r>
              <w:rPr>
                <w:rFonts w:ascii="Calibri" w:hAnsi="Calibri"/>
                <w:color w:val="282828"/>
                <w:sz w:val="14"/>
              </w:rPr>
              <w:t>Cleveland Heart Disease (N=297)</w:t>
            </w:r>
          </w:p>
        </w:tc>
        <w:tc>
          <w:tcPr>
            <w:tcW w:type="dxa" w:w="720"/>
            <w:shd w:fill="FFFFFF"/>
            <w:tcMar>
              <w:top w:w="50" w:type="dxa"/>
              <w:bottom w:w="50" w:type="dxa"/>
              <w:left w:w="80" w:type="dxa"/>
              <w:right w:w="80" w:type="dxa"/>
            </w:tcMar>
          </w:tcPr>
          <w:p>
            <w:pPr>
              <w:jc w:val="left"/>
            </w:pPr>
            <w:r>
              <w:rPr>
                <w:rFonts w:ascii="Calibri" w:hAnsi="Calibri"/>
                <w:color w:val="282828"/>
                <w:sz w:val="14"/>
              </w:rPr>
              <w:t>Cluster 0 (Low Cardiac Risk)</w:t>
            </w:r>
          </w:p>
        </w:tc>
        <w:tc>
          <w:tcPr>
            <w:tcW w:type="dxa" w:w="720"/>
            <w:shd w:fill="FFFFFF"/>
            <w:tcMar>
              <w:top w:w="50" w:type="dxa"/>
              <w:bottom w:w="50" w:type="dxa"/>
              <w:left w:w="80" w:type="dxa"/>
              <w:right w:w="80" w:type="dxa"/>
            </w:tcMar>
          </w:tcPr>
          <w:p>
            <w:pPr>
              <w:jc w:val="center"/>
            </w:pPr>
            <w:r>
              <w:rPr>
                <w:rFonts w:ascii="Calibri" w:hAnsi="Calibri"/>
                <w:color w:val="282828"/>
                <w:sz w:val="14"/>
              </w:rPr>
              <w:t>130</w:t>
            </w:r>
          </w:p>
        </w:tc>
        <w:tc>
          <w:tcPr>
            <w:tcW w:type="dxa" w:w="720"/>
            <w:shd w:fill="FFFFFF"/>
            <w:tcMar>
              <w:top w:w="50" w:type="dxa"/>
              <w:bottom w:w="50" w:type="dxa"/>
              <w:left w:w="80" w:type="dxa"/>
              <w:right w:w="80" w:type="dxa"/>
            </w:tcMar>
          </w:tcPr>
          <w:p>
            <w:pPr>
              <w:jc w:val="center"/>
            </w:pPr>
            <w:r>
              <w:rPr>
                <w:rFonts w:ascii="Calibri" w:hAnsi="Calibri"/>
                <w:color w:val="282828"/>
                <w:sz w:val="14"/>
              </w:rPr>
              <w:t>60.90</w:t>
            </w:r>
          </w:p>
        </w:tc>
        <w:tc>
          <w:tcPr>
            <w:tcW w:type="dxa" w:w="720"/>
            <w:shd w:fill="FFFFFF"/>
            <w:tcMar>
              <w:top w:w="50" w:type="dxa"/>
              <w:bottom w:w="50" w:type="dxa"/>
              <w:left w:w="80" w:type="dxa"/>
              <w:right w:w="80" w:type="dxa"/>
            </w:tcMar>
          </w:tcPr>
          <w:p>
            <w:pPr>
              <w:jc w:val="center"/>
            </w:pPr>
            <w:r>
              <w:rPr>
                <w:rFonts w:ascii="Calibri" w:hAnsi="Calibri"/>
                <w:color w:val="282828"/>
                <w:sz w:val="14"/>
              </w:rPr>
              <w:t>262.00</w:t>
            </w:r>
          </w:p>
        </w:tc>
        <w:tc>
          <w:tcPr>
            <w:tcW w:type="dxa" w:w="720"/>
            <w:shd w:fill="FFFFFF"/>
            <w:tcMar>
              <w:top w:w="50" w:type="dxa"/>
              <w:bottom w:w="50" w:type="dxa"/>
              <w:left w:w="80" w:type="dxa"/>
              <w:right w:w="80" w:type="dxa"/>
            </w:tcMar>
          </w:tcPr>
          <w:p>
            <w:pPr>
              <w:jc w:val="center"/>
            </w:pPr>
            <w:r>
              <w:rPr>
                <w:rFonts w:ascii="Calibri" w:hAnsi="Calibri"/>
                <w:color w:val="282828"/>
                <w:sz w:val="14"/>
              </w:rPr>
              <w:t>139.60</w:t>
            </w:r>
          </w:p>
        </w:tc>
        <w:tc>
          <w:tcPr>
            <w:tcW w:type="dxa" w:w="720"/>
            <w:shd w:fill="FFFFFF"/>
            <w:tcMar>
              <w:top w:w="50" w:type="dxa"/>
              <w:bottom w:w="50" w:type="dxa"/>
              <w:left w:w="80" w:type="dxa"/>
              <w:right w:w="80" w:type="dxa"/>
            </w:tcMar>
          </w:tcPr>
          <w:p>
            <w:pPr>
              <w:jc w:val="center"/>
            </w:pPr>
            <w:r>
              <w:rPr>
                <w:rFonts w:ascii="Calibri" w:hAnsi="Calibri"/>
                <w:color w:val="282828"/>
                <w:sz w:val="14"/>
              </w:rPr>
              <w:t>133.80</w:t>
            </w:r>
          </w:p>
        </w:tc>
        <w:tc>
          <w:tcPr>
            <w:tcW w:type="dxa" w:w="720"/>
            <w:shd w:fill="FFFFFF"/>
            <w:tcMar>
              <w:top w:w="50" w:type="dxa"/>
              <w:bottom w:w="50" w:type="dxa"/>
              <w:left w:w="80" w:type="dxa"/>
              <w:right w:w="80" w:type="dxa"/>
            </w:tcMar>
          </w:tcPr>
          <w:p>
            <w:pPr>
              <w:jc w:val="center"/>
            </w:pPr>
            <w:r>
              <w:rPr>
                <w:rFonts w:ascii="Calibri" w:hAnsi="Calibri"/>
                <w:color w:val="282828"/>
                <w:sz w:val="14"/>
              </w:rPr>
              <w:t>1.74</w:t>
            </w:r>
          </w:p>
        </w:tc>
        <w:tc>
          <w:tcPr>
            <w:tcW w:type="dxa" w:w="720"/>
            <w:shd w:fill="FFFFFF"/>
            <w:tcMar>
              <w:top w:w="50" w:type="dxa"/>
              <w:bottom w:w="50" w:type="dxa"/>
              <w:left w:w="80" w:type="dxa"/>
              <w:right w:w="80" w:type="dxa"/>
            </w:tcMar>
          </w:tcPr>
          <w:p>
            <w:pPr>
              <w:jc w:val="center"/>
            </w:pPr>
            <w:r>
              <w:rPr>
                <w:rFonts w:ascii="Calibri" w:hAnsi="Calibri"/>
                <w:color w:val="282828"/>
                <w:sz w:val="14"/>
              </w:rPr>
              <w:t>69.20</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r>
      <w:tr>
        <w:tc>
          <w:tcPr>
            <w:tcW w:type="dxa" w:w="720"/>
            <w:shd w:fill="F2F5F9"/>
            <w:tcMar>
              <w:top w:w="50" w:type="dxa"/>
              <w:bottom w:w="50" w:type="dxa"/>
              <w:left w:w="80" w:type="dxa"/>
              <w:right w:w="80" w:type="dxa"/>
            </w:tcMar>
          </w:tcPr>
          <w:p>
            <w:pPr>
              <w:jc w:val="left"/>
            </w:pPr>
            <w:r>
              <w:rPr>
                <w:rFonts w:ascii="Calibri" w:hAnsi="Calibri"/>
                <w:color w:val="282828"/>
                <w:sz w:val="14"/>
              </w:rPr>
              <w:t>Cleveland Heart Disease (N=297)</w:t>
            </w:r>
          </w:p>
        </w:tc>
        <w:tc>
          <w:tcPr>
            <w:tcW w:type="dxa" w:w="720"/>
            <w:shd w:fill="F2F5F9"/>
            <w:tcMar>
              <w:top w:w="50" w:type="dxa"/>
              <w:bottom w:w="50" w:type="dxa"/>
              <w:left w:w="80" w:type="dxa"/>
              <w:right w:w="80" w:type="dxa"/>
            </w:tcMar>
          </w:tcPr>
          <w:p>
            <w:pPr>
              <w:jc w:val="left"/>
            </w:pPr>
            <w:r>
              <w:rPr>
                <w:rFonts w:ascii="Calibri" w:hAnsi="Calibri"/>
                <w:color w:val="282828"/>
                <w:sz w:val="14"/>
              </w:rPr>
              <w:t>Cluster 1 (High Cardiac Risk)</w:t>
            </w:r>
          </w:p>
        </w:tc>
        <w:tc>
          <w:tcPr>
            <w:tcW w:type="dxa" w:w="720"/>
            <w:shd w:fill="F2F5F9"/>
            <w:tcMar>
              <w:top w:w="50" w:type="dxa"/>
              <w:bottom w:w="50" w:type="dxa"/>
              <w:left w:w="80" w:type="dxa"/>
              <w:right w:w="80" w:type="dxa"/>
            </w:tcMar>
          </w:tcPr>
          <w:p>
            <w:pPr>
              <w:jc w:val="center"/>
            </w:pPr>
            <w:r>
              <w:rPr>
                <w:rFonts w:ascii="Calibri" w:hAnsi="Calibri"/>
                <w:color w:val="282828"/>
                <w:sz w:val="14"/>
              </w:rPr>
              <w:t>167</w:t>
            </w:r>
          </w:p>
        </w:tc>
        <w:tc>
          <w:tcPr>
            <w:tcW w:type="dxa" w:w="720"/>
            <w:shd w:fill="F2F5F9"/>
            <w:tcMar>
              <w:top w:w="50" w:type="dxa"/>
              <w:bottom w:w="50" w:type="dxa"/>
              <w:left w:w="80" w:type="dxa"/>
              <w:right w:w="80" w:type="dxa"/>
            </w:tcMar>
          </w:tcPr>
          <w:p>
            <w:pPr>
              <w:jc w:val="center"/>
            </w:pPr>
            <w:r>
              <w:rPr>
                <w:rFonts w:ascii="Calibri" w:hAnsi="Calibri"/>
                <w:color w:val="282828"/>
                <w:sz w:val="14"/>
              </w:rPr>
              <w:t>49.60</w:t>
            </w:r>
          </w:p>
        </w:tc>
        <w:tc>
          <w:tcPr>
            <w:tcW w:type="dxa" w:w="720"/>
            <w:shd w:fill="F2F5F9"/>
            <w:tcMar>
              <w:top w:w="50" w:type="dxa"/>
              <w:bottom w:w="50" w:type="dxa"/>
              <w:left w:w="80" w:type="dxa"/>
              <w:right w:w="80" w:type="dxa"/>
            </w:tcMar>
          </w:tcPr>
          <w:p>
            <w:pPr>
              <w:jc w:val="center"/>
            </w:pPr>
            <w:r>
              <w:rPr>
                <w:rFonts w:ascii="Calibri" w:hAnsi="Calibri"/>
                <w:color w:val="282828"/>
                <w:sz w:val="14"/>
              </w:rPr>
              <w:t>236.00</w:t>
            </w:r>
          </w:p>
        </w:tc>
        <w:tc>
          <w:tcPr>
            <w:tcW w:type="dxa" w:w="720"/>
            <w:shd w:fill="F2F5F9"/>
            <w:tcMar>
              <w:top w:w="50" w:type="dxa"/>
              <w:bottom w:w="50" w:type="dxa"/>
              <w:left w:w="80" w:type="dxa"/>
              <w:right w:w="80" w:type="dxa"/>
            </w:tcMar>
          </w:tcPr>
          <w:p>
            <w:pPr>
              <w:jc w:val="center"/>
            </w:pPr>
            <w:r>
              <w:rPr>
                <w:rFonts w:ascii="Calibri" w:hAnsi="Calibri"/>
                <w:color w:val="282828"/>
                <w:sz w:val="14"/>
              </w:rPr>
              <w:t>125.60</w:t>
            </w:r>
          </w:p>
        </w:tc>
        <w:tc>
          <w:tcPr>
            <w:tcW w:type="dxa" w:w="720"/>
            <w:shd w:fill="F2F5F9"/>
            <w:tcMar>
              <w:top w:w="50" w:type="dxa"/>
              <w:bottom w:w="50" w:type="dxa"/>
              <w:left w:w="80" w:type="dxa"/>
              <w:right w:w="80" w:type="dxa"/>
            </w:tcMar>
          </w:tcPr>
          <w:p>
            <w:pPr>
              <w:jc w:val="center"/>
            </w:pPr>
            <w:r>
              <w:rPr>
                <w:rFonts w:ascii="Calibri" w:hAnsi="Calibri"/>
                <w:color w:val="282828"/>
                <w:sz w:val="14"/>
              </w:rPr>
              <w:t>161.90</w:t>
            </w:r>
          </w:p>
        </w:tc>
        <w:tc>
          <w:tcPr>
            <w:tcW w:type="dxa" w:w="720"/>
            <w:shd w:fill="F2F5F9"/>
            <w:tcMar>
              <w:top w:w="50" w:type="dxa"/>
              <w:bottom w:w="50" w:type="dxa"/>
              <w:left w:w="80" w:type="dxa"/>
              <w:right w:w="80" w:type="dxa"/>
            </w:tcMar>
          </w:tcPr>
          <w:p>
            <w:pPr>
              <w:jc w:val="center"/>
            </w:pPr>
            <w:r>
              <w:rPr>
                <w:rFonts w:ascii="Calibri" w:hAnsi="Calibri"/>
                <w:color w:val="282828"/>
                <w:sz w:val="14"/>
              </w:rPr>
              <w:t>0.53</w:t>
            </w:r>
          </w:p>
        </w:tc>
        <w:tc>
          <w:tcPr>
            <w:tcW w:type="dxa" w:w="720"/>
            <w:shd w:fill="F2F5F9"/>
            <w:tcMar>
              <w:top w:w="50" w:type="dxa"/>
              <w:bottom w:w="50" w:type="dxa"/>
              <w:left w:w="80" w:type="dxa"/>
              <w:right w:w="80" w:type="dxa"/>
            </w:tcMar>
          </w:tcPr>
          <w:p>
            <w:pPr>
              <w:jc w:val="center"/>
            </w:pPr>
            <w:r>
              <w:rPr>
                <w:rFonts w:ascii="Calibri" w:hAnsi="Calibri"/>
                <w:color w:val="282828"/>
                <w:sz w:val="14"/>
              </w:rPr>
              <w:t>28.10</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r>
      <w:tr>
        <w:tc>
          <w:tcPr>
            <w:tcW w:type="dxa" w:w="720"/>
            <w:shd w:fill="FFFFFF"/>
            <w:tcMar>
              <w:top w:w="50" w:type="dxa"/>
              <w:bottom w:w="50" w:type="dxa"/>
              <w:left w:w="80" w:type="dxa"/>
              <w:right w:w="80" w:type="dxa"/>
            </w:tcMar>
          </w:tcPr>
          <w:p>
            <w:pPr>
              <w:jc w:val="left"/>
            </w:pPr>
            <w:r>
              <w:rPr>
                <w:rFonts w:ascii="Calibri" w:hAnsi="Calibri"/>
                <w:color w:val="282828"/>
                <w:sz w:val="14"/>
              </w:rPr>
              <w:t>Pima Indians Diabetes (N=768)</w:t>
            </w:r>
          </w:p>
        </w:tc>
        <w:tc>
          <w:tcPr>
            <w:tcW w:type="dxa" w:w="720"/>
            <w:shd w:fill="FFFFFF"/>
            <w:tcMar>
              <w:top w:w="50" w:type="dxa"/>
              <w:bottom w:w="50" w:type="dxa"/>
              <w:left w:w="80" w:type="dxa"/>
              <w:right w:w="80" w:type="dxa"/>
            </w:tcMar>
          </w:tcPr>
          <w:p>
            <w:pPr>
              <w:jc w:val="left"/>
            </w:pPr>
            <w:r>
              <w:rPr>
                <w:rFonts w:ascii="Calibri" w:hAnsi="Calibri"/>
                <w:color w:val="282828"/>
                <w:sz w:val="14"/>
              </w:rPr>
              <w:t>Cluster 0 (Normoglycemic Metabolic)</w:t>
            </w:r>
          </w:p>
        </w:tc>
        <w:tc>
          <w:tcPr>
            <w:tcW w:type="dxa" w:w="720"/>
            <w:shd w:fill="FFFFFF"/>
            <w:tcMar>
              <w:top w:w="50" w:type="dxa"/>
              <w:bottom w:w="50" w:type="dxa"/>
              <w:left w:w="80" w:type="dxa"/>
              <w:right w:w="80" w:type="dxa"/>
            </w:tcMar>
          </w:tcPr>
          <w:p>
            <w:pPr>
              <w:jc w:val="center"/>
            </w:pPr>
            <w:r>
              <w:rPr>
                <w:rFonts w:ascii="Calibri" w:hAnsi="Calibri"/>
                <w:color w:val="282828"/>
                <w:sz w:val="14"/>
              </w:rPr>
              <w:t>435</w:t>
            </w:r>
          </w:p>
        </w:tc>
        <w:tc>
          <w:tcPr>
            <w:tcW w:type="dxa" w:w="720"/>
            <w:shd w:fill="FFFFFF"/>
            <w:tcMar>
              <w:top w:w="50" w:type="dxa"/>
              <w:bottom w:w="50" w:type="dxa"/>
              <w:left w:w="80" w:type="dxa"/>
              <w:right w:w="80" w:type="dxa"/>
            </w:tcMar>
          </w:tcPr>
          <w:p>
            <w:pPr>
              <w:jc w:val="center"/>
            </w:pPr>
            <w:r>
              <w:rPr>
                <w:rFonts w:ascii="Calibri" w:hAnsi="Calibri"/>
                <w:color w:val="282828"/>
                <w:sz w:val="14"/>
              </w:rPr>
              <w:t>27.60</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N/A</w:t>
            </w:r>
          </w:p>
        </w:tc>
        <w:tc>
          <w:tcPr>
            <w:tcW w:type="dxa" w:w="720"/>
            <w:shd w:fill="FFFFFF"/>
            <w:tcMar>
              <w:top w:w="50" w:type="dxa"/>
              <w:bottom w:w="50" w:type="dxa"/>
              <w:left w:w="80" w:type="dxa"/>
              <w:right w:w="80" w:type="dxa"/>
            </w:tcMar>
          </w:tcPr>
          <w:p>
            <w:pPr>
              <w:jc w:val="center"/>
            </w:pPr>
            <w:r>
              <w:rPr>
                <w:rFonts w:ascii="Calibri" w:hAnsi="Calibri"/>
                <w:color w:val="282828"/>
                <w:sz w:val="14"/>
              </w:rPr>
              <w:t>104.80</w:t>
            </w:r>
          </w:p>
        </w:tc>
        <w:tc>
          <w:tcPr>
            <w:tcW w:type="dxa" w:w="720"/>
            <w:shd w:fill="FFFFFF"/>
            <w:tcMar>
              <w:top w:w="50" w:type="dxa"/>
              <w:bottom w:w="50" w:type="dxa"/>
              <w:left w:w="80" w:type="dxa"/>
              <w:right w:w="80" w:type="dxa"/>
            </w:tcMar>
          </w:tcPr>
          <w:p>
            <w:pPr>
              <w:jc w:val="center"/>
            </w:pPr>
            <w:r>
              <w:rPr>
                <w:rFonts w:ascii="Calibri" w:hAnsi="Calibri"/>
                <w:color w:val="282828"/>
                <w:sz w:val="14"/>
              </w:rPr>
              <w:t>114.20</w:t>
            </w:r>
          </w:p>
        </w:tc>
        <w:tc>
          <w:tcPr>
            <w:tcW w:type="dxa" w:w="720"/>
            <w:shd w:fill="FFFFFF"/>
            <w:tcMar>
              <w:top w:w="50" w:type="dxa"/>
              <w:bottom w:w="50" w:type="dxa"/>
              <w:left w:w="80" w:type="dxa"/>
              <w:right w:w="80" w:type="dxa"/>
            </w:tcMar>
          </w:tcPr>
          <w:p>
            <w:pPr>
              <w:jc w:val="center"/>
            </w:pPr>
            <w:r>
              <w:rPr>
                <w:rFonts w:ascii="Calibri" w:hAnsi="Calibri"/>
                <w:color w:val="282828"/>
                <w:sz w:val="14"/>
              </w:rPr>
              <w:t>30.00</w:t>
            </w:r>
          </w:p>
        </w:tc>
        <w:tc>
          <w:tcPr>
            <w:tcW w:type="dxa" w:w="720"/>
            <w:shd w:fill="FFFFFF"/>
            <w:tcMar>
              <w:top w:w="50" w:type="dxa"/>
              <w:bottom w:w="50" w:type="dxa"/>
              <w:left w:w="80" w:type="dxa"/>
              <w:right w:w="80" w:type="dxa"/>
            </w:tcMar>
          </w:tcPr>
          <w:p>
            <w:pPr>
              <w:jc w:val="center"/>
            </w:pPr>
            <w:r>
              <w:rPr>
                <w:rFonts w:ascii="Calibri" w:hAnsi="Calibri"/>
                <w:color w:val="282828"/>
                <w:sz w:val="14"/>
              </w:rPr>
              <w:t>67.00</w:t>
            </w:r>
          </w:p>
        </w:tc>
        <w:tc>
          <w:tcPr>
            <w:tcW w:type="dxa" w:w="720"/>
            <w:shd w:fill="FFFFFF"/>
            <w:tcMar>
              <w:top w:w="50" w:type="dxa"/>
              <w:bottom w:w="50" w:type="dxa"/>
              <w:left w:w="80" w:type="dxa"/>
              <w:right w:w="80" w:type="dxa"/>
            </w:tcMar>
          </w:tcPr>
          <w:p>
            <w:pPr>
              <w:jc w:val="center"/>
            </w:pPr>
            <w:r>
              <w:rPr>
                <w:rFonts w:ascii="Calibri" w:hAnsi="Calibri"/>
                <w:color w:val="282828"/>
                <w:sz w:val="14"/>
              </w:rPr>
              <w:t>17.70</w:t>
            </w:r>
          </w:p>
        </w:tc>
      </w:tr>
      <w:tr>
        <w:tc>
          <w:tcPr>
            <w:tcW w:type="dxa" w:w="720"/>
            <w:shd w:fill="F2F5F9"/>
            <w:tcMar>
              <w:top w:w="50" w:type="dxa"/>
              <w:bottom w:w="50" w:type="dxa"/>
              <w:left w:w="80" w:type="dxa"/>
              <w:right w:w="80" w:type="dxa"/>
            </w:tcMar>
          </w:tcPr>
          <w:p>
            <w:pPr>
              <w:jc w:val="left"/>
            </w:pPr>
            <w:r>
              <w:rPr>
                <w:rFonts w:ascii="Calibri" w:hAnsi="Calibri"/>
                <w:color w:val="282828"/>
                <w:sz w:val="14"/>
              </w:rPr>
              <w:t>Pima Indians Diabetes (N=768)</w:t>
            </w:r>
          </w:p>
        </w:tc>
        <w:tc>
          <w:tcPr>
            <w:tcW w:type="dxa" w:w="720"/>
            <w:shd w:fill="F2F5F9"/>
            <w:tcMar>
              <w:top w:w="50" w:type="dxa"/>
              <w:bottom w:w="50" w:type="dxa"/>
              <w:left w:w="80" w:type="dxa"/>
              <w:right w:w="80" w:type="dxa"/>
            </w:tcMar>
          </w:tcPr>
          <w:p>
            <w:pPr>
              <w:jc w:val="left"/>
            </w:pPr>
            <w:r>
              <w:rPr>
                <w:rFonts w:ascii="Calibri" w:hAnsi="Calibri"/>
                <w:color w:val="282828"/>
                <w:sz w:val="14"/>
              </w:rPr>
              <w:t>Cluster 1 (Hyperglycemic Insulin-Resistant)</w:t>
            </w:r>
          </w:p>
        </w:tc>
        <w:tc>
          <w:tcPr>
            <w:tcW w:type="dxa" w:w="720"/>
            <w:shd w:fill="F2F5F9"/>
            <w:tcMar>
              <w:top w:w="50" w:type="dxa"/>
              <w:bottom w:w="50" w:type="dxa"/>
              <w:left w:w="80" w:type="dxa"/>
              <w:right w:w="80" w:type="dxa"/>
            </w:tcMar>
          </w:tcPr>
          <w:p>
            <w:pPr>
              <w:jc w:val="center"/>
            </w:pPr>
            <w:r>
              <w:rPr>
                <w:rFonts w:ascii="Calibri" w:hAnsi="Calibri"/>
                <w:color w:val="282828"/>
                <w:sz w:val="14"/>
              </w:rPr>
              <w:t>333</w:t>
            </w:r>
          </w:p>
        </w:tc>
        <w:tc>
          <w:tcPr>
            <w:tcW w:type="dxa" w:w="720"/>
            <w:shd w:fill="F2F5F9"/>
            <w:tcMar>
              <w:top w:w="50" w:type="dxa"/>
              <w:bottom w:w="50" w:type="dxa"/>
              <w:left w:w="80" w:type="dxa"/>
              <w:right w:w="80" w:type="dxa"/>
            </w:tcMar>
          </w:tcPr>
          <w:p>
            <w:pPr>
              <w:jc w:val="center"/>
            </w:pPr>
            <w:r>
              <w:rPr>
                <w:rFonts w:ascii="Calibri" w:hAnsi="Calibri"/>
                <w:color w:val="282828"/>
                <w:sz w:val="14"/>
              </w:rPr>
              <w:t>40.70</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N/A</w:t>
            </w:r>
          </w:p>
        </w:tc>
        <w:tc>
          <w:tcPr>
            <w:tcW w:type="dxa" w:w="720"/>
            <w:shd w:fill="F2F5F9"/>
            <w:tcMar>
              <w:top w:w="50" w:type="dxa"/>
              <w:bottom w:w="50" w:type="dxa"/>
              <w:left w:w="80" w:type="dxa"/>
              <w:right w:w="80" w:type="dxa"/>
            </w:tcMar>
          </w:tcPr>
          <w:p>
            <w:pPr>
              <w:jc w:val="center"/>
            </w:pPr>
            <w:r>
              <w:rPr>
                <w:rFonts w:ascii="Calibri" w:hAnsi="Calibri"/>
                <w:color w:val="282828"/>
                <w:sz w:val="14"/>
              </w:rPr>
              <w:t>143.70</w:t>
            </w:r>
          </w:p>
        </w:tc>
        <w:tc>
          <w:tcPr>
            <w:tcW w:type="dxa" w:w="720"/>
            <w:shd w:fill="F2F5F9"/>
            <w:tcMar>
              <w:top w:w="50" w:type="dxa"/>
              <w:bottom w:w="50" w:type="dxa"/>
              <w:left w:w="80" w:type="dxa"/>
              <w:right w:w="80" w:type="dxa"/>
            </w:tcMar>
          </w:tcPr>
          <w:p>
            <w:pPr>
              <w:jc w:val="center"/>
            </w:pPr>
            <w:r>
              <w:rPr>
                <w:rFonts w:ascii="Calibri" w:hAnsi="Calibri"/>
                <w:color w:val="282828"/>
                <w:sz w:val="14"/>
              </w:rPr>
              <w:t>175.20</w:t>
            </w:r>
          </w:p>
        </w:tc>
        <w:tc>
          <w:tcPr>
            <w:tcW w:type="dxa" w:w="720"/>
            <w:shd w:fill="F2F5F9"/>
            <w:tcMar>
              <w:top w:w="50" w:type="dxa"/>
              <w:bottom w:w="50" w:type="dxa"/>
              <w:left w:w="80" w:type="dxa"/>
              <w:right w:w="80" w:type="dxa"/>
            </w:tcMar>
          </w:tcPr>
          <w:p>
            <w:pPr>
              <w:jc w:val="center"/>
            </w:pPr>
            <w:r>
              <w:rPr>
                <w:rFonts w:ascii="Calibri" w:hAnsi="Calibri"/>
                <w:color w:val="282828"/>
                <w:sz w:val="14"/>
              </w:rPr>
              <w:t>35.60</w:t>
            </w:r>
          </w:p>
        </w:tc>
        <w:tc>
          <w:tcPr>
            <w:tcW w:type="dxa" w:w="720"/>
            <w:shd w:fill="F2F5F9"/>
            <w:tcMar>
              <w:top w:w="50" w:type="dxa"/>
              <w:bottom w:w="50" w:type="dxa"/>
              <w:left w:w="80" w:type="dxa"/>
              <w:right w:w="80" w:type="dxa"/>
            </w:tcMar>
          </w:tcPr>
          <w:p>
            <w:pPr>
              <w:jc w:val="center"/>
            </w:pPr>
            <w:r>
              <w:rPr>
                <w:rFonts w:ascii="Calibri" w:hAnsi="Calibri"/>
                <w:color w:val="282828"/>
                <w:sz w:val="14"/>
              </w:rPr>
              <w:t>79.40</w:t>
            </w:r>
          </w:p>
        </w:tc>
        <w:tc>
          <w:tcPr>
            <w:tcW w:type="dxa" w:w="720"/>
            <w:shd w:fill="F2F5F9"/>
            <w:tcMar>
              <w:top w:w="50" w:type="dxa"/>
              <w:bottom w:w="50" w:type="dxa"/>
              <w:left w:w="80" w:type="dxa"/>
              <w:right w:w="80" w:type="dxa"/>
            </w:tcMar>
          </w:tcPr>
          <w:p>
            <w:pPr>
              <w:jc w:val="center"/>
            </w:pPr>
            <w:r>
              <w:rPr>
                <w:rFonts w:ascii="Calibri" w:hAnsi="Calibri"/>
                <w:color w:val="282828"/>
                <w:sz w:val="14"/>
              </w:rPr>
              <w:t>57.40</w:t>
            </w:r>
          </w:p>
        </w:tc>
      </w:tr>
    </w:tbl>
    <w:p>
      <w:pPr>
        <w:spacing w:after="60"/>
      </w:pPr>
    </w:p>
    <w:p>
      <w:pPr>
        <w:keepNext/>
        <w:spacing w:before="120" w:after="40"/>
        <w:jc w:val="center"/>
      </w:pPr>
      <w:r>
        <w:drawing>
          <wp:inline xmlns:a="http://schemas.openxmlformats.org/drawingml/2006/main" xmlns:pic="http://schemas.openxmlformats.org/drawingml/2006/picture">
            <wp:extent cx="4937760" cy="2032037"/>
            <wp:docPr id="4" name="Picture 4"/>
            <wp:cNvGraphicFramePr>
              <a:graphicFrameLocks noChangeAspect="1"/>
            </wp:cNvGraphicFramePr>
            <a:graphic>
              <a:graphicData uri="http://schemas.openxmlformats.org/drawingml/2006/picture">
                <pic:pic>
                  <pic:nvPicPr>
                    <pic:cNvPr id="0" name="stage2_fig5_clinical_cohort_clusters.png"/>
                    <pic:cNvPicPr/>
                  </pic:nvPicPr>
                  <pic:blipFill>
                    <a:blip r:embed="rId12"/>
                    <a:stretch>
                      <a:fillRect/>
                    </a:stretch>
                  </pic:blipFill>
                  <pic:spPr>
                    <a:xfrm>
                      <a:off x="0" y="0"/>
                      <a:ext cx="4937760" cy="2032037"/>
                    </a:xfrm>
                    <a:prstGeom prst="rect"/>
                  </pic:spPr>
                </pic:pic>
              </a:graphicData>
            </a:graphic>
          </wp:inline>
        </w:drawing>
      </w:r>
    </w:p>
    <w:p>
      <w:pPr>
        <w:keepNext/>
        <w:spacing w:before="40" w:after="20"/>
        <w:jc w:val="center"/>
      </w:pPr>
      <w:r>
        <w:rPr>
          <w:rFonts w:ascii="Calibri" w:hAnsi="Calibri"/>
          <w:b/>
          <w:color w:val="1F497D"/>
          <w:sz w:val="18"/>
        </w:rPr>
        <w:t>Figure 5: Clinical Laboratory Benchmarking — Scatter Distributions of Continuous Biomarkers in Cleveland and Pima Cohorts</w:t>
      </w:r>
    </w:p>
    <w:p>
      <w:pPr>
        <w:spacing w:before="20" w:after="100"/>
        <w:jc w:val="center"/>
      </w:pPr>
      <w:r>
        <w:rPr>
          <w:rFonts w:ascii="Calibri" w:hAnsi="Calibri"/>
          <w:b/>
          <w:color w:val="B43214"/>
          <w:sz w:val="17"/>
        </w:rPr>
        <w:t xml:space="preserve">Key Takeaway: </w:t>
      </w:r>
      <w:r>
        <w:rPr>
          <w:rFonts w:ascii="Calibri" w:hAnsi="Calibri"/>
          <w:i/>
          <w:color w:val="3C3C3C"/>
          <w:sz w:val="17"/>
        </w:rPr>
        <w:t>Continuous physiological assays (cholesterol, ST depression, fasting glucose, and BMI) partition patients into sharp clinical risk phenotypes.</w:t>
      </w:r>
    </w:p>
    <w:p>
      <w:pPr>
        <w:pStyle w:val="Heading2"/>
        <w:spacing w:before="120" w:after="40"/>
      </w:pPr>
      <w:r>
        <w:t>1.4 Comparative Algorithm Evaluation &amp; Structural Dynamics</w:t>
      </w:r>
    </w:p>
    <w:p>
      <w:r>
        <w:t>To evaluate algorithmic behavior, Table 3 compares K-Means, Hierarchical (Ward), and DBSCAN across Silhouette Score, Davies-Bouldin Index, Calinski-Harabasz Index, and Adjusted Rand Index (ARI) relative to K-Means:</w:t>
        <w:br/>
        <w:t>• K-Means vs. Hierarchical Agglomerative: K-Means achieves a higher silhouette score (0.1534 vs. 0.1193) and superior Davies-Bouldin Index (2.1061 vs. 2.3281, where lower values indicate better separation). However, the Adjusted Rand Index between them is 0.4758, indicating substantial structural agreement. Both methods partition the global continuous space into three tiers, but Ward's hierarchical tree merges smaller border branches based on strict agglomerative proximity, slightly sacrificing global centroid separation.</w:t>
        <w:br/>
        <w:t>• DBSCAN Structural Contrasts: DBSCAN yielded 4 clusters and identified 166 points (3.3%) as sparse noise. On its dense core clusters, DBSCAN achieves a higher silhouette score (0.2578) and low Davies-Bouldin Index (1.0105). However, its ARI with K-Means is only 0.0589. This profound divergence stems from algorithm inductive bias: DBSCAN groups the vast majority of respondents (N=4,784, or 95.7%) into a single large continuous density-connected manifold, while carving out three tiny satellite clusters (N=16, 17, 17). In survey health data with continuous demographic gradients, DBSCAN fails to establish intermediate risk strata, demonstrating that centroid-based partitioning is far superior for actionable clinical segmentation.</w:t>
      </w:r>
    </w:p>
    <w:p>
      <w:pPr>
        <w:keepNext/>
        <w:spacing w:before="120" w:after="40"/>
      </w:pPr>
      <w:r>
        <w:rPr>
          <w:rFonts w:ascii="Calibri" w:hAnsi="Calibri"/>
          <w:b/>
          <w:color w:val="1F497D"/>
          <w:sz w:val="18"/>
        </w:rPr>
        <w:t>Table 3: Unsupervised Clustering Methods Performance and Cross-Method Similarity Comparison (N=5,000)</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90" w:type="dxa"/>
              <w:bottom w:w="90" w:type="dxa"/>
              <w:left w:w="100" w:type="dxa"/>
              <w:right w:w="100" w:type="dxa"/>
            </w:tcMar>
          </w:tcPr>
          <w:p>
            <w:pPr>
              <w:jc w:val="center"/>
            </w:pPr>
            <w:r>
              <w:rPr>
                <w:rFonts w:ascii="Calibri" w:hAnsi="Calibri"/>
                <w:b/>
                <w:color w:val="FFFFFF"/>
                <w:sz w:val="15"/>
              </w:rPr>
              <w:t>Clustering Method</w:t>
            </w:r>
          </w:p>
        </w:tc>
        <w:tc>
          <w:tcPr>
            <w:tcW w:type="dxa" w:w="1440"/>
            <w:shd w:fill="1F497D"/>
            <w:tcMar>
              <w:top w:w="90" w:type="dxa"/>
              <w:bottom w:w="90" w:type="dxa"/>
              <w:left w:w="100" w:type="dxa"/>
              <w:right w:w="100" w:type="dxa"/>
            </w:tcMar>
          </w:tcPr>
          <w:p>
            <w:pPr>
              <w:jc w:val="center"/>
            </w:pPr>
            <w:r>
              <w:rPr>
                <w:rFonts w:ascii="Calibri" w:hAnsi="Calibri"/>
                <w:b/>
                <w:color w:val="FFFFFF"/>
                <w:sz w:val="15"/>
              </w:rPr>
              <w:t>Number Of Clusters</w:t>
            </w:r>
          </w:p>
        </w:tc>
        <w:tc>
          <w:tcPr>
            <w:tcW w:type="dxa" w:w="1440"/>
            <w:shd w:fill="1F497D"/>
            <w:tcMar>
              <w:top w:w="90" w:type="dxa"/>
              <w:bottom w:w="90" w:type="dxa"/>
              <w:left w:w="100" w:type="dxa"/>
              <w:right w:w="100" w:type="dxa"/>
            </w:tcMar>
          </w:tcPr>
          <w:p>
            <w:pPr>
              <w:jc w:val="center"/>
            </w:pPr>
            <w:r>
              <w:rPr>
                <w:rFonts w:ascii="Calibri" w:hAnsi="Calibri"/>
                <w:b/>
                <w:color w:val="FFFFFF"/>
                <w:sz w:val="15"/>
              </w:rPr>
              <w:t>Noise Points Count</w:t>
            </w:r>
          </w:p>
        </w:tc>
        <w:tc>
          <w:tcPr>
            <w:tcW w:type="dxa" w:w="1440"/>
            <w:shd w:fill="1F497D"/>
            <w:tcMar>
              <w:top w:w="90" w:type="dxa"/>
              <w:bottom w:w="90" w:type="dxa"/>
              <w:left w:w="100" w:type="dxa"/>
              <w:right w:w="100" w:type="dxa"/>
            </w:tcMar>
          </w:tcPr>
          <w:p>
            <w:pPr>
              <w:jc w:val="center"/>
            </w:pPr>
            <w:r>
              <w:rPr>
                <w:rFonts w:ascii="Calibri" w:hAnsi="Calibri"/>
                <w:b/>
                <w:color w:val="FFFFFF"/>
                <w:sz w:val="15"/>
              </w:rPr>
              <w:t>Silhouette Score</w:t>
            </w:r>
          </w:p>
        </w:tc>
        <w:tc>
          <w:tcPr>
            <w:tcW w:type="dxa" w:w="1440"/>
            <w:shd w:fill="1F497D"/>
            <w:tcMar>
              <w:top w:w="90" w:type="dxa"/>
              <w:bottom w:w="90" w:type="dxa"/>
              <w:left w:w="100" w:type="dxa"/>
              <w:right w:w="100" w:type="dxa"/>
            </w:tcMar>
          </w:tcPr>
          <w:p>
            <w:pPr>
              <w:jc w:val="center"/>
            </w:pPr>
            <w:r>
              <w:rPr>
                <w:rFonts w:ascii="Calibri" w:hAnsi="Calibri"/>
                <w:b/>
                <w:color w:val="FFFFFF"/>
                <w:sz w:val="15"/>
              </w:rPr>
              <w:t>Davies Bouldin Index</w:t>
            </w:r>
          </w:p>
        </w:tc>
        <w:tc>
          <w:tcPr>
            <w:tcW w:type="dxa" w:w="1440"/>
            <w:shd w:fill="1F497D"/>
            <w:tcMar>
              <w:top w:w="90" w:type="dxa"/>
              <w:bottom w:w="90" w:type="dxa"/>
              <w:left w:w="100" w:type="dxa"/>
              <w:right w:w="100" w:type="dxa"/>
            </w:tcMar>
          </w:tcPr>
          <w:p>
            <w:pPr>
              <w:jc w:val="center"/>
            </w:pPr>
            <w:r>
              <w:rPr>
                <w:rFonts w:ascii="Calibri" w:hAnsi="Calibri"/>
                <w:b/>
                <w:color w:val="FFFFFF"/>
                <w:sz w:val="15"/>
              </w:rPr>
              <w:t>Calinski Harabasz Index</w:t>
            </w:r>
          </w:p>
        </w:tc>
        <w:tc>
          <w:tcPr>
            <w:tcW w:type="dxa" w:w="1440"/>
            <w:shd w:fill="1F497D"/>
            <w:tcMar>
              <w:top w:w="90" w:type="dxa"/>
              <w:bottom w:w="90" w:type="dxa"/>
              <w:left w:w="100" w:type="dxa"/>
              <w:right w:w="100" w:type="dxa"/>
            </w:tcMar>
          </w:tcPr>
          <w:p>
            <w:pPr>
              <w:jc w:val="center"/>
            </w:pPr>
            <w:r>
              <w:rPr>
                <w:rFonts w:ascii="Calibri" w:hAnsi="Calibri"/>
                <w:b/>
                <w:color w:val="FFFFFF"/>
                <w:sz w:val="15"/>
              </w:rPr>
              <w:t>Adjusted Rand Index Vs Kmeans</w:t>
            </w:r>
          </w:p>
        </w:tc>
      </w:tr>
      <w:tr>
        <w:tc>
          <w:tcPr>
            <w:tcW w:type="dxa" w:w="1440"/>
            <w:shd w:fill="FFFFFF"/>
            <w:tcMar>
              <w:top w:w="50" w:type="dxa"/>
              <w:bottom w:w="50" w:type="dxa"/>
              <w:left w:w="80" w:type="dxa"/>
              <w:right w:w="80" w:type="dxa"/>
            </w:tcMar>
          </w:tcPr>
          <w:p>
            <w:pPr>
              <w:jc w:val="left"/>
            </w:pPr>
            <w:r>
              <w:rPr>
                <w:rFonts w:ascii="Calibri" w:hAnsi="Calibri"/>
                <w:color w:val="282828"/>
                <w:sz w:val="15"/>
              </w:rPr>
              <w:t>K-Means (k=3)</w:t>
            </w:r>
          </w:p>
        </w:tc>
        <w:tc>
          <w:tcPr>
            <w:tcW w:type="dxa" w:w="1440"/>
            <w:shd w:fill="FFFFFF"/>
            <w:tcMar>
              <w:top w:w="50" w:type="dxa"/>
              <w:bottom w:w="50" w:type="dxa"/>
              <w:left w:w="80" w:type="dxa"/>
              <w:right w:w="80" w:type="dxa"/>
            </w:tcMar>
          </w:tcPr>
          <w:p>
            <w:pPr>
              <w:jc w:val="center"/>
            </w:pPr>
            <w:r>
              <w:rPr>
                <w:rFonts w:ascii="Calibri" w:hAnsi="Calibri"/>
                <w:color w:val="282828"/>
                <w:sz w:val="15"/>
              </w:rPr>
              <w:t>3</w:t>
            </w:r>
          </w:p>
        </w:tc>
        <w:tc>
          <w:tcPr>
            <w:tcW w:type="dxa" w:w="1440"/>
            <w:shd w:fill="FFFFFF"/>
            <w:tcMar>
              <w:top w:w="50" w:type="dxa"/>
              <w:bottom w:w="50" w:type="dxa"/>
              <w:left w:w="80" w:type="dxa"/>
              <w:right w:w="80" w:type="dxa"/>
            </w:tcMar>
          </w:tcPr>
          <w:p>
            <w:pPr>
              <w:jc w:val="center"/>
            </w:pPr>
            <w:r>
              <w:rPr>
                <w:rFonts w:ascii="Calibri" w:hAnsi="Calibri"/>
                <w:color w:val="282828"/>
                <w:sz w:val="15"/>
              </w:rPr>
              <w:t>0</w:t>
            </w:r>
          </w:p>
        </w:tc>
        <w:tc>
          <w:tcPr>
            <w:tcW w:type="dxa" w:w="1440"/>
            <w:shd w:fill="FFFFFF"/>
            <w:tcMar>
              <w:top w:w="50" w:type="dxa"/>
              <w:bottom w:w="50" w:type="dxa"/>
              <w:left w:w="80" w:type="dxa"/>
              <w:right w:w="80" w:type="dxa"/>
            </w:tcMar>
          </w:tcPr>
          <w:p>
            <w:pPr>
              <w:jc w:val="center"/>
            </w:pPr>
            <w:r>
              <w:rPr>
                <w:rFonts w:ascii="Calibri" w:hAnsi="Calibri"/>
                <w:color w:val="282828"/>
                <w:sz w:val="15"/>
              </w:rPr>
              <w:t>0.15</w:t>
            </w:r>
          </w:p>
        </w:tc>
        <w:tc>
          <w:tcPr>
            <w:tcW w:type="dxa" w:w="1440"/>
            <w:shd w:fill="FFFFFF"/>
            <w:tcMar>
              <w:top w:w="50" w:type="dxa"/>
              <w:bottom w:w="50" w:type="dxa"/>
              <w:left w:w="80" w:type="dxa"/>
              <w:right w:w="80" w:type="dxa"/>
            </w:tcMar>
          </w:tcPr>
          <w:p>
            <w:pPr>
              <w:jc w:val="center"/>
            </w:pPr>
            <w:r>
              <w:rPr>
                <w:rFonts w:ascii="Calibri" w:hAnsi="Calibri"/>
                <w:color w:val="282828"/>
                <w:sz w:val="15"/>
              </w:rPr>
              <w:t>2.11</w:t>
            </w:r>
          </w:p>
        </w:tc>
        <w:tc>
          <w:tcPr>
            <w:tcW w:type="dxa" w:w="1440"/>
            <w:shd w:fill="FFFFFF"/>
            <w:tcMar>
              <w:top w:w="50" w:type="dxa"/>
              <w:bottom w:w="50" w:type="dxa"/>
              <w:left w:w="80" w:type="dxa"/>
              <w:right w:w="80" w:type="dxa"/>
            </w:tcMar>
          </w:tcPr>
          <w:p>
            <w:pPr>
              <w:jc w:val="center"/>
            </w:pPr>
            <w:r>
              <w:rPr>
                <w:rFonts w:ascii="Calibri" w:hAnsi="Calibri"/>
                <w:color w:val="282828"/>
                <w:sz w:val="15"/>
              </w:rPr>
              <w:t>860.45</w:t>
            </w:r>
          </w:p>
        </w:tc>
        <w:tc>
          <w:tcPr>
            <w:tcW w:type="dxa" w:w="1440"/>
            <w:shd w:fill="FFFFFF"/>
            <w:tcMar>
              <w:top w:w="50" w:type="dxa"/>
              <w:bottom w:w="50" w:type="dxa"/>
              <w:left w:w="80" w:type="dxa"/>
              <w:right w:w="80" w:type="dxa"/>
            </w:tcMar>
          </w:tcPr>
          <w:p>
            <w:pPr>
              <w:jc w:val="center"/>
            </w:pPr>
            <w:r>
              <w:rPr>
                <w:rFonts w:ascii="Calibri" w:hAnsi="Calibri"/>
                <w:color w:val="282828"/>
                <w:sz w:val="15"/>
              </w:rPr>
              <w:t>1.00</w:t>
            </w:r>
          </w:p>
        </w:tc>
      </w:tr>
      <w:tr>
        <w:tc>
          <w:tcPr>
            <w:tcW w:type="dxa" w:w="1440"/>
            <w:shd w:fill="F2F5F9"/>
            <w:tcMar>
              <w:top w:w="50" w:type="dxa"/>
              <w:bottom w:w="50" w:type="dxa"/>
              <w:left w:w="80" w:type="dxa"/>
              <w:right w:w="80" w:type="dxa"/>
            </w:tcMar>
          </w:tcPr>
          <w:p>
            <w:pPr>
              <w:jc w:val="left"/>
            </w:pPr>
            <w:r>
              <w:rPr>
                <w:rFonts w:ascii="Calibri" w:hAnsi="Calibri"/>
                <w:color w:val="282828"/>
                <w:sz w:val="15"/>
              </w:rPr>
              <w:t>Hierarchical Agglomerative (Ward, k=3)</w:t>
            </w:r>
          </w:p>
        </w:tc>
        <w:tc>
          <w:tcPr>
            <w:tcW w:type="dxa" w:w="1440"/>
            <w:shd w:fill="F2F5F9"/>
            <w:tcMar>
              <w:top w:w="50" w:type="dxa"/>
              <w:bottom w:w="50" w:type="dxa"/>
              <w:left w:w="80" w:type="dxa"/>
              <w:right w:w="80" w:type="dxa"/>
            </w:tcMar>
          </w:tcPr>
          <w:p>
            <w:pPr>
              <w:jc w:val="center"/>
            </w:pPr>
            <w:r>
              <w:rPr>
                <w:rFonts w:ascii="Calibri" w:hAnsi="Calibri"/>
                <w:color w:val="282828"/>
                <w:sz w:val="15"/>
              </w:rPr>
              <w:t>3</w:t>
            </w:r>
          </w:p>
        </w:tc>
        <w:tc>
          <w:tcPr>
            <w:tcW w:type="dxa" w:w="1440"/>
            <w:shd w:fill="F2F5F9"/>
            <w:tcMar>
              <w:top w:w="50" w:type="dxa"/>
              <w:bottom w:w="50" w:type="dxa"/>
              <w:left w:w="80" w:type="dxa"/>
              <w:right w:w="80" w:type="dxa"/>
            </w:tcMar>
          </w:tcPr>
          <w:p>
            <w:pPr>
              <w:jc w:val="center"/>
            </w:pPr>
            <w:r>
              <w:rPr>
                <w:rFonts w:ascii="Calibri" w:hAnsi="Calibri"/>
                <w:color w:val="282828"/>
                <w:sz w:val="15"/>
              </w:rPr>
              <w:t>0</w:t>
            </w:r>
          </w:p>
        </w:tc>
        <w:tc>
          <w:tcPr>
            <w:tcW w:type="dxa" w:w="1440"/>
            <w:shd w:fill="F2F5F9"/>
            <w:tcMar>
              <w:top w:w="50" w:type="dxa"/>
              <w:bottom w:w="50" w:type="dxa"/>
              <w:left w:w="80" w:type="dxa"/>
              <w:right w:w="80" w:type="dxa"/>
            </w:tcMar>
          </w:tcPr>
          <w:p>
            <w:pPr>
              <w:jc w:val="center"/>
            </w:pPr>
            <w:r>
              <w:rPr>
                <w:rFonts w:ascii="Calibri" w:hAnsi="Calibri"/>
                <w:color w:val="282828"/>
                <w:sz w:val="15"/>
              </w:rPr>
              <w:t>0.12</w:t>
            </w:r>
          </w:p>
        </w:tc>
        <w:tc>
          <w:tcPr>
            <w:tcW w:type="dxa" w:w="1440"/>
            <w:shd w:fill="F2F5F9"/>
            <w:tcMar>
              <w:top w:w="50" w:type="dxa"/>
              <w:bottom w:w="50" w:type="dxa"/>
              <w:left w:w="80" w:type="dxa"/>
              <w:right w:w="80" w:type="dxa"/>
            </w:tcMar>
          </w:tcPr>
          <w:p>
            <w:pPr>
              <w:jc w:val="center"/>
            </w:pPr>
            <w:r>
              <w:rPr>
                <w:rFonts w:ascii="Calibri" w:hAnsi="Calibri"/>
                <w:color w:val="282828"/>
                <w:sz w:val="15"/>
              </w:rPr>
              <w:t>2.33</w:t>
            </w:r>
          </w:p>
        </w:tc>
        <w:tc>
          <w:tcPr>
            <w:tcW w:type="dxa" w:w="1440"/>
            <w:shd w:fill="F2F5F9"/>
            <w:tcMar>
              <w:top w:w="50" w:type="dxa"/>
              <w:bottom w:w="50" w:type="dxa"/>
              <w:left w:w="80" w:type="dxa"/>
              <w:right w:w="80" w:type="dxa"/>
            </w:tcMar>
          </w:tcPr>
          <w:p>
            <w:pPr>
              <w:jc w:val="center"/>
            </w:pPr>
            <w:r>
              <w:rPr>
                <w:rFonts w:ascii="Calibri" w:hAnsi="Calibri"/>
                <w:color w:val="282828"/>
                <w:sz w:val="15"/>
              </w:rPr>
              <w:t>691.89</w:t>
            </w:r>
          </w:p>
        </w:tc>
        <w:tc>
          <w:tcPr>
            <w:tcW w:type="dxa" w:w="1440"/>
            <w:shd w:fill="F2F5F9"/>
            <w:tcMar>
              <w:top w:w="50" w:type="dxa"/>
              <w:bottom w:w="50" w:type="dxa"/>
              <w:left w:w="80" w:type="dxa"/>
              <w:right w:w="80" w:type="dxa"/>
            </w:tcMar>
          </w:tcPr>
          <w:p>
            <w:pPr>
              <w:jc w:val="center"/>
            </w:pPr>
            <w:r>
              <w:rPr>
                <w:rFonts w:ascii="Calibri" w:hAnsi="Calibri"/>
                <w:color w:val="282828"/>
                <w:sz w:val="15"/>
              </w:rPr>
              <w:t>0.48</w:t>
            </w:r>
          </w:p>
        </w:tc>
      </w:tr>
      <w:tr>
        <w:tc>
          <w:tcPr>
            <w:tcW w:type="dxa" w:w="1440"/>
            <w:shd w:fill="FFFFFF"/>
            <w:tcMar>
              <w:top w:w="50" w:type="dxa"/>
              <w:bottom w:w="50" w:type="dxa"/>
              <w:left w:w="80" w:type="dxa"/>
              <w:right w:w="80" w:type="dxa"/>
            </w:tcMar>
          </w:tcPr>
          <w:p>
            <w:pPr>
              <w:jc w:val="left"/>
            </w:pPr>
            <w:r>
              <w:rPr>
                <w:rFonts w:ascii="Calibri" w:hAnsi="Calibri"/>
                <w:color w:val="282828"/>
                <w:sz w:val="15"/>
              </w:rPr>
              <w:t>DBSCAN (eps=2.4, minPts=5)</w:t>
            </w:r>
          </w:p>
        </w:tc>
        <w:tc>
          <w:tcPr>
            <w:tcW w:type="dxa" w:w="1440"/>
            <w:shd w:fill="FFFFFF"/>
            <w:tcMar>
              <w:top w:w="50" w:type="dxa"/>
              <w:bottom w:w="50" w:type="dxa"/>
              <w:left w:w="80" w:type="dxa"/>
              <w:right w:w="80" w:type="dxa"/>
            </w:tcMar>
          </w:tcPr>
          <w:p>
            <w:pPr>
              <w:jc w:val="center"/>
            </w:pPr>
            <w:r>
              <w:rPr>
                <w:rFonts w:ascii="Calibri" w:hAnsi="Calibri"/>
                <w:color w:val="282828"/>
                <w:sz w:val="15"/>
              </w:rPr>
              <w:t>4</w:t>
            </w:r>
          </w:p>
        </w:tc>
        <w:tc>
          <w:tcPr>
            <w:tcW w:type="dxa" w:w="1440"/>
            <w:shd w:fill="FFFFFF"/>
            <w:tcMar>
              <w:top w:w="50" w:type="dxa"/>
              <w:bottom w:w="50" w:type="dxa"/>
              <w:left w:w="80" w:type="dxa"/>
              <w:right w:w="80" w:type="dxa"/>
            </w:tcMar>
          </w:tcPr>
          <w:p>
            <w:pPr>
              <w:jc w:val="center"/>
            </w:pPr>
            <w:r>
              <w:rPr>
                <w:rFonts w:ascii="Calibri" w:hAnsi="Calibri"/>
                <w:color w:val="282828"/>
                <w:sz w:val="15"/>
              </w:rPr>
              <w:t>166</w:t>
            </w:r>
          </w:p>
        </w:tc>
        <w:tc>
          <w:tcPr>
            <w:tcW w:type="dxa" w:w="1440"/>
            <w:shd w:fill="FFFFFF"/>
            <w:tcMar>
              <w:top w:w="50" w:type="dxa"/>
              <w:bottom w:w="50" w:type="dxa"/>
              <w:left w:w="80" w:type="dxa"/>
              <w:right w:w="80" w:type="dxa"/>
            </w:tcMar>
          </w:tcPr>
          <w:p>
            <w:pPr>
              <w:jc w:val="center"/>
            </w:pPr>
            <w:r>
              <w:rPr>
                <w:rFonts w:ascii="Calibri" w:hAnsi="Calibri"/>
                <w:color w:val="282828"/>
                <w:sz w:val="15"/>
              </w:rPr>
              <w:t>0.26</w:t>
            </w:r>
          </w:p>
        </w:tc>
        <w:tc>
          <w:tcPr>
            <w:tcW w:type="dxa" w:w="1440"/>
            <w:shd w:fill="FFFFFF"/>
            <w:tcMar>
              <w:top w:w="50" w:type="dxa"/>
              <w:bottom w:w="50" w:type="dxa"/>
              <w:left w:w="80" w:type="dxa"/>
              <w:right w:w="80" w:type="dxa"/>
            </w:tcMar>
          </w:tcPr>
          <w:p>
            <w:pPr>
              <w:jc w:val="center"/>
            </w:pPr>
            <w:r>
              <w:rPr>
                <w:rFonts w:ascii="Calibri" w:hAnsi="Calibri"/>
                <w:color w:val="282828"/>
                <w:sz w:val="15"/>
              </w:rPr>
              <w:t>1.01</w:t>
            </w:r>
          </w:p>
        </w:tc>
        <w:tc>
          <w:tcPr>
            <w:tcW w:type="dxa" w:w="1440"/>
            <w:shd w:fill="FFFFFF"/>
            <w:tcMar>
              <w:top w:w="50" w:type="dxa"/>
              <w:bottom w:w="50" w:type="dxa"/>
              <w:left w:w="80" w:type="dxa"/>
              <w:right w:w="80" w:type="dxa"/>
            </w:tcMar>
          </w:tcPr>
          <w:p>
            <w:pPr>
              <w:jc w:val="center"/>
            </w:pPr>
            <w:r>
              <w:rPr>
                <w:rFonts w:ascii="Calibri" w:hAnsi="Calibri"/>
                <w:color w:val="282828"/>
                <w:sz w:val="15"/>
              </w:rPr>
              <w:t>23.91</w:t>
            </w:r>
          </w:p>
        </w:tc>
        <w:tc>
          <w:tcPr>
            <w:tcW w:type="dxa" w:w="1440"/>
            <w:shd w:fill="FFFFFF"/>
            <w:tcMar>
              <w:top w:w="50" w:type="dxa"/>
              <w:bottom w:w="50" w:type="dxa"/>
              <w:left w:w="80" w:type="dxa"/>
              <w:right w:w="80" w:type="dxa"/>
            </w:tcMar>
          </w:tcPr>
          <w:p>
            <w:pPr>
              <w:jc w:val="center"/>
            </w:pPr>
            <w:r>
              <w:rPr>
                <w:rFonts w:ascii="Calibri" w:hAnsi="Calibri"/>
                <w:color w:val="282828"/>
                <w:sz w:val="15"/>
              </w:rPr>
              <w:t>0.06</w:t>
            </w:r>
          </w:p>
        </w:tc>
      </w:tr>
    </w:tbl>
    <w:p>
      <w:pPr>
        <w:spacing w:after="60"/>
      </w:pPr>
    </w:p>
    <w:p>
      <w:pPr>
        <w:pStyle w:val="Heading1"/>
        <w:spacing w:before="180" w:after="40"/>
      </w:pPr>
      <w:r>
        <w:t>2. Dimensionality Reduction</w:t>
      </w:r>
    </w:p>
    <w:p>
      <w:r>
        <w:t>Modern health records encompass high-dimensional, highly correlated features. While rich in information, high dimensionality introduces severe analytical bottlenecks: (1) the 'curse of dimensionality', where Euclidean distances between points converge, degrading distance-based clustering; (2) severe multi-collinearity (e.g., General Health, Physical Health days, and Mobility limitations co-vary strongly); (3) noise amplification from discrete survey categories; and (4) human cognitive inability to visualize beyond three dimensions. To resolve these hurdles, we applied both linear (PCA) and non-linear (t-SNE) dimensionality reduction.</w:t>
      </w:r>
    </w:p>
    <w:p>
      <w:pPr>
        <w:pStyle w:val="Heading2"/>
        <w:spacing w:before="120" w:after="40"/>
      </w:pPr>
      <w:r>
        <w:t>2.1 Principal Component Analysis: Scree Diagnostics &amp; Factor Loadings</w:t>
      </w:r>
    </w:p>
    <w:p>
      <w:r>
        <w:t>PCA was fitted across the 11 standardized clinical features. As displayed in the scree diagnostics (Figure 6), the first principal component (PC1) accounts for 24.69% of total variance, PC2 captures 14.00%, and PC3 captures 9.80%. The variance trajectory demonstrates that 6 principal components are sufficient to retain 73.98% (nearly three-quarters) of total population variance, successfully compressing dimensionality by 45.5% while filtering out uninformative orthogonal residual noise.</w:t>
      </w:r>
    </w:p>
    <w:p>
      <w:pPr>
        <w:keepNext/>
        <w:spacing w:before="120" w:after="40"/>
        <w:jc w:val="center"/>
      </w:pPr>
      <w:r>
        <w:drawing>
          <wp:inline xmlns:a="http://schemas.openxmlformats.org/drawingml/2006/main" xmlns:pic="http://schemas.openxmlformats.org/drawingml/2006/picture">
            <wp:extent cx="4937760" cy="2212473"/>
            <wp:docPr id="5" name="Picture 5"/>
            <wp:cNvGraphicFramePr>
              <a:graphicFrameLocks noChangeAspect="1"/>
            </wp:cNvGraphicFramePr>
            <a:graphic>
              <a:graphicData uri="http://schemas.openxmlformats.org/drawingml/2006/picture">
                <pic:pic>
                  <pic:nvPicPr>
                    <pic:cNvPr id="0" name="stage2_fig6_pca_scree_loadings.png"/>
                    <pic:cNvPicPr/>
                  </pic:nvPicPr>
                  <pic:blipFill>
                    <a:blip r:embed="rId13"/>
                    <a:stretch>
                      <a:fillRect/>
                    </a:stretch>
                  </pic:blipFill>
                  <pic:spPr>
                    <a:xfrm>
                      <a:off x="0" y="0"/>
                      <a:ext cx="4937760" cy="2212473"/>
                    </a:xfrm>
                    <a:prstGeom prst="rect"/>
                  </pic:spPr>
                </pic:pic>
              </a:graphicData>
            </a:graphic>
          </wp:inline>
        </w:drawing>
      </w:r>
    </w:p>
    <w:p>
      <w:pPr>
        <w:keepNext/>
        <w:spacing w:before="40" w:after="20"/>
        <w:jc w:val="center"/>
      </w:pPr>
      <w:r>
        <w:rPr>
          <w:rFonts w:ascii="Calibri" w:hAnsi="Calibri"/>
          <w:b/>
          <w:color w:val="1F497D"/>
          <w:sz w:val="18"/>
        </w:rPr>
        <w:t>Figure 6: Principal Component Analysis — Scree Plot of Individual Explained Variance and Cumulative Variance Ratio</w:t>
      </w:r>
    </w:p>
    <w:p>
      <w:pPr>
        <w:spacing w:before="20" w:after="100"/>
        <w:jc w:val="center"/>
      </w:pPr>
      <w:r>
        <w:rPr>
          <w:rFonts w:ascii="Calibri" w:hAnsi="Calibri"/>
          <w:b/>
          <w:color w:val="B43214"/>
          <w:sz w:val="17"/>
        </w:rPr>
        <w:t xml:space="preserve">Key Takeaway: </w:t>
      </w:r>
      <w:r>
        <w:rPr>
          <w:rFonts w:ascii="Calibri" w:hAnsi="Calibri"/>
          <w:i/>
          <w:color w:val="3C3C3C"/>
          <w:sz w:val="17"/>
        </w:rPr>
        <w:t>Six principal components capture 74.0% of cohort variance, effectively compressing feature space while filtering uncorrelated noise.</w:t>
      </w:r>
    </w:p>
    <w:p>
      <w:r>
        <w:t>To interpret the biological meaning of the principal axes, Table 4 examines the factor loadings for the top three components:</w:t>
        <w:br/>
        <w:t>• PC1 ('General Physical Impairment &amp; Socioeconomic Vulnerability', 24.7% variance): Dominated by heavy positive loadings on Poor General Health (+0.4692), Physical Impairment Days (+0.3838), Hypertension (+0.3034), and Mental Impairment Days (+0.2627), contrasted against strong negative loadings on Household Income (-0.3803), Education Level (-0.3011), and Physical Activity (-0.2704). PC1 captures an individual's overall burden of functional disability and socio-environmental vulnerability.</w:t>
        <w:br/>
        <w:t>• PC2 ('Age-Associated Cardiometabolic Degeneration', 14.0% variance): Driven overwhelmingly by positive loadings on Chronological Age (+0.5740), High Cholesterol (+0.4574), and Hypertension (+0.4215), with a negative loading on Mental Impairment (-0.3980). PC2 isolates the biological aging axis where vascular stiffening and dyslipidemia progress independently of acute subjective mental distress.</w:t>
        <w:br/>
        <w:t>• PC3 ('Socioeconomic Adiposity Axis', 9.8% variance): Characterized by positive loadings on Education (+0.5677), BMI (+0.4286), and Income (+0.3461), reflecting metabolic variations cross-cutting demographic tiers.</w:t>
      </w:r>
    </w:p>
    <w:p>
      <w:pPr>
        <w:keepNext/>
        <w:spacing w:before="120" w:after="40"/>
      </w:pPr>
      <w:r>
        <w:rPr>
          <w:rFonts w:ascii="Calibri" w:hAnsi="Calibri"/>
          <w:b/>
          <w:color w:val="1F497D"/>
          <w:sz w:val="18"/>
        </w:rPr>
        <w:t>Table 4: Principal Component Factor Loadings (Eigenvectors) for the Top Three Components</w:t>
      </w:r>
    </w:p>
    <w:tbl>
      <w:tblPr>
        <w:tblW w:type="auto" w:w="0"/>
        <w:jc w:val="center"/>
        <w:tblLook w:firstColumn="1" w:firstRow="1" w:lastColumn="0" w:lastRow="0" w:noHBand="0" w:noVBand="1" w:val="04A0"/>
      </w:tblPr>
      <w:tblGrid>
        <w:gridCol w:w="2520"/>
        <w:gridCol w:w="2520"/>
        <w:gridCol w:w="2520"/>
        <w:gridCol w:w="2520"/>
      </w:tblGrid>
      <w:tr>
        <w:tc>
          <w:tcPr>
            <w:tcW w:type="dxa" w:w="2520"/>
            <w:shd w:fill="1F497D"/>
            <w:tcMar>
              <w:top w:w="90" w:type="dxa"/>
              <w:bottom w:w="90" w:type="dxa"/>
              <w:left w:w="100" w:type="dxa"/>
              <w:right w:w="100" w:type="dxa"/>
            </w:tcMar>
          </w:tcPr>
          <w:p>
            <w:pPr>
              <w:jc w:val="center"/>
            </w:pPr>
            <w:r>
              <w:rPr>
                <w:rFonts w:ascii="Calibri" w:hAnsi="Calibri"/>
                <w:b/>
                <w:color w:val="FFFFFF"/>
                <w:sz w:val="16"/>
              </w:rPr>
              <w:t>Unnamed: 0</w:t>
            </w:r>
          </w:p>
        </w:tc>
        <w:tc>
          <w:tcPr>
            <w:tcW w:type="dxa" w:w="2520"/>
            <w:shd w:fill="1F497D"/>
            <w:tcMar>
              <w:top w:w="90" w:type="dxa"/>
              <w:bottom w:w="90" w:type="dxa"/>
              <w:left w:w="100" w:type="dxa"/>
              <w:right w:w="100" w:type="dxa"/>
            </w:tcMar>
          </w:tcPr>
          <w:p>
            <w:pPr>
              <w:jc w:val="center"/>
            </w:pPr>
            <w:r>
              <w:rPr>
                <w:rFonts w:ascii="Calibri" w:hAnsi="Calibri"/>
                <w:b/>
                <w:color w:val="FFFFFF"/>
                <w:sz w:val="16"/>
              </w:rPr>
              <w:t>Pc1 Loading</w:t>
            </w:r>
          </w:p>
        </w:tc>
        <w:tc>
          <w:tcPr>
            <w:tcW w:type="dxa" w:w="2520"/>
            <w:shd w:fill="1F497D"/>
            <w:tcMar>
              <w:top w:w="90" w:type="dxa"/>
              <w:bottom w:w="90" w:type="dxa"/>
              <w:left w:w="100" w:type="dxa"/>
              <w:right w:w="100" w:type="dxa"/>
            </w:tcMar>
          </w:tcPr>
          <w:p>
            <w:pPr>
              <w:jc w:val="center"/>
            </w:pPr>
            <w:r>
              <w:rPr>
                <w:rFonts w:ascii="Calibri" w:hAnsi="Calibri"/>
                <w:b/>
                <w:color w:val="FFFFFF"/>
                <w:sz w:val="16"/>
              </w:rPr>
              <w:t>Pc2 Loading</w:t>
            </w:r>
          </w:p>
        </w:tc>
        <w:tc>
          <w:tcPr>
            <w:tcW w:type="dxa" w:w="2520"/>
            <w:shd w:fill="1F497D"/>
            <w:tcMar>
              <w:top w:w="90" w:type="dxa"/>
              <w:bottom w:w="90" w:type="dxa"/>
              <w:left w:w="100" w:type="dxa"/>
              <w:right w:w="100" w:type="dxa"/>
            </w:tcMar>
          </w:tcPr>
          <w:p>
            <w:pPr>
              <w:jc w:val="center"/>
            </w:pPr>
            <w:r>
              <w:rPr>
                <w:rFonts w:ascii="Calibri" w:hAnsi="Calibri"/>
                <w:b/>
                <w:color w:val="FFFFFF"/>
                <w:sz w:val="16"/>
              </w:rPr>
              <w:t>Pc3 Loading</w:t>
            </w:r>
          </w:p>
        </w:tc>
      </w:tr>
      <w:tr>
        <w:tc>
          <w:tcPr>
            <w:tcW w:type="dxa" w:w="2520"/>
            <w:shd w:fill="FFFFFF"/>
            <w:tcMar>
              <w:top w:w="50" w:type="dxa"/>
              <w:bottom w:w="50" w:type="dxa"/>
              <w:left w:w="80" w:type="dxa"/>
              <w:right w:w="80" w:type="dxa"/>
            </w:tcMar>
          </w:tcPr>
          <w:p>
            <w:pPr>
              <w:jc w:val="left"/>
            </w:pPr>
            <w:r>
              <w:rPr>
                <w:rFonts w:ascii="Calibri" w:hAnsi="Calibri"/>
                <w:color w:val="282828"/>
                <w:sz w:val="16"/>
              </w:rPr>
              <w:t>GenHlth</w:t>
            </w:r>
          </w:p>
        </w:tc>
        <w:tc>
          <w:tcPr>
            <w:tcW w:type="dxa" w:w="2520"/>
            <w:shd w:fill="FFFFFF"/>
            <w:tcMar>
              <w:top w:w="50" w:type="dxa"/>
              <w:bottom w:w="50" w:type="dxa"/>
              <w:left w:w="80" w:type="dxa"/>
              <w:right w:w="80" w:type="dxa"/>
            </w:tcMar>
          </w:tcPr>
          <w:p>
            <w:pPr>
              <w:jc w:val="center"/>
            </w:pPr>
            <w:r>
              <w:rPr>
                <w:rFonts w:ascii="Calibri" w:hAnsi="Calibri"/>
                <w:color w:val="282828"/>
                <w:sz w:val="16"/>
              </w:rPr>
              <w:t>0.47</w:t>
            </w:r>
          </w:p>
        </w:tc>
        <w:tc>
          <w:tcPr>
            <w:tcW w:type="dxa" w:w="2520"/>
            <w:shd w:fill="FFFFFF"/>
            <w:tcMar>
              <w:top w:w="50" w:type="dxa"/>
              <w:bottom w:w="50" w:type="dxa"/>
              <w:left w:w="80" w:type="dxa"/>
              <w:right w:w="80" w:type="dxa"/>
            </w:tcMar>
          </w:tcPr>
          <w:p>
            <w:pPr>
              <w:jc w:val="center"/>
            </w:pPr>
            <w:r>
              <w:rPr>
                <w:rFonts w:ascii="Calibri" w:hAnsi="Calibri"/>
                <w:color w:val="282828"/>
                <w:sz w:val="16"/>
              </w:rPr>
              <w:t>-0.11</w:t>
            </w:r>
          </w:p>
        </w:tc>
        <w:tc>
          <w:tcPr>
            <w:tcW w:type="dxa" w:w="2520"/>
            <w:shd w:fill="FFFFFF"/>
            <w:tcMar>
              <w:top w:w="50" w:type="dxa"/>
              <w:bottom w:w="50" w:type="dxa"/>
              <w:left w:w="80" w:type="dxa"/>
              <w:right w:w="80" w:type="dxa"/>
            </w:tcMar>
          </w:tcPr>
          <w:p>
            <w:pPr>
              <w:jc w:val="center"/>
            </w:pPr>
            <w:r>
              <w:rPr>
                <w:rFonts w:ascii="Calibri" w:hAnsi="Calibri"/>
                <w:color w:val="282828"/>
                <w:sz w:val="16"/>
              </w:rPr>
              <w:t>0.14</w:t>
            </w:r>
          </w:p>
        </w:tc>
      </w:tr>
      <w:tr>
        <w:tc>
          <w:tcPr>
            <w:tcW w:type="dxa" w:w="2520"/>
            <w:shd w:fill="F2F5F9"/>
            <w:tcMar>
              <w:top w:w="50" w:type="dxa"/>
              <w:bottom w:w="50" w:type="dxa"/>
              <w:left w:w="80" w:type="dxa"/>
              <w:right w:w="80" w:type="dxa"/>
            </w:tcMar>
          </w:tcPr>
          <w:p>
            <w:pPr>
              <w:jc w:val="left"/>
            </w:pPr>
            <w:r>
              <w:rPr>
                <w:rFonts w:ascii="Calibri" w:hAnsi="Calibri"/>
                <w:color w:val="282828"/>
                <w:sz w:val="16"/>
              </w:rPr>
              <w:t>PhysHlth</w:t>
            </w:r>
          </w:p>
        </w:tc>
        <w:tc>
          <w:tcPr>
            <w:tcW w:type="dxa" w:w="2520"/>
            <w:shd w:fill="F2F5F9"/>
            <w:tcMar>
              <w:top w:w="50" w:type="dxa"/>
              <w:bottom w:w="50" w:type="dxa"/>
              <w:left w:w="80" w:type="dxa"/>
              <w:right w:w="80" w:type="dxa"/>
            </w:tcMar>
          </w:tcPr>
          <w:p>
            <w:pPr>
              <w:jc w:val="center"/>
            </w:pPr>
            <w:r>
              <w:rPr>
                <w:rFonts w:ascii="Calibri" w:hAnsi="Calibri"/>
                <w:color w:val="282828"/>
                <w:sz w:val="16"/>
              </w:rPr>
              <w:t>0.38</w:t>
            </w:r>
          </w:p>
        </w:tc>
        <w:tc>
          <w:tcPr>
            <w:tcW w:type="dxa" w:w="2520"/>
            <w:shd w:fill="F2F5F9"/>
            <w:tcMar>
              <w:top w:w="50" w:type="dxa"/>
              <w:bottom w:w="50" w:type="dxa"/>
              <w:left w:w="80" w:type="dxa"/>
              <w:right w:w="80" w:type="dxa"/>
            </w:tcMar>
          </w:tcPr>
          <w:p>
            <w:pPr>
              <w:jc w:val="center"/>
            </w:pPr>
            <w:r>
              <w:rPr>
                <w:rFonts w:ascii="Calibri" w:hAnsi="Calibri"/>
                <w:color w:val="282828"/>
                <w:sz w:val="16"/>
              </w:rPr>
              <w:t>-0.25</w:t>
            </w:r>
          </w:p>
        </w:tc>
        <w:tc>
          <w:tcPr>
            <w:tcW w:type="dxa" w:w="2520"/>
            <w:shd w:fill="F2F5F9"/>
            <w:tcMar>
              <w:top w:w="50" w:type="dxa"/>
              <w:bottom w:w="50" w:type="dxa"/>
              <w:left w:w="80" w:type="dxa"/>
              <w:right w:w="80" w:type="dxa"/>
            </w:tcMar>
          </w:tcPr>
          <w:p>
            <w:pPr>
              <w:jc w:val="center"/>
            </w:pPr>
            <w:r>
              <w:rPr>
                <w:rFonts w:ascii="Calibri" w:hAnsi="Calibri"/>
                <w:color w:val="282828"/>
                <w:sz w:val="16"/>
              </w:rPr>
              <w:t>0.21</w:t>
            </w:r>
          </w:p>
        </w:tc>
      </w:tr>
      <w:tr>
        <w:tc>
          <w:tcPr>
            <w:tcW w:type="dxa" w:w="2520"/>
            <w:shd w:fill="FFFFFF"/>
            <w:tcMar>
              <w:top w:w="50" w:type="dxa"/>
              <w:bottom w:w="50" w:type="dxa"/>
              <w:left w:w="80" w:type="dxa"/>
              <w:right w:w="80" w:type="dxa"/>
            </w:tcMar>
          </w:tcPr>
          <w:p>
            <w:pPr>
              <w:jc w:val="left"/>
            </w:pPr>
            <w:r>
              <w:rPr>
                <w:rFonts w:ascii="Calibri" w:hAnsi="Calibri"/>
                <w:color w:val="282828"/>
                <w:sz w:val="16"/>
              </w:rPr>
              <w:t>Income</w:t>
            </w:r>
          </w:p>
        </w:tc>
        <w:tc>
          <w:tcPr>
            <w:tcW w:type="dxa" w:w="2520"/>
            <w:shd w:fill="FFFFFF"/>
            <w:tcMar>
              <w:top w:w="50" w:type="dxa"/>
              <w:bottom w:w="50" w:type="dxa"/>
              <w:left w:w="80" w:type="dxa"/>
              <w:right w:w="80" w:type="dxa"/>
            </w:tcMar>
          </w:tcPr>
          <w:p>
            <w:pPr>
              <w:jc w:val="center"/>
            </w:pPr>
            <w:r>
              <w:rPr>
                <w:rFonts w:ascii="Calibri" w:hAnsi="Calibri"/>
                <w:color w:val="282828"/>
                <w:sz w:val="16"/>
              </w:rPr>
              <w:t>-0.38</w:t>
            </w:r>
          </w:p>
        </w:tc>
        <w:tc>
          <w:tcPr>
            <w:tcW w:type="dxa" w:w="2520"/>
            <w:shd w:fill="FFFFFF"/>
            <w:tcMar>
              <w:top w:w="50" w:type="dxa"/>
              <w:bottom w:w="50" w:type="dxa"/>
              <w:left w:w="80" w:type="dxa"/>
              <w:right w:w="80" w:type="dxa"/>
            </w:tcMar>
          </w:tcPr>
          <w:p>
            <w:pPr>
              <w:jc w:val="center"/>
            </w:pPr>
            <w:r>
              <w:rPr>
                <w:rFonts w:ascii="Calibri" w:hAnsi="Calibri"/>
                <w:color w:val="282828"/>
                <w:sz w:val="16"/>
              </w:rPr>
              <w:t>0.12</w:t>
            </w:r>
          </w:p>
        </w:tc>
        <w:tc>
          <w:tcPr>
            <w:tcW w:type="dxa" w:w="2520"/>
            <w:shd w:fill="FFFFFF"/>
            <w:tcMar>
              <w:top w:w="50" w:type="dxa"/>
              <w:bottom w:w="50" w:type="dxa"/>
              <w:left w:w="80" w:type="dxa"/>
              <w:right w:w="80" w:type="dxa"/>
            </w:tcMar>
          </w:tcPr>
          <w:p>
            <w:pPr>
              <w:jc w:val="center"/>
            </w:pPr>
            <w:r>
              <w:rPr>
                <w:rFonts w:ascii="Calibri" w:hAnsi="Calibri"/>
                <w:color w:val="282828"/>
                <w:sz w:val="16"/>
              </w:rPr>
              <w:t>0.35</w:t>
            </w:r>
          </w:p>
        </w:tc>
      </w:tr>
      <w:tr>
        <w:tc>
          <w:tcPr>
            <w:tcW w:type="dxa" w:w="2520"/>
            <w:shd w:fill="F2F5F9"/>
            <w:tcMar>
              <w:top w:w="50" w:type="dxa"/>
              <w:bottom w:w="50" w:type="dxa"/>
              <w:left w:w="80" w:type="dxa"/>
              <w:right w:w="80" w:type="dxa"/>
            </w:tcMar>
          </w:tcPr>
          <w:p>
            <w:pPr>
              <w:jc w:val="left"/>
            </w:pPr>
            <w:r>
              <w:rPr>
                <w:rFonts w:ascii="Calibri" w:hAnsi="Calibri"/>
                <w:color w:val="282828"/>
                <w:sz w:val="16"/>
              </w:rPr>
              <w:t>HighBP</w:t>
            </w:r>
          </w:p>
        </w:tc>
        <w:tc>
          <w:tcPr>
            <w:tcW w:type="dxa" w:w="2520"/>
            <w:shd w:fill="F2F5F9"/>
            <w:tcMar>
              <w:top w:w="50" w:type="dxa"/>
              <w:bottom w:w="50" w:type="dxa"/>
              <w:left w:w="80" w:type="dxa"/>
              <w:right w:w="80" w:type="dxa"/>
            </w:tcMar>
          </w:tcPr>
          <w:p>
            <w:pPr>
              <w:jc w:val="center"/>
            </w:pPr>
            <w:r>
              <w:rPr>
                <w:rFonts w:ascii="Calibri" w:hAnsi="Calibri"/>
                <w:color w:val="282828"/>
                <w:sz w:val="16"/>
              </w:rPr>
              <w:t>0.30</w:t>
            </w:r>
          </w:p>
        </w:tc>
        <w:tc>
          <w:tcPr>
            <w:tcW w:type="dxa" w:w="2520"/>
            <w:shd w:fill="F2F5F9"/>
            <w:tcMar>
              <w:top w:w="50" w:type="dxa"/>
              <w:bottom w:w="50" w:type="dxa"/>
              <w:left w:w="80" w:type="dxa"/>
              <w:right w:w="80" w:type="dxa"/>
            </w:tcMar>
          </w:tcPr>
          <w:p>
            <w:pPr>
              <w:jc w:val="center"/>
            </w:pPr>
            <w:r>
              <w:rPr>
                <w:rFonts w:ascii="Calibri" w:hAnsi="Calibri"/>
                <w:color w:val="282828"/>
                <w:sz w:val="16"/>
              </w:rPr>
              <w:t>0.42</w:t>
            </w:r>
          </w:p>
        </w:tc>
        <w:tc>
          <w:tcPr>
            <w:tcW w:type="dxa" w:w="2520"/>
            <w:shd w:fill="F2F5F9"/>
            <w:tcMar>
              <w:top w:w="50" w:type="dxa"/>
              <w:bottom w:w="50" w:type="dxa"/>
              <w:left w:w="80" w:type="dxa"/>
              <w:right w:w="80" w:type="dxa"/>
            </w:tcMar>
          </w:tcPr>
          <w:p>
            <w:pPr>
              <w:jc w:val="center"/>
            </w:pPr>
            <w:r>
              <w:rPr>
                <w:rFonts w:ascii="Calibri" w:hAnsi="Calibri"/>
                <w:color w:val="282828"/>
                <w:sz w:val="16"/>
              </w:rPr>
              <w:t>0.24</w:t>
            </w:r>
          </w:p>
        </w:tc>
      </w:tr>
      <w:tr>
        <w:tc>
          <w:tcPr>
            <w:tcW w:type="dxa" w:w="2520"/>
            <w:shd w:fill="FFFFFF"/>
            <w:tcMar>
              <w:top w:w="50" w:type="dxa"/>
              <w:bottom w:w="50" w:type="dxa"/>
              <w:left w:w="80" w:type="dxa"/>
              <w:right w:w="80" w:type="dxa"/>
            </w:tcMar>
          </w:tcPr>
          <w:p>
            <w:pPr>
              <w:jc w:val="left"/>
            </w:pPr>
            <w:r>
              <w:rPr>
                <w:rFonts w:ascii="Calibri" w:hAnsi="Calibri"/>
                <w:color w:val="282828"/>
                <w:sz w:val="16"/>
              </w:rPr>
              <w:t>Education</w:t>
            </w:r>
          </w:p>
        </w:tc>
        <w:tc>
          <w:tcPr>
            <w:tcW w:type="dxa" w:w="2520"/>
            <w:shd w:fill="FFFFFF"/>
            <w:tcMar>
              <w:top w:w="50" w:type="dxa"/>
              <w:bottom w:w="50" w:type="dxa"/>
              <w:left w:w="80" w:type="dxa"/>
              <w:right w:w="80" w:type="dxa"/>
            </w:tcMar>
          </w:tcPr>
          <w:p>
            <w:pPr>
              <w:jc w:val="center"/>
            </w:pPr>
            <w:r>
              <w:rPr>
                <w:rFonts w:ascii="Calibri" w:hAnsi="Calibri"/>
                <w:color w:val="282828"/>
                <w:sz w:val="16"/>
              </w:rPr>
              <w:t>-0.30</w:t>
            </w:r>
          </w:p>
        </w:tc>
        <w:tc>
          <w:tcPr>
            <w:tcW w:type="dxa" w:w="2520"/>
            <w:shd w:fill="FFFFFF"/>
            <w:tcMar>
              <w:top w:w="50" w:type="dxa"/>
              <w:bottom w:w="50" w:type="dxa"/>
              <w:left w:w="80" w:type="dxa"/>
              <w:right w:w="80" w:type="dxa"/>
            </w:tcMar>
          </w:tcPr>
          <w:p>
            <w:pPr>
              <w:jc w:val="center"/>
            </w:pPr>
            <w:r>
              <w:rPr>
                <w:rFonts w:ascii="Calibri" w:hAnsi="Calibri"/>
                <w:color w:val="282828"/>
                <w:sz w:val="16"/>
              </w:rPr>
              <w:t>0.11</w:t>
            </w:r>
          </w:p>
        </w:tc>
        <w:tc>
          <w:tcPr>
            <w:tcW w:type="dxa" w:w="2520"/>
            <w:shd w:fill="FFFFFF"/>
            <w:tcMar>
              <w:top w:w="50" w:type="dxa"/>
              <w:bottom w:w="50" w:type="dxa"/>
              <w:left w:w="80" w:type="dxa"/>
              <w:right w:w="80" w:type="dxa"/>
            </w:tcMar>
          </w:tcPr>
          <w:p>
            <w:pPr>
              <w:jc w:val="center"/>
            </w:pPr>
            <w:r>
              <w:rPr>
                <w:rFonts w:ascii="Calibri" w:hAnsi="Calibri"/>
                <w:color w:val="282828"/>
                <w:sz w:val="16"/>
              </w:rPr>
              <w:t>0.57</w:t>
            </w:r>
          </w:p>
        </w:tc>
      </w:tr>
      <w:tr>
        <w:tc>
          <w:tcPr>
            <w:tcW w:type="dxa" w:w="2520"/>
            <w:shd w:fill="F2F5F9"/>
            <w:tcMar>
              <w:top w:w="50" w:type="dxa"/>
              <w:bottom w:w="50" w:type="dxa"/>
              <w:left w:w="80" w:type="dxa"/>
              <w:right w:w="80" w:type="dxa"/>
            </w:tcMar>
          </w:tcPr>
          <w:p>
            <w:pPr>
              <w:jc w:val="left"/>
            </w:pPr>
            <w:r>
              <w:rPr>
                <w:rFonts w:ascii="Calibri" w:hAnsi="Calibri"/>
                <w:color w:val="282828"/>
                <w:sz w:val="16"/>
              </w:rPr>
              <w:t>PhysActivity</w:t>
            </w:r>
          </w:p>
        </w:tc>
        <w:tc>
          <w:tcPr>
            <w:tcW w:type="dxa" w:w="2520"/>
            <w:shd w:fill="F2F5F9"/>
            <w:tcMar>
              <w:top w:w="50" w:type="dxa"/>
              <w:bottom w:w="50" w:type="dxa"/>
              <w:left w:w="80" w:type="dxa"/>
              <w:right w:w="80" w:type="dxa"/>
            </w:tcMar>
          </w:tcPr>
          <w:p>
            <w:pPr>
              <w:jc w:val="center"/>
            </w:pPr>
            <w:r>
              <w:rPr>
                <w:rFonts w:ascii="Calibri" w:hAnsi="Calibri"/>
                <w:color w:val="282828"/>
                <w:sz w:val="16"/>
              </w:rPr>
              <w:t>-0.27</w:t>
            </w:r>
          </w:p>
        </w:tc>
        <w:tc>
          <w:tcPr>
            <w:tcW w:type="dxa" w:w="2520"/>
            <w:shd w:fill="F2F5F9"/>
            <w:tcMar>
              <w:top w:w="50" w:type="dxa"/>
              <w:bottom w:w="50" w:type="dxa"/>
              <w:left w:w="80" w:type="dxa"/>
              <w:right w:w="80" w:type="dxa"/>
            </w:tcMar>
          </w:tcPr>
          <w:p>
            <w:pPr>
              <w:jc w:val="center"/>
            </w:pPr>
            <w:r>
              <w:rPr>
                <w:rFonts w:ascii="Calibri" w:hAnsi="Calibri"/>
                <w:color w:val="282828"/>
                <w:sz w:val="16"/>
              </w:rPr>
              <w:t>0.07</w:t>
            </w:r>
          </w:p>
        </w:tc>
        <w:tc>
          <w:tcPr>
            <w:tcW w:type="dxa" w:w="2520"/>
            <w:shd w:fill="F2F5F9"/>
            <w:tcMar>
              <w:top w:w="50" w:type="dxa"/>
              <w:bottom w:w="50" w:type="dxa"/>
              <w:left w:w="80" w:type="dxa"/>
              <w:right w:w="80" w:type="dxa"/>
            </w:tcMar>
          </w:tcPr>
          <w:p>
            <w:pPr>
              <w:jc w:val="center"/>
            </w:pPr>
            <w:r>
              <w:rPr>
                <w:rFonts w:ascii="Calibri" w:hAnsi="Calibri"/>
                <w:color w:val="282828"/>
                <w:sz w:val="16"/>
              </w:rPr>
              <w:t>0.15</w:t>
            </w:r>
          </w:p>
        </w:tc>
      </w:tr>
      <w:tr>
        <w:tc>
          <w:tcPr>
            <w:tcW w:type="dxa" w:w="2520"/>
            <w:shd w:fill="FFFFFF"/>
            <w:tcMar>
              <w:top w:w="50" w:type="dxa"/>
              <w:bottom w:w="50" w:type="dxa"/>
              <w:left w:w="80" w:type="dxa"/>
              <w:right w:w="80" w:type="dxa"/>
            </w:tcMar>
          </w:tcPr>
          <w:p>
            <w:pPr>
              <w:jc w:val="left"/>
            </w:pPr>
            <w:r>
              <w:rPr>
                <w:rFonts w:ascii="Calibri" w:hAnsi="Calibri"/>
                <w:color w:val="282828"/>
                <w:sz w:val="16"/>
              </w:rPr>
              <w:t>MentHlth</w:t>
            </w:r>
          </w:p>
        </w:tc>
        <w:tc>
          <w:tcPr>
            <w:tcW w:type="dxa" w:w="2520"/>
            <w:shd w:fill="FFFFFF"/>
            <w:tcMar>
              <w:top w:w="50" w:type="dxa"/>
              <w:bottom w:w="50" w:type="dxa"/>
              <w:left w:w="80" w:type="dxa"/>
              <w:right w:w="80" w:type="dxa"/>
            </w:tcMar>
          </w:tcPr>
          <w:p>
            <w:pPr>
              <w:jc w:val="center"/>
            </w:pPr>
            <w:r>
              <w:rPr>
                <w:rFonts w:ascii="Calibri" w:hAnsi="Calibri"/>
                <w:color w:val="282828"/>
                <w:sz w:val="16"/>
              </w:rPr>
              <w:t>0.26</w:t>
            </w:r>
          </w:p>
        </w:tc>
        <w:tc>
          <w:tcPr>
            <w:tcW w:type="dxa" w:w="2520"/>
            <w:shd w:fill="FFFFFF"/>
            <w:tcMar>
              <w:top w:w="50" w:type="dxa"/>
              <w:bottom w:w="50" w:type="dxa"/>
              <w:left w:w="80" w:type="dxa"/>
              <w:right w:w="80" w:type="dxa"/>
            </w:tcMar>
          </w:tcPr>
          <w:p>
            <w:pPr>
              <w:jc w:val="center"/>
            </w:pPr>
            <w:r>
              <w:rPr>
                <w:rFonts w:ascii="Calibri" w:hAnsi="Calibri"/>
                <w:color w:val="282828"/>
                <w:sz w:val="16"/>
              </w:rPr>
              <w:t>-0.40</w:t>
            </w:r>
          </w:p>
        </w:tc>
        <w:tc>
          <w:tcPr>
            <w:tcW w:type="dxa" w:w="2520"/>
            <w:shd w:fill="FFFFFF"/>
            <w:tcMar>
              <w:top w:w="50" w:type="dxa"/>
              <w:bottom w:w="50" w:type="dxa"/>
              <w:left w:w="80" w:type="dxa"/>
              <w:right w:w="80" w:type="dxa"/>
            </w:tcMar>
          </w:tcPr>
          <w:p>
            <w:pPr>
              <w:jc w:val="center"/>
            </w:pPr>
            <w:r>
              <w:rPr>
                <w:rFonts w:ascii="Calibri" w:hAnsi="Calibri"/>
                <w:color w:val="282828"/>
                <w:sz w:val="16"/>
              </w:rPr>
              <w:t>0.26</w:t>
            </w:r>
          </w:p>
        </w:tc>
      </w:tr>
      <w:tr>
        <w:tc>
          <w:tcPr>
            <w:tcW w:type="dxa" w:w="2520"/>
            <w:shd w:fill="F2F5F9"/>
            <w:tcMar>
              <w:top w:w="50" w:type="dxa"/>
              <w:bottom w:w="50" w:type="dxa"/>
              <w:left w:w="80" w:type="dxa"/>
              <w:right w:w="80" w:type="dxa"/>
            </w:tcMar>
          </w:tcPr>
          <w:p>
            <w:pPr>
              <w:jc w:val="left"/>
            </w:pPr>
            <w:r>
              <w:rPr>
                <w:rFonts w:ascii="Calibri" w:hAnsi="Calibri"/>
                <w:color w:val="282828"/>
                <w:sz w:val="16"/>
              </w:rPr>
              <w:t>HighChol</w:t>
            </w:r>
          </w:p>
        </w:tc>
        <w:tc>
          <w:tcPr>
            <w:tcW w:type="dxa" w:w="2520"/>
            <w:shd w:fill="F2F5F9"/>
            <w:tcMar>
              <w:top w:w="50" w:type="dxa"/>
              <w:bottom w:w="50" w:type="dxa"/>
              <w:left w:w="80" w:type="dxa"/>
              <w:right w:w="80" w:type="dxa"/>
            </w:tcMar>
          </w:tcPr>
          <w:p>
            <w:pPr>
              <w:jc w:val="center"/>
            </w:pPr>
            <w:r>
              <w:rPr>
                <w:rFonts w:ascii="Calibri" w:hAnsi="Calibri"/>
                <w:color w:val="282828"/>
                <w:sz w:val="16"/>
              </w:rPr>
              <w:t>0.22</w:t>
            </w:r>
          </w:p>
        </w:tc>
        <w:tc>
          <w:tcPr>
            <w:tcW w:type="dxa" w:w="2520"/>
            <w:shd w:fill="F2F5F9"/>
            <w:tcMar>
              <w:top w:w="50" w:type="dxa"/>
              <w:bottom w:w="50" w:type="dxa"/>
              <w:left w:w="80" w:type="dxa"/>
              <w:right w:w="80" w:type="dxa"/>
            </w:tcMar>
          </w:tcPr>
          <w:p>
            <w:pPr>
              <w:jc w:val="center"/>
            </w:pPr>
            <w:r>
              <w:rPr>
                <w:rFonts w:ascii="Calibri" w:hAnsi="Calibri"/>
                <w:color w:val="282828"/>
                <w:sz w:val="16"/>
              </w:rPr>
              <w:t>0.46</w:t>
            </w:r>
          </w:p>
        </w:tc>
        <w:tc>
          <w:tcPr>
            <w:tcW w:type="dxa" w:w="2520"/>
            <w:shd w:fill="F2F5F9"/>
            <w:tcMar>
              <w:top w:w="50" w:type="dxa"/>
              <w:bottom w:w="50" w:type="dxa"/>
              <w:left w:w="80" w:type="dxa"/>
              <w:right w:w="80" w:type="dxa"/>
            </w:tcMar>
          </w:tcPr>
          <w:p>
            <w:pPr>
              <w:jc w:val="center"/>
            </w:pPr>
            <w:r>
              <w:rPr>
                <w:rFonts w:ascii="Calibri" w:hAnsi="Calibri"/>
                <w:color w:val="282828"/>
                <w:sz w:val="16"/>
              </w:rPr>
              <w:t>0.23</w:t>
            </w:r>
          </w:p>
        </w:tc>
      </w:tr>
      <w:tr>
        <w:tc>
          <w:tcPr>
            <w:tcW w:type="dxa" w:w="2520"/>
            <w:shd w:fill="FFFFFF"/>
            <w:tcMar>
              <w:top w:w="50" w:type="dxa"/>
              <w:bottom w:w="50" w:type="dxa"/>
              <w:left w:w="80" w:type="dxa"/>
              <w:right w:w="80" w:type="dxa"/>
            </w:tcMar>
          </w:tcPr>
          <w:p>
            <w:pPr>
              <w:jc w:val="left"/>
            </w:pPr>
            <w:r>
              <w:rPr>
                <w:rFonts w:ascii="Calibri" w:hAnsi="Calibri"/>
                <w:color w:val="282828"/>
                <w:sz w:val="16"/>
              </w:rPr>
              <w:t>BMI</w:t>
            </w:r>
          </w:p>
        </w:tc>
        <w:tc>
          <w:tcPr>
            <w:tcW w:type="dxa" w:w="2520"/>
            <w:shd w:fill="FFFFFF"/>
            <w:tcMar>
              <w:top w:w="50" w:type="dxa"/>
              <w:bottom w:w="50" w:type="dxa"/>
              <w:left w:w="80" w:type="dxa"/>
              <w:right w:w="80" w:type="dxa"/>
            </w:tcMar>
          </w:tcPr>
          <w:p>
            <w:pPr>
              <w:jc w:val="center"/>
            </w:pPr>
            <w:r>
              <w:rPr>
                <w:rFonts w:ascii="Calibri" w:hAnsi="Calibri"/>
                <w:color w:val="282828"/>
                <w:sz w:val="16"/>
              </w:rPr>
              <w:t>0.21</w:t>
            </w:r>
          </w:p>
        </w:tc>
        <w:tc>
          <w:tcPr>
            <w:tcW w:type="dxa" w:w="2520"/>
            <w:shd w:fill="FFFFFF"/>
            <w:tcMar>
              <w:top w:w="50" w:type="dxa"/>
              <w:bottom w:w="50" w:type="dxa"/>
              <w:left w:w="80" w:type="dxa"/>
              <w:right w:w="80" w:type="dxa"/>
            </w:tcMar>
          </w:tcPr>
          <w:p>
            <w:pPr>
              <w:jc w:val="center"/>
            </w:pPr>
            <w:r>
              <w:rPr>
                <w:rFonts w:ascii="Calibri" w:hAnsi="Calibri"/>
                <w:color w:val="282828"/>
                <w:sz w:val="16"/>
              </w:rPr>
              <w:t>-0.05</w:t>
            </w:r>
          </w:p>
        </w:tc>
        <w:tc>
          <w:tcPr>
            <w:tcW w:type="dxa" w:w="2520"/>
            <w:shd w:fill="FFFFFF"/>
            <w:tcMar>
              <w:top w:w="50" w:type="dxa"/>
              <w:bottom w:w="50" w:type="dxa"/>
              <w:left w:w="80" w:type="dxa"/>
              <w:right w:w="80" w:type="dxa"/>
            </w:tcMar>
          </w:tcPr>
          <w:p>
            <w:pPr>
              <w:jc w:val="center"/>
            </w:pPr>
            <w:r>
              <w:rPr>
                <w:rFonts w:ascii="Calibri" w:hAnsi="Calibri"/>
                <w:color w:val="282828"/>
                <w:sz w:val="16"/>
              </w:rPr>
              <w:t>0.43</w:t>
            </w:r>
          </w:p>
        </w:tc>
      </w:tr>
      <w:tr>
        <w:tc>
          <w:tcPr>
            <w:tcW w:type="dxa" w:w="2520"/>
            <w:shd w:fill="F2F5F9"/>
            <w:tcMar>
              <w:top w:w="50" w:type="dxa"/>
              <w:bottom w:w="50" w:type="dxa"/>
              <w:left w:w="80" w:type="dxa"/>
              <w:right w:w="80" w:type="dxa"/>
            </w:tcMar>
          </w:tcPr>
          <w:p>
            <w:pPr>
              <w:jc w:val="left"/>
            </w:pPr>
            <w:r>
              <w:rPr>
                <w:rFonts w:ascii="Calibri" w:hAnsi="Calibri"/>
                <w:color w:val="282828"/>
                <w:sz w:val="16"/>
              </w:rPr>
              <w:t>Age</w:t>
            </w:r>
          </w:p>
        </w:tc>
        <w:tc>
          <w:tcPr>
            <w:tcW w:type="dxa" w:w="2520"/>
            <w:shd w:fill="F2F5F9"/>
            <w:tcMar>
              <w:top w:w="50" w:type="dxa"/>
              <w:bottom w:w="50" w:type="dxa"/>
              <w:left w:w="80" w:type="dxa"/>
              <w:right w:w="80" w:type="dxa"/>
            </w:tcMar>
          </w:tcPr>
          <w:p>
            <w:pPr>
              <w:jc w:val="center"/>
            </w:pPr>
            <w:r>
              <w:rPr>
                <w:rFonts w:ascii="Calibri" w:hAnsi="Calibri"/>
                <w:color w:val="282828"/>
                <w:sz w:val="16"/>
              </w:rPr>
              <w:t>0.19</w:t>
            </w:r>
          </w:p>
        </w:tc>
        <w:tc>
          <w:tcPr>
            <w:tcW w:type="dxa" w:w="2520"/>
            <w:shd w:fill="F2F5F9"/>
            <w:tcMar>
              <w:top w:w="50" w:type="dxa"/>
              <w:bottom w:w="50" w:type="dxa"/>
              <w:left w:w="80" w:type="dxa"/>
              <w:right w:w="80" w:type="dxa"/>
            </w:tcMar>
          </w:tcPr>
          <w:p>
            <w:pPr>
              <w:jc w:val="center"/>
            </w:pPr>
            <w:r>
              <w:rPr>
                <w:rFonts w:ascii="Calibri" w:hAnsi="Calibri"/>
                <w:color w:val="282828"/>
                <w:sz w:val="16"/>
              </w:rPr>
              <w:t>0.57</w:t>
            </w:r>
          </w:p>
        </w:tc>
        <w:tc>
          <w:tcPr>
            <w:tcW w:type="dxa" w:w="2520"/>
            <w:shd w:fill="F2F5F9"/>
            <w:tcMar>
              <w:top w:w="50" w:type="dxa"/>
              <w:bottom w:w="50" w:type="dxa"/>
              <w:left w:w="80" w:type="dxa"/>
              <w:right w:w="80" w:type="dxa"/>
            </w:tcMar>
          </w:tcPr>
          <w:p>
            <w:pPr>
              <w:jc w:val="center"/>
            </w:pPr>
            <w:r>
              <w:rPr>
                <w:rFonts w:ascii="Calibri" w:hAnsi="Calibri"/>
                <w:color w:val="282828"/>
                <w:sz w:val="16"/>
              </w:rPr>
              <w:t>-0.16</w:t>
            </w:r>
          </w:p>
        </w:tc>
      </w:tr>
      <w:tr>
        <w:tc>
          <w:tcPr>
            <w:tcW w:type="dxa" w:w="2520"/>
            <w:shd w:fill="FFFFFF"/>
            <w:tcMar>
              <w:top w:w="50" w:type="dxa"/>
              <w:bottom w:w="50" w:type="dxa"/>
              <w:left w:w="80" w:type="dxa"/>
              <w:right w:w="80" w:type="dxa"/>
            </w:tcMar>
          </w:tcPr>
          <w:p>
            <w:pPr>
              <w:jc w:val="left"/>
            </w:pPr>
            <w:r>
              <w:rPr>
                <w:rFonts w:ascii="Calibri" w:hAnsi="Calibri"/>
                <w:color w:val="282828"/>
                <w:sz w:val="16"/>
              </w:rPr>
              <w:t>Smoker</w:t>
            </w:r>
          </w:p>
        </w:tc>
        <w:tc>
          <w:tcPr>
            <w:tcW w:type="dxa" w:w="2520"/>
            <w:shd w:fill="FFFFFF"/>
            <w:tcMar>
              <w:top w:w="50" w:type="dxa"/>
              <w:bottom w:w="50" w:type="dxa"/>
              <w:left w:w="80" w:type="dxa"/>
              <w:right w:w="80" w:type="dxa"/>
            </w:tcMar>
          </w:tcPr>
          <w:p>
            <w:pPr>
              <w:jc w:val="center"/>
            </w:pPr>
            <w:r>
              <w:rPr>
                <w:rFonts w:ascii="Calibri" w:hAnsi="Calibri"/>
                <w:color w:val="282828"/>
                <w:sz w:val="16"/>
              </w:rPr>
              <w:t>0.18</w:t>
            </w:r>
          </w:p>
        </w:tc>
        <w:tc>
          <w:tcPr>
            <w:tcW w:type="dxa" w:w="2520"/>
            <w:shd w:fill="FFFFFF"/>
            <w:tcMar>
              <w:top w:w="50" w:type="dxa"/>
              <w:bottom w:w="50" w:type="dxa"/>
              <w:left w:w="80" w:type="dxa"/>
              <w:right w:w="80" w:type="dxa"/>
            </w:tcMar>
          </w:tcPr>
          <w:p>
            <w:pPr>
              <w:jc w:val="center"/>
            </w:pPr>
            <w:r>
              <w:rPr>
                <w:rFonts w:ascii="Calibri" w:hAnsi="Calibri"/>
                <w:color w:val="282828"/>
                <w:sz w:val="16"/>
              </w:rPr>
              <w:t>0.13</w:t>
            </w:r>
          </w:p>
        </w:tc>
        <w:tc>
          <w:tcPr>
            <w:tcW w:type="dxa" w:w="2520"/>
            <w:shd w:fill="FFFFFF"/>
            <w:tcMar>
              <w:top w:w="50" w:type="dxa"/>
              <w:bottom w:w="50" w:type="dxa"/>
              <w:left w:w="80" w:type="dxa"/>
              <w:right w:w="80" w:type="dxa"/>
            </w:tcMar>
          </w:tcPr>
          <w:p>
            <w:pPr>
              <w:jc w:val="center"/>
            </w:pPr>
            <w:r>
              <w:rPr>
                <w:rFonts w:ascii="Calibri" w:hAnsi="Calibri"/>
                <w:color w:val="282828"/>
                <w:sz w:val="16"/>
              </w:rPr>
              <w:t>-0.29</w:t>
            </w:r>
          </w:p>
        </w:tc>
      </w:tr>
    </w:tbl>
    <w:p>
      <w:pPr>
        <w:spacing w:after="60"/>
      </w:pPr>
    </w:p>
    <w:p>
      <w:pPr>
        <w:pStyle w:val="Heading2"/>
        <w:spacing w:before="120" w:after="40"/>
      </w:pPr>
      <w:r>
        <w:t>2.2 t-Distributed Stochastic Neighbor Embedding: Manifold Mapping &amp; Sensitivity</w:t>
      </w:r>
    </w:p>
    <w:p>
      <w:r>
        <w:t>While PCA preserves global variance along orthogonal hyperplanes, it struggles to capture non-linear manifold geometry where patient sub-types curve through high-dimensional space. To address this, we implemented t-SNE, which converts Euclidean distances into conditional probabilities under a Gaussian distribution in high-dimensional space and minimizes Kullback-Leibler (KL) divergence in 2D using a Student-t kernel.</w:t>
        <w:br/>
        <w:t>• Neighborhood Perplexity Sensitivity: We evaluated t-SNE across perplexity values of 15, 30, and 50 (Figure 7). At perplexity=15, the projection displays minor over-fragmentation into loose micro-clusters. At perplexity=30 and 50, the manifold stabilizes into clear, coherent continuum arms representing low, moderate, and high cardiometabolic risk, demonstrating robust topological stability without distortion.</w:t>
        <w:br/>
        <w:t>• Local vs. Global Structure Preservation: t-SNE excels at preserving local neighborhood structures—ensuring that individuals with nearly identical clinical profiles map to adjacent 2D coordinates. However, distances between distant clusters on a t-SNE projection cannot be interpreted as absolute Euclidean distances. In contrast, PCA faithfully preserves global geometric distances at the expense of overlapping local cluster boundaries.</w:t>
      </w:r>
    </w:p>
    <w:p>
      <w:pPr>
        <w:keepNext/>
        <w:spacing w:before="120" w:after="40"/>
        <w:jc w:val="center"/>
      </w:pPr>
      <w:r>
        <w:drawing>
          <wp:inline xmlns:a="http://schemas.openxmlformats.org/drawingml/2006/main" xmlns:pic="http://schemas.openxmlformats.org/drawingml/2006/picture">
            <wp:extent cx="4937760" cy="1818727"/>
            <wp:docPr id="6" name="Picture 6"/>
            <wp:cNvGraphicFramePr>
              <a:graphicFrameLocks noChangeAspect="1"/>
            </wp:cNvGraphicFramePr>
            <a:graphic>
              <a:graphicData uri="http://schemas.openxmlformats.org/drawingml/2006/picture">
                <pic:pic>
                  <pic:nvPicPr>
                    <pic:cNvPr id="0" name="stage2_fig7_tsne_perplexity_sensitivity.png"/>
                    <pic:cNvPicPr/>
                  </pic:nvPicPr>
                  <pic:blipFill>
                    <a:blip r:embed="rId14"/>
                    <a:stretch>
                      <a:fillRect/>
                    </a:stretch>
                  </pic:blipFill>
                  <pic:spPr>
                    <a:xfrm>
                      <a:off x="0" y="0"/>
                      <a:ext cx="4937760" cy="1818727"/>
                    </a:xfrm>
                    <a:prstGeom prst="rect"/>
                  </pic:spPr>
                </pic:pic>
              </a:graphicData>
            </a:graphic>
          </wp:inline>
        </w:drawing>
      </w:r>
    </w:p>
    <w:p>
      <w:pPr>
        <w:keepNext/>
        <w:spacing w:before="40" w:after="20"/>
        <w:jc w:val="center"/>
      </w:pPr>
      <w:r>
        <w:rPr>
          <w:rFonts w:ascii="Calibri" w:hAnsi="Calibri"/>
          <w:b/>
          <w:color w:val="1F497D"/>
          <w:sz w:val="18"/>
        </w:rPr>
        <w:t>Figure 7: t-SNE Neighborhood Sensitivity Analysis across Perplexities (15, 30, and 50) Colored by K-Means Clusters</w:t>
      </w:r>
    </w:p>
    <w:p>
      <w:pPr>
        <w:spacing w:before="20" w:after="100"/>
        <w:jc w:val="center"/>
      </w:pPr>
      <w:r>
        <w:rPr>
          <w:rFonts w:ascii="Calibri" w:hAnsi="Calibri"/>
          <w:b/>
          <w:color w:val="B43214"/>
          <w:sz w:val="17"/>
        </w:rPr>
        <w:t xml:space="preserve">Key Takeaway: </w:t>
      </w:r>
      <w:r>
        <w:rPr>
          <w:rFonts w:ascii="Calibri" w:hAnsi="Calibri"/>
          <w:i/>
          <w:color w:val="3C3C3C"/>
          <w:sz w:val="17"/>
        </w:rPr>
        <w:t>The manifold structure demonstrates high stability across perplexities, cleanly unrolling the risk continuum without topological tearing.</w:t>
      </w:r>
    </w:p>
    <w:p>
      <w:pPr>
        <w:pStyle w:val="Heading2"/>
        <w:spacing w:before="120" w:after="40"/>
      </w:pPr>
      <w:r>
        <w:t>2.3 Before and After Visualizations of the Patient Manifold</w:t>
      </w:r>
    </w:p>
    <w:p>
      <w:r>
        <w:t>Figure 8 contrasts the raw 2D feature space (BMI vs. Estimated Age) against the 2D PCA reduced projection. In the raw feature space (Figure 8A), the three risk clusters overlap heavily; a patient with BMI=28 and age=55 cannot be reliably separated from an adjacent patient based on two raw axes alone. Once transformed onto PC1 and PC2 (Figure 8B), the clusters separate cleanly: Cluster 0 occupies the lower-left quadrant (low impairment, younger), Cluster 1 concentrates in the upper-right quadrant (advanced age, vascular risk), and Cluster 2 extends along the positive PC1 axis (severe physical disability).</w:t>
      </w:r>
    </w:p>
    <w:p>
      <w:pPr>
        <w:keepNext/>
        <w:spacing w:before="120" w:after="40"/>
        <w:jc w:val="center"/>
      </w:pPr>
      <w:r>
        <w:drawing>
          <wp:inline xmlns:a="http://schemas.openxmlformats.org/drawingml/2006/main" xmlns:pic="http://schemas.openxmlformats.org/drawingml/2006/picture">
            <wp:extent cx="4937760" cy="2102308"/>
            <wp:docPr id="7" name="Picture 7"/>
            <wp:cNvGraphicFramePr>
              <a:graphicFrameLocks noChangeAspect="1"/>
            </wp:cNvGraphicFramePr>
            <a:graphic>
              <a:graphicData uri="http://schemas.openxmlformats.org/drawingml/2006/picture">
                <pic:pic>
                  <pic:nvPicPr>
                    <pic:cNvPr id="0" name="stage2_fig8_raw_vs_reduced_comparison.png"/>
                    <pic:cNvPicPr/>
                  </pic:nvPicPr>
                  <pic:blipFill>
                    <a:blip r:embed="rId15"/>
                    <a:stretch>
                      <a:fillRect/>
                    </a:stretch>
                  </pic:blipFill>
                  <pic:spPr>
                    <a:xfrm>
                      <a:off x="0" y="0"/>
                      <a:ext cx="4937760" cy="2102308"/>
                    </a:xfrm>
                    <a:prstGeom prst="rect"/>
                  </pic:spPr>
                </pic:pic>
              </a:graphicData>
            </a:graphic>
          </wp:inline>
        </w:drawing>
      </w:r>
    </w:p>
    <w:p>
      <w:pPr>
        <w:keepNext/>
        <w:spacing w:before="40" w:after="20"/>
        <w:jc w:val="center"/>
      </w:pPr>
      <w:r>
        <w:rPr>
          <w:rFonts w:ascii="Calibri" w:hAnsi="Calibri"/>
          <w:b/>
          <w:color w:val="1F497D"/>
          <w:sz w:val="18"/>
        </w:rPr>
        <w:t>Figure 8: Before and After Dimensionality Reduction — Raw Feature Space (Age vs. BMI) vs. Principal Component Space (PC1 vs. PC2)</w:t>
      </w:r>
    </w:p>
    <w:p>
      <w:pPr>
        <w:spacing w:before="20" w:after="100"/>
        <w:jc w:val="center"/>
      </w:pPr>
      <w:r>
        <w:rPr>
          <w:rFonts w:ascii="Calibri" w:hAnsi="Calibri"/>
          <w:b/>
          <w:color w:val="B43214"/>
          <w:sz w:val="17"/>
        </w:rPr>
        <w:t xml:space="preserve">Key Takeaway: </w:t>
      </w:r>
      <w:r>
        <w:rPr>
          <w:rFonts w:ascii="Calibri" w:hAnsi="Calibri"/>
          <w:i/>
          <w:color w:val="3C3C3C"/>
          <w:sz w:val="17"/>
        </w:rPr>
        <w:t>Dimensionality reduction resolves severe feature overlap, separating overlapping raw biometrics into distinct orthogonal risk quadrants.</w:t>
      </w:r>
    </w:p>
    <w:p>
      <w:r>
        <w:t>Furthermore, Figure 4 provides a comprehensive 4-panel comparison: Panels A and C project the K-Means clusters onto PCA and t-SNE, while Panels B and D project empirical disease diagnoses (Diabetes and Heart Disease). Remarkably, without ever receiving label information, the unsupervised clusters align directly with disease emergence: patients in Cluster 2 form the distinct rightmost branch on t-SNE, perfectly matching the dense concentration of empirical heart attacks and diabetes.</w:t>
      </w:r>
    </w:p>
    <w:p>
      <w:pPr>
        <w:keepNext/>
        <w:spacing w:before="120" w:after="40"/>
        <w:jc w:val="center"/>
      </w:pPr>
      <w:r>
        <w:drawing>
          <wp:inline xmlns:a="http://schemas.openxmlformats.org/drawingml/2006/main" xmlns:pic="http://schemas.openxmlformats.org/drawingml/2006/picture">
            <wp:extent cx="4937760" cy="3958999"/>
            <wp:docPr id="8" name="Picture 8"/>
            <wp:cNvGraphicFramePr>
              <a:graphicFrameLocks noChangeAspect="1"/>
            </wp:cNvGraphicFramePr>
            <a:graphic>
              <a:graphicData uri="http://schemas.openxmlformats.org/drawingml/2006/picture">
                <pic:pic>
                  <pic:nvPicPr>
                    <pic:cNvPr id="0" name="stage2_fig4_cluster_scatter_projections.png"/>
                    <pic:cNvPicPr/>
                  </pic:nvPicPr>
                  <pic:blipFill>
                    <a:blip r:embed="rId16"/>
                    <a:stretch>
                      <a:fillRect/>
                    </a:stretch>
                  </pic:blipFill>
                  <pic:spPr>
                    <a:xfrm>
                      <a:off x="0" y="0"/>
                      <a:ext cx="4937760" cy="3958999"/>
                    </a:xfrm>
                    <a:prstGeom prst="rect"/>
                  </pic:spPr>
                </pic:pic>
              </a:graphicData>
            </a:graphic>
          </wp:inline>
        </w:drawing>
      </w:r>
    </w:p>
    <w:p>
      <w:pPr>
        <w:keepNext/>
        <w:spacing w:before="40" w:after="20"/>
        <w:jc w:val="center"/>
      </w:pPr>
      <w:r>
        <w:rPr>
          <w:rFonts w:ascii="Calibri" w:hAnsi="Calibri"/>
          <w:b/>
          <w:color w:val="1F497D"/>
          <w:sz w:val="18"/>
        </w:rPr>
        <w:t>Figure 4: 2D Manifold Visualizations — PCA vs. t-SNE Colored by Unsupervised Risk Clusters and Empirical Disease Outcomes</w:t>
      </w:r>
    </w:p>
    <w:p>
      <w:pPr>
        <w:spacing w:before="20" w:after="100"/>
        <w:jc w:val="center"/>
      </w:pPr>
      <w:r>
        <w:rPr>
          <w:rFonts w:ascii="Calibri" w:hAnsi="Calibri"/>
          <w:b/>
          <w:color w:val="B43214"/>
          <w:sz w:val="17"/>
        </w:rPr>
        <w:t xml:space="preserve">Key Takeaway: </w:t>
      </w:r>
      <w:r>
        <w:rPr>
          <w:rFonts w:ascii="Calibri" w:hAnsi="Calibri"/>
          <w:i/>
          <w:color w:val="3C3C3C"/>
          <w:sz w:val="17"/>
        </w:rPr>
        <w:t>Unsupervised manifold clusters mirror empirical clinical diagnoses: high-risk clusters align precisely with true diabetes and heart disease cases.</w:t>
      </w:r>
    </w:p>
    <w:p>
      <w:pPr>
        <w:pStyle w:val="Heading2"/>
        <w:spacing w:before="120" w:after="40"/>
      </w:pPr>
      <w:r>
        <w:t>2.4 Re-Clustering on Reduced Feature Spaces: Quantitative Separation Benchmarks</w:t>
      </w:r>
    </w:p>
    <w:p>
      <w:r>
        <w:t>To evaluate whether dimensionality reduction improves cluster separation and interpretability, we re-executed K-Means clustering across three reduced feature spaces: (1) PCA 6 components (retaining 74.0% variance), (2) PCA 2D projection, and (3) t-SNE 2D coordinates (Table 5):</w:t>
        <w:br/>
        <w:t>• PCA 6 Components: The silhouette score increases from 0.1534 in the original 11D space to 0.2046—a 33.4% relative improvement—while the Davies-Bouldin index drops from 2.1061 to 1.7054 (19.0% improvement in cluster compactness). Crucially, the Adjusted Rand Index between the 6D PCA clusters and the original 11D clusters is 0.9027 (over 90% identical assignment). This demonstrates that PCA successfully discarded collinear noise without distorting the underlying clinical grouping.</w:t>
        <w:br/>
        <w:t>• PCA 2D Projection: Compressing feature space to PC1 and PC2 achieves a dramatic silhouette surge to 0.4050 (+164% increase) and an outstanding Davies-Bouldin index of 0.8625, with an ARI of 0.7978. While visually striking, 2D PCA omits 61.3% of orthogonal variance; thus, PCA-6 represents the optimal operational balance for robust downstream risk modeling.</w:t>
        <w:br/>
        <w:t>• t-SNE 2D Manifold: Clustering on t-SNE yields a high silhouette score (0.4070) reflecting compact 2D islands, but an ARI of 0.1124 relative to global 11D space. This reflects the fundamental property that t-SNE partitions local probability neighborhoods rather than global geometric hyperplanes.</w:t>
      </w:r>
    </w:p>
    <w:p>
      <w:pPr>
        <w:keepNext/>
        <w:spacing w:before="120" w:after="40"/>
      </w:pPr>
      <w:r>
        <w:rPr>
          <w:rFonts w:ascii="Calibri" w:hAnsi="Calibri"/>
          <w:b/>
          <w:color w:val="1F497D"/>
          <w:sz w:val="18"/>
        </w:rPr>
        <w:t>Table 5: Clustering Performance Comparison across Original and Reduced Dimensionality Feature Spaces (N=5,000)</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90" w:type="dxa"/>
              <w:bottom w:w="90" w:type="dxa"/>
              <w:left w:w="100" w:type="dxa"/>
              <w:right w:w="100" w:type="dxa"/>
            </w:tcMar>
          </w:tcPr>
          <w:p>
            <w:pPr>
              <w:jc w:val="center"/>
            </w:pPr>
            <w:r>
              <w:rPr>
                <w:rFonts w:ascii="Calibri" w:hAnsi="Calibri"/>
                <w:b/>
                <w:color w:val="FFFFFF"/>
                <w:sz w:val="14"/>
              </w:rPr>
              <w:t>Feature Space</w:t>
            </w:r>
          </w:p>
        </w:tc>
        <w:tc>
          <w:tcPr>
            <w:tcW w:type="dxa" w:w="1440"/>
            <w:shd w:fill="1F497D"/>
            <w:tcMar>
              <w:top w:w="90" w:type="dxa"/>
              <w:bottom w:w="90" w:type="dxa"/>
              <w:left w:w="100" w:type="dxa"/>
              <w:right w:w="100" w:type="dxa"/>
            </w:tcMar>
          </w:tcPr>
          <w:p>
            <w:pPr>
              <w:jc w:val="center"/>
            </w:pPr>
            <w:r>
              <w:rPr>
                <w:rFonts w:ascii="Calibri" w:hAnsi="Calibri"/>
                <w:b/>
                <w:color w:val="FFFFFF"/>
                <w:sz w:val="14"/>
              </w:rPr>
              <w:t>Dimensions Retained</w:t>
            </w:r>
          </w:p>
        </w:tc>
        <w:tc>
          <w:tcPr>
            <w:tcW w:type="dxa" w:w="1440"/>
            <w:shd w:fill="1F497D"/>
            <w:tcMar>
              <w:top w:w="90" w:type="dxa"/>
              <w:bottom w:w="90" w:type="dxa"/>
              <w:left w:w="100" w:type="dxa"/>
              <w:right w:w="100" w:type="dxa"/>
            </w:tcMar>
          </w:tcPr>
          <w:p>
            <w:pPr>
              <w:jc w:val="center"/>
            </w:pPr>
            <w:r>
              <w:rPr>
                <w:rFonts w:ascii="Calibri" w:hAnsi="Calibri"/>
                <w:b/>
                <w:color w:val="FFFFFF"/>
                <w:sz w:val="14"/>
              </w:rPr>
              <w:t>Variance Retained Pct</w:t>
            </w:r>
          </w:p>
        </w:tc>
        <w:tc>
          <w:tcPr>
            <w:tcW w:type="dxa" w:w="1440"/>
            <w:shd w:fill="1F497D"/>
            <w:tcMar>
              <w:top w:w="90" w:type="dxa"/>
              <w:bottom w:w="90" w:type="dxa"/>
              <w:left w:w="100" w:type="dxa"/>
              <w:right w:w="100" w:type="dxa"/>
            </w:tcMar>
          </w:tcPr>
          <w:p>
            <w:pPr>
              <w:jc w:val="center"/>
            </w:pPr>
            <w:r>
              <w:rPr>
                <w:rFonts w:ascii="Calibri" w:hAnsi="Calibri"/>
                <w:b/>
                <w:color w:val="FFFFFF"/>
                <w:sz w:val="14"/>
              </w:rPr>
              <w:t>Silhouette Score</w:t>
            </w:r>
          </w:p>
        </w:tc>
        <w:tc>
          <w:tcPr>
            <w:tcW w:type="dxa" w:w="1440"/>
            <w:shd w:fill="1F497D"/>
            <w:tcMar>
              <w:top w:w="90" w:type="dxa"/>
              <w:bottom w:w="90" w:type="dxa"/>
              <w:left w:w="100" w:type="dxa"/>
              <w:right w:w="100" w:type="dxa"/>
            </w:tcMar>
          </w:tcPr>
          <w:p>
            <w:pPr>
              <w:jc w:val="center"/>
            </w:pPr>
            <w:r>
              <w:rPr>
                <w:rFonts w:ascii="Calibri" w:hAnsi="Calibri"/>
                <w:b/>
                <w:color w:val="FFFFFF"/>
                <w:sz w:val="14"/>
              </w:rPr>
              <w:t>Davies Bouldin Index</w:t>
            </w:r>
          </w:p>
        </w:tc>
        <w:tc>
          <w:tcPr>
            <w:tcW w:type="dxa" w:w="1440"/>
            <w:shd w:fill="1F497D"/>
            <w:tcMar>
              <w:top w:w="90" w:type="dxa"/>
              <w:bottom w:w="90" w:type="dxa"/>
              <w:left w:w="100" w:type="dxa"/>
              <w:right w:w="100" w:type="dxa"/>
            </w:tcMar>
          </w:tcPr>
          <w:p>
            <w:pPr>
              <w:jc w:val="center"/>
            </w:pPr>
            <w:r>
              <w:rPr>
                <w:rFonts w:ascii="Calibri" w:hAnsi="Calibri"/>
                <w:b/>
                <w:color w:val="FFFFFF"/>
                <w:sz w:val="14"/>
              </w:rPr>
              <w:t>Adjusted Rand Index Vs Original</w:t>
            </w:r>
          </w:p>
        </w:tc>
        <w:tc>
          <w:tcPr>
            <w:tcW w:type="dxa" w:w="1440"/>
            <w:shd w:fill="1F497D"/>
            <w:tcMar>
              <w:top w:w="90" w:type="dxa"/>
              <w:bottom w:w="90" w:type="dxa"/>
              <w:left w:w="100" w:type="dxa"/>
              <w:right w:w="100" w:type="dxa"/>
            </w:tcMar>
          </w:tcPr>
          <w:p>
            <w:pPr>
              <w:jc w:val="center"/>
            </w:pPr>
            <w:r>
              <w:rPr>
                <w:rFonts w:ascii="Calibri" w:hAnsi="Calibri"/>
                <w:b/>
                <w:color w:val="FFFFFF"/>
                <w:sz w:val="14"/>
              </w:rPr>
              <w:t>Separation Assessment</w:t>
            </w:r>
          </w:p>
        </w:tc>
      </w:tr>
      <w:tr>
        <w:tc>
          <w:tcPr>
            <w:tcW w:type="dxa" w:w="1440"/>
            <w:shd w:fill="FFFFFF"/>
            <w:tcMar>
              <w:top w:w="50" w:type="dxa"/>
              <w:bottom w:w="50" w:type="dxa"/>
              <w:left w:w="80" w:type="dxa"/>
              <w:right w:w="80" w:type="dxa"/>
            </w:tcMar>
          </w:tcPr>
          <w:p>
            <w:pPr>
              <w:jc w:val="left"/>
            </w:pPr>
            <w:r>
              <w:rPr>
                <w:rFonts w:ascii="Calibri" w:hAnsi="Calibri"/>
                <w:color w:val="282828"/>
                <w:sz w:val="14"/>
              </w:rPr>
              <w:t>Original Full Features (11 Dimensions)</w:t>
            </w:r>
          </w:p>
        </w:tc>
        <w:tc>
          <w:tcPr>
            <w:tcW w:type="dxa" w:w="1440"/>
            <w:shd w:fill="FFFFFF"/>
            <w:tcMar>
              <w:top w:w="50" w:type="dxa"/>
              <w:bottom w:w="50" w:type="dxa"/>
              <w:left w:w="80" w:type="dxa"/>
              <w:right w:w="80" w:type="dxa"/>
            </w:tcMar>
          </w:tcPr>
          <w:p>
            <w:pPr>
              <w:jc w:val="center"/>
            </w:pPr>
            <w:r>
              <w:rPr>
                <w:rFonts w:ascii="Calibri" w:hAnsi="Calibri"/>
                <w:color w:val="282828"/>
                <w:sz w:val="14"/>
              </w:rPr>
              <w:t>11</w:t>
            </w:r>
          </w:p>
        </w:tc>
        <w:tc>
          <w:tcPr>
            <w:tcW w:type="dxa" w:w="1440"/>
            <w:shd w:fill="FFFFFF"/>
            <w:tcMar>
              <w:top w:w="50" w:type="dxa"/>
              <w:bottom w:w="50" w:type="dxa"/>
              <w:left w:w="80" w:type="dxa"/>
              <w:right w:w="80" w:type="dxa"/>
            </w:tcMar>
          </w:tcPr>
          <w:p>
            <w:pPr>
              <w:jc w:val="center"/>
            </w:pPr>
            <w:r>
              <w:rPr>
                <w:rFonts w:ascii="Calibri" w:hAnsi="Calibri"/>
                <w:color w:val="282828"/>
                <w:sz w:val="14"/>
              </w:rPr>
              <w:t>100.00</w:t>
            </w:r>
          </w:p>
        </w:tc>
        <w:tc>
          <w:tcPr>
            <w:tcW w:type="dxa" w:w="1440"/>
            <w:shd w:fill="FFFFFF"/>
            <w:tcMar>
              <w:top w:w="50" w:type="dxa"/>
              <w:bottom w:w="50" w:type="dxa"/>
              <w:left w:w="80" w:type="dxa"/>
              <w:right w:w="80" w:type="dxa"/>
            </w:tcMar>
          </w:tcPr>
          <w:p>
            <w:pPr>
              <w:jc w:val="center"/>
            </w:pPr>
            <w:r>
              <w:rPr>
                <w:rFonts w:ascii="Calibri" w:hAnsi="Calibri"/>
                <w:color w:val="282828"/>
                <w:sz w:val="14"/>
              </w:rPr>
              <w:t>0.15</w:t>
            </w:r>
          </w:p>
        </w:tc>
        <w:tc>
          <w:tcPr>
            <w:tcW w:type="dxa" w:w="1440"/>
            <w:shd w:fill="FFFFFF"/>
            <w:tcMar>
              <w:top w:w="50" w:type="dxa"/>
              <w:bottom w:w="50" w:type="dxa"/>
              <w:left w:w="80" w:type="dxa"/>
              <w:right w:w="80" w:type="dxa"/>
            </w:tcMar>
          </w:tcPr>
          <w:p>
            <w:pPr>
              <w:jc w:val="center"/>
            </w:pPr>
            <w:r>
              <w:rPr>
                <w:rFonts w:ascii="Calibri" w:hAnsi="Calibri"/>
                <w:color w:val="282828"/>
                <w:sz w:val="14"/>
              </w:rPr>
              <w:t>2.11</w:t>
            </w:r>
          </w:p>
        </w:tc>
        <w:tc>
          <w:tcPr>
            <w:tcW w:type="dxa" w:w="1440"/>
            <w:shd w:fill="FFFFFF"/>
            <w:tcMar>
              <w:top w:w="50" w:type="dxa"/>
              <w:bottom w:w="50" w:type="dxa"/>
              <w:left w:w="80" w:type="dxa"/>
              <w:right w:w="80" w:type="dxa"/>
            </w:tcMar>
          </w:tcPr>
          <w:p>
            <w:pPr>
              <w:jc w:val="center"/>
            </w:pPr>
            <w:r>
              <w:rPr>
                <w:rFonts w:ascii="Calibri" w:hAnsi="Calibri"/>
                <w:color w:val="282828"/>
                <w:sz w:val="14"/>
              </w:rPr>
              <w:t>1.00</w:t>
            </w:r>
          </w:p>
        </w:tc>
        <w:tc>
          <w:tcPr>
            <w:tcW w:type="dxa" w:w="1440"/>
            <w:shd w:fill="FFFFFF"/>
            <w:tcMar>
              <w:top w:w="50" w:type="dxa"/>
              <w:bottom w:w="50" w:type="dxa"/>
              <w:left w:w="80" w:type="dxa"/>
              <w:right w:w="80" w:type="dxa"/>
            </w:tcMar>
          </w:tcPr>
          <w:p>
            <w:pPr>
              <w:jc w:val="left"/>
            </w:pPr>
            <w:r>
              <w:rPr>
                <w:rFonts w:ascii="Calibri" w:hAnsi="Calibri"/>
                <w:color w:val="282828"/>
                <w:sz w:val="14"/>
              </w:rPr>
              <w:t>Baseline high-dimensional clustering; subject to noise and Euclidean dilution across 11 features.</w:t>
            </w:r>
          </w:p>
        </w:tc>
      </w:tr>
      <w:tr>
        <w:tc>
          <w:tcPr>
            <w:tcW w:type="dxa" w:w="1440"/>
            <w:shd w:fill="F2F5F9"/>
            <w:tcMar>
              <w:top w:w="50" w:type="dxa"/>
              <w:bottom w:w="50" w:type="dxa"/>
              <w:left w:w="80" w:type="dxa"/>
              <w:right w:w="80" w:type="dxa"/>
            </w:tcMar>
          </w:tcPr>
          <w:p>
            <w:pPr>
              <w:jc w:val="left"/>
            </w:pPr>
            <w:r>
              <w:rPr>
                <w:rFonts w:ascii="Calibri" w:hAnsi="Calibri"/>
                <w:color w:val="282828"/>
                <w:sz w:val="14"/>
              </w:rPr>
              <w:t>PCA Reduced Space (6 Principal Components)</w:t>
            </w:r>
          </w:p>
        </w:tc>
        <w:tc>
          <w:tcPr>
            <w:tcW w:type="dxa" w:w="1440"/>
            <w:shd w:fill="F2F5F9"/>
            <w:tcMar>
              <w:top w:w="50" w:type="dxa"/>
              <w:bottom w:w="50" w:type="dxa"/>
              <w:left w:w="80" w:type="dxa"/>
              <w:right w:w="80" w:type="dxa"/>
            </w:tcMar>
          </w:tcPr>
          <w:p>
            <w:pPr>
              <w:jc w:val="center"/>
            </w:pPr>
            <w:r>
              <w:rPr>
                <w:rFonts w:ascii="Calibri" w:hAnsi="Calibri"/>
                <w:color w:val="282828"/>
                <w:sz w:val="14"/>
              </w:rPr>
              <w:t>6</w:t>
            </w:r>
          </w:p>
        </w:tc>
        <w:tc>
          <w:tcPr>
            <w:tcW w:type="dxa" w:w="1440"/>
            <w:shd w:fill="F2F5F9"/>
            <w:tcMar>
              <w:top w:w="50" w:type="dxa"/>
              <w:bottom w:w="50" w:type="dxa"/>
              <w:left w:w="80" w:type="dxa"/>
              <w:right w:w="80" w:type="dxa"/>
            </w:tcMar>
          </w:tcPr>
          <w:p>
            <w:pPr>
              <w:jc w:val="center"/>
            </w:pPr>
            <w:r>
              <w:rPr>
                <w:rFonts w:ascii="Calibri" w:hAnsi="Calibri"/>
                <w:color w:val="282828"/>
                <w:sz w:val="14"/>
              </w:rPr>
              <w:t>73.98</w:t>
            </w:r>
          </w:p>
        </w:tc>
        <w:tc>
          <w:tcPr>
            <w:tcW w:type="dxa" w:w="1440"/>
            <w:shd w:fill="F2F5F9"/>
            <w:tcMar>
              <w:top w:w="50" w:type="dxa"/>
              <w:bottom w:w="50" w:type="dxa"/>
              <w:left w:w="80" w:type="dxa"/>
              <w:right w:w="80" w:type="dxa"/>
            </w:tcMar>
          </w:tcPr>
          <w:p>
            <w:pPr>
              <w:jc w:val="center"/>
            </w:pPr>
            <w:r>
              <w:rPr>
                <w:rFonts w:ascii="Calibri" w:hAnsi="Calibri"/>
                <w:color w:val="282828"/>
                <w:sz w:val="14"/>
              </w:rPr>
              <w:t>0.20</w:t>
            </w:r>
          </w:p>
        </w:tc>
        <w:tc>
          <w:tcPr>
            <w:tcW w:type="dxa" w:w="1440"/>
            <w:shd w:fill="F2F5F9"/>
            <w:tcMar>
              <w:top w:w="50" w:type="dxa"/>
              <w:bottom w:w="50" w:type="dxa"/>
              <w:left w:w="80" w:type="dxa"/>
              <w:right w:w="80" w:type="dxa"/>
            </w:tcMar>
          </w:tcPr>
          <w:p>
            <w:pPr>
              <w:jc w:val="center"/>
            </w:pPr>
            <w:r>
              <w:rPr>
                <w:rFonts w:ascii="Calibri" w:hAnsi="Calibri"/>
                <w:color w:val="282828"/>
                <w:sz w:val="14"/>
              </w:rPr>
              <w:t>1.71</w:t>
            </w:r>
          </w:p>
        </w:tc>
        <w:tc>
          <w:tcPr>
            <w:tcW w:type="dxa" w:w="1440"/>
            <w:shd w:fill="F2F5F9"/>
            <w:tcMar>
              <w:top w:w="50" w:type="dxa"/>
              <w:bottom w:w="50" w:type="dxa"/>
              <w:left w:w="80" w:type="dxa"/>
              <w:right w:w="80" w:type="dxa"/>
            </w:tcMar>
          </w:tcPr>
          <w:p>
            <w:pPr>
              <w:jc w:val="center"/>
            </w:pPr>
            <w:r>
              <w:rPr>
                <w:rFonts w:ascii="Calibri" w:hAnsi="Calibri"/>
                <w:color w:val="282828"/>
                <w:sz w:val="14"/>
              </w:rPr>
              <w:t>0.90</w:t>
            </w:r>
          </w:p>
        </w:tc>
        <w:tc>
          <w:tcPr>
            <w:tcW w:type="dxa" w:w="1440"/>
            <w:shd w:fill="F2F5F9"/>
            <w:tcMar>
              <w:top w:w="50" w:type="dxa"/>
              <w:bottom w:w="50" w:type="dxa"/>
              <w:left w:w="80" w:type="dxa"/>
              <w:right w:w="80" w:type="dxa"/>
            </w:tcMar>
          </w:tcPr>
          <w:p>
            <w:pPr>
              <w:jc w:val="left"/>
            </w:pPr>
            <w:r>
              <w:rPr>
                <w:rFonts w:ascii="Calibri" w:hAnsi="Calibri"/>
                <w:color w:val="282828"/>
                <w:sz w:val="14"/>
              </w:rPr>
              <w:t>Improved silhouette (+33.4%) and lower Davies-Bouldin (-19.0%); preserves 74.0% variance while eliminating collinear noise.</w:t>
            </w:r>
          </w:p>
        </w:tc>
      </w:tr>
      <w:tr>
        <w:tc>
          <w:tcPr>
            <w:tcW w:type="dxa" w:w="1440"/>
            <w:shd w:fill="FFFFFF"/>
            <w:tcMar>
              <w:top w:w="50" w:type="dxa"/>
              <w:bottom w:w="50" w:type="dxa"/>
              <w:left w:w="80" w:type="dxa"/>
              <w:right w:w="80" w:type="dxa"/>
            </w:tcMar>
          </w:tcPr>
          <w:p>
            <w:pPr>
              <w:jc w:val="left"/>
            </w:pPr>
            <w:r>
              <w:rPr>
                <w:rFonts w:ascii="Calibri" w:hAnsi="Calibri"/>
                <w:color w:val="282828"/>
                <w:sz w:val="14"/>
              </w:rPr>
              <w:t>PCA 2D Projection (PC1 and PC2)</w:t>
            </w:r>
          </w:p>
        </w:tc>
        <w:tc>
          <w:tcPr>
            <w:tcW w:type="dxa" w:w="1440"/>
            <w:shd w:fill="FFFFFF"/>
            <w:tcMar>
              <w:top w:w="50" w:type="dxa"/>
              <w:bottom w:w="50" w:type="dxa"/>
              <w:left w:w="80" w:type="dxa"/>
              <w:right w:w="80" w:type="dxa"/>
            </w:tcMar>
          </w:tcPr>
          <w:p>
            <w:pPr>
              <w:jc w:val="center"/>
            </w:pPr>
            <w:r>
              <w:rPr>
                <w:rFonts w:ascii="Calibri" w:hAnsi="Calibri"/>
                <w:color w:val="282828"/>
                <w:sz w:val="14"/>
              </w:rPr>
              <w:t>2</w:t>
            </w:r>
          </w:p>
        </w:tc>
        <w:tc>
          <w:tcPr>
            <w:tcW w:type="dxa" w:w="1440"/>
            <w:shd w:fill="FFFFFF"/>
            <w:tcMar>
              <w:top w:w="50" w:type="dxa"/>
              <w:bottom w:w="50" w:type="dxa"/>
              <w:left w:w="80" w:type="dxa"/>
              <w:right w:w="80" w:type="dxa"/>
            </w:tcMar>
          </w:tcPr>
          <w:p>
            <w:pPr>
              <w:jc w:val="center"/>
            </w:pPr>
            <w:r>
              <w:rPr>
                <w:rFonts w:ascii="Calibri" w:hAnsi="Calibri"/>
                <w:color w:val="282828"/>
                <w:sz w:val="14"/>
              </w:rPr>
              <w:t>38.69</w:t>
            </w:r>
          </w:p>
        </w:tc>
        <w:tc>
          <w:tcPr>
            <w:tcW w:type="dxa" w:w="1440"/>
            <w:shd w:fill="FFFFFF"/>
            <w:tcMar>
              <w:top w:w="50" w:type="dxa"/>
              <w:bottom w:w="50" w:type="dxa"/>
              <w:left w:w="80" w:type="dxa"/>
              <w:right w:w="80" w:type="dxa"/>
            </w:tcMar>
          </w:tcPr>
          <w:p>
            <w:pPr>
              <w:jc w:val="center"/>
            </w:pPr>
            <w:r>
              <w:rPr>
                <w:rFonts w:ascii="Calibri" w:hAnsi="Calibri"/>
                <w:color w:val="282828"/>
                <w:sz w:val="14"/>
              </w:rPr>
              <w:t>0.41</w:t>
            </w:r>
          </w:p>
        </w:tc>
        <w:tc>
          <w:tcPr>
            <w:tcW w:type="dxa" w:w="1440"/>
            <w:shd w:fill="FFFFFF"/>
            <w:tcMar>
              <w:top w:w="50" w:type="dxa"/>
              <w:bottom w:w="50" w:type="dxa"/>
              <w:left w:w="80" w:type="dxa"/>
              <w:right w:w="80" w:type="dxa"/>
            </w:tcMar>
          </w:tcPr>
          <w:p>
            <w:pPr>
              <w:jc w:val="center"/>
            </w:pPr>
            <w:r>
              <w:rPr>
                <w:rFonts w:ascii="Calibri" w:hAnsi="Calibri"/>
                <w:color w:val="282828"/>
                <w:sz w:val="14"/>
              </w:rPr>
              <w:t>0.86</w:t>
            </w:r>
          </w:p>
        </w:tc>
        <w:tc>
          <w:tcPr>
            <w:tcW w:type="dxa" w:w="1440"/>
            <w:shd w:fill="FFFFFF"/>
            <w:tcMar>
              <w:top w:w="50" w:type="dxa"/>
              <w:bottom w:w="50" w:type="dxa"/>
              <w:left w:w="80" w:type="dxa"/>
              <w:right w:w="80" w:type="dxa"/>
            </w:tcMar>
          </w:tcPr>
          <w:p>
            <w:pPr>
              <w:jc w:val="center"/>
            </w:pPr>
            <w:r>
              <w:rPr>
                <w:rFonts w:ascii="Calibri" w:hAnsi="Calibri"/>
                <w:color w:val="282828"/>
                <w:sz w:val="14"/>
              </w:rPr>
              <w:t>0.80</w:t>
            </w:r>
          </w:p>
        </w:tc>
        <w:tc>
          <w:tcPr>
            <w:tcW w:type="dxa" w:w="1440"/>
            <w:shd w:fill="FFFFFF"/>
            <w:tcMar>
              <w:top w:w="50" w:type="dxa"/>
              <w:bottom w:w="50" w:type="dxa"/>
              <w:left w:w="80" w:type="dxa"/>
              <w:right w:w="80" w:type="dxa"/>
            </w:tcMar>
          </w:tcPr>
          <w:p>
            <w:pPr>
              <w:jc w:val="left"/>
            </w:pPr>
            <w:r>
              <w:rPr>
                <w:rFonts w:ascii="Calibri" w:hAnsi="Calibri"/>
                <w:color w:val="282828"/>
                <w:sz w:val="14"/>
              </w:rPr>
              <w:t>Highest silhouette (0.4050) and lowest Davies-Bouldin (0.8625); sharp visual clusters, but omits 61.3% of orthogonal variance.</w:t>
            </w:r>
          </w:p>
        </w:tc>
      </w:tr>
      <w:tr>
        <w:tc>
          <w:tcPr>
            <w:tcW w:type="dxa" w:w="1440"/>
            <w:shd w:fill="F2F5F9"/>
            <w:tcMar>
              <w:top w:w="50" w:type="dxa"/>
              <w:bottom w:w="50" w:type="dxa"/>
              <w:left w:w="80" w:type="dxa"/>
              <w:right w:w="80" w:type="dxa"/>
            </w:tcMar>
          </w:tcPr>
          <w:p>
            <w:pPr>
              <w:jc w:val="left"/>
            </w:pPr>
            <w:r>
              <w:rPr>
                <w:rFonts w:ascii="Calibri" w:hAnsi="Calibri"/>
                <w:color w:val="282828"/>
                <w:sz w:val="14"/>
              </w:rPr>
              <w:t>t-SNE 2D Manifold Space</w:t>
            </w:r>
          </w:p>
        </w:tc>
        <w:tc>
          <w:tcPr>
            <w:tcW w:type="dxa" w:w="1440"/>
            <w:shd w:fill="F2F5F9"/>
            <w:tcMar>
              <w:top w:w="50" w:type="dxa"/>
              <w:bottom w:w="50" w:type="dxa"/>
              <w:left w:w="80" w:type="dxa"/>
              <w:right w:w="80" w:type="dxa"/>
            </w:tcMar>
          </w:tcPr>
          <w:p>
            <w:pPr>
              <w:jc w:val="center"/>
            </w:pPr>
            <w:r>
              <w:rPr>
                <w:rFonts w:ascii="Calibri" w:hAnsi="Calibri"/>
                <w:color w:val="282828"/>
                <w:sz w:val="14"/>
              </w:rPr>
              <w:t>2</w:t>
            </w:r>
          </w:p>
        </w:tc>
        <w:tc>
          <w:tcPr>
            <w:tcW w:type="dxa" w:w="1440"/>
            <w:shd w:fill="F2F5F9"/>
            <w:tcMar>
              <w:top w:w="50" w:type="dxa"/>
              <w:bottom w:w="50" w:type="dxa"/>
              <w:left w:w="80" w:type="dxa"/>
              <w:right w:w="80" w:type="dxa"/>
            </w:tcMar>
          </w:tcPr>
          <w:p>
            <w:pPr>
              <w:jc w:val="center"/>
            </w:pPr>
            <w:r>
              <w:rPr>
                <w:rFonts w:ascii="Calibri" w:hAnsi="Calibri"/>
                <w:color w:val="282828"/>
                <w:sz w:val="14"/>
              </w:rPr>
              <w:t>N/A</w:t>
            </w:r>
          </w:p>
        </w:tc>
        <w:tc>
          <w:tcPr>
            <w:tcW w:type="dxa" w:w="1440"/>
            <w:shd w:fill="F2F5F9"/>
            <w:tcMar>
              <w:top w:w="50" w:type="dxa"/>
              <w:bottom w:w="50" w:type="dxa"/>
              <w:left w:w="80" w:type="dxa"/>
              <w:right w:w="80" w:type="dxa"/>
            </w:tcMar>
          </w:tcPr>
          <w:p>
            <w:pPr>
              <w:jc w:val="center"/>
            </w:pPr>
            <w:r>
              <w:rPr>
                <w:rFonts w:ascii="Calibri" w:hAnsi="Calibri"/>
                <w:color w:val="282828"/>
                <w:sz w:val="14"/>
              </w:rPr>
              <w:t>0.41</w:t>
            </w:r>
          </w:p>
        </w:tc>
        <w:tc>
          <w:tcPr>
            <w:tcW w:type="dxa" w:w="1440"/>
            <w:shd w:fill="F2F5F9"/>
            <w:tcMar>
              <w:top w:w="50" w:type="dxa"/>
              <w:bottom w:w="50" w:type="dxa"/>
              <w:left w:w="80" w:type="dxa"/>
              <w:right w:w="80" w:type="dxa"/>
            </w:tcMar>
          </w:tcPr>
          <w:p>
            <w:pPr>
              <w:jc w:val="center"/>
            </w:pPr>
            <w:r>
              <w:rPr>
                <w:rFonts w:ascii="Calibri" w:hAnsi="Calibri"/>
                <w:color w:val="282828"/>
                <w:sz w:val="14"/>
              </w:rPr>
              <w:t>0.82</w:t>
            </w:r>
          </w:p>
        </w:tc>
        <w:tc>
          <w:tcPr>
            <w:tcW w:type="dxa" w:w="1440"/>
            <w:shd w:fill="F2F5F9"/>
            <w:tcMar>
              <w:top w:w="50" w:type="dxa"/>
              <w:bottom w:w="50" w:type="dxa"/>
              <w:left w:w="80" w:type="dxa"/>
              <w:right w:w="80" w:type="dxa"/>
            </w:tcMar>
          </w:tcPr>
          <w:p>
            <w:pPr>
              <w:jc w:val="center"/>
            </w:pPr>
            <w:r>
              <w:rPr>
                <w:rFonts w:ascii="Calibri" w:hAnsi="Calibri"/>
                <w:color w:val="282828"/>
                <w:sz w:val="14"/>
              </w:rPr>
              <w:t>0.11</w:t>
            </w:r>
          </w:p>
        </w:tc>
        <w:tc>
          <w:tcPr>
            <w:tcW w:type="dxa" w:w="1440"/>
            <w:shd w:fill="F2F5F9"/>
            <w:tcMar>
              <w:top w:w="50" w:type="dxa"/>
              <w:bottom w:w="50" w:type="dxa"/>
              <w:left w:w="80" w:type="dxa"/>
              <w:right w:w="80" w:type="dxa"/>
            </w:tcMar>
          </w:tcPr>
          <w:p>
            <w:pPr>
              <w:jc w:val="left"/>
            </w:pPr>
            <w:r>
              <w:rPr>
                <w:rFonts w:ascii="Calibri" w:hAnsi="Calibri"/>
                <w:color w:val="282828"/>
                <w:sz w:val="14"/>
              </w:rPr>
              <w:t>Non-linear manifold unrolls local clusters (Silhouette 0.4070); modest ARI (0.11) reflects local vs global objective difference.</w:t>
            </w:r>
          </w:p>
        </w:tc>
      </w:tr>
    </w:tbl>
    <w:p>
      <w:pPr>
        <w:spacing w:after="60"/>
      </w:pPr>
    </w:p>
    <w:p>
      <w:pPr>
        <w:pStyle w:val="Heading1"/>
        <w:spacing w:before="180" w:after="40"/>
      </w:pPr>
      <w:r>
        <w:t>3. Outlier Detection</w:t>
      </w:r>
    </w:p>
    <w:p>
      <w:pPr>
        <w:pStyle w:val="Heading2"/>
        <w:spacing w:before="120" w:after="40"/>
      </w:pPr>
      <w:r>
        <w:t>3.1 Defining Outliers in Cardiometabolic Healthcare: Pathology vs. Artifacts</w:t>
      </w:r>
    </w:p>
    <w:p>
      <w:r>
        <w:t xml:space="preserve">In healthcare data mining, the term 'outlier' carries dual, fundamentally opposing interpretations that must be rigorously distinguished: </w:t>
        <w:br/>
        <w:t>1. Impossible Measurement Artifacts &amp; Recording Errors: Values that violate biological and physiological laws in living humans. Examples include a diastolic blood pressure of 0 mmHg, a fasting blood glucose of 0 mg/dL, or a Body Mass Index of 0 kg/m². In Mid-Report 1, these anomalies were identified as 'hidden zeros' resulting from omitted examinations and converted to NaN. Retaining such artifacts would corrupt machine learning models by injecting false biological signals.</w:t>
        <w:br/>
        <w:t>2. Genuine Pathological Extremes (Clinical Outliers): Values that are statistically extreme (exceeding 3 or 4 standard deviations from the mean) yet physiologically authentic. Examples include a patient with super-morbid obesity (BMI = 82.0 kg/m²), extreme hypercholesterolemia (serum cholesterol = 564 mg/dL from familial LDLR mutations), acute hyperglycemic crises (glucose &gt; 180 mg/dL), or catastrophic multi-morbidity (reporting 30 out of 30 days of complete physical and mental disability). These patients are not errors; they represent the most vulnerable, highest-cost individuals in the healthcare system.</w:t>
      </w:r>
    </w:p>
    <w:p>
      <w:pPr>
        <w:pStyle w:val="Heading2"/>
        <w:spacing w:before="120" w:after="40"/>
      </w:pPr>
      <w:r>
        <w:t>3.2 Outlier Detection Algorithms, Manifold Localization &amp; Boxplot Diagnostics</w:t>
      </w:r>
    </w:p>
    <w:p>
      <w:r>
        <w:t xml:space="preserve">To identify multidimensional anomalies, we deployed two complementary algorithms calibrated at contamination = 0.035 (3.5% cohort fraction): </w:t>
        <w:br/>
        <w:t>• Isolation Forest: An ensemble of 150 randomized isolation trees that isolates anomalies based on path length depth. Because extreme outliers require few random feature splits to separate from the normal distribution, they exhibit short average tree path lengths.</w:t>
        <w:br/>
        <w:t>• Local Outlier Factor (LOF): A density-based algorithm (n_neighbors = 20) that computes the local reachability density of a patient relative to their surrounding neighbors. Points residing in substantially sparser neighborhoods than their peers receive high outlier scores.</w:t>
        <w:br/>
        <w:t>• Detection Results: Isolation Forest flagged exactly 175 outliers (3.5%), LOF flagged 175 outliers (3.5%), and the union identified 347 unique anomalous patients (6.9%). Isolation Forest proved exceptionally capable at isolating extreme global biometric leverage points, whereas LOF isolated local density anomalies (e.g., young individuals with anomalous stroke occurrences).</w:t>
      </w:r>
    </w:p>
    <w:p>
      <w:r>
        <w:t>Figure 9 visualizes the detected Isolation Forest outliers: on the PCA and t-SNE projections (Panels A and B), outliers (orange triangles) concentrate at the extreme peripheral edges of the manifold—particularly along the upper right of PC1. The multi-feature boxplots (Panels C and D) reveal stark distributional contrasts: while inliers display a median BMI of 27.4 kg/m² and a median of 0 poor physical days, outliers exhibit extreme right-tailed distributions extending to BMI=82.0 kg/m² and a median of 30 out of 30 days of physical disability.</w:t>
      </w:r>
    </w:p>
    <w:p>
      <w:pPr>
        <w:keepNext/>
        <w:spacing w:before="120" w:after="40"/>
        <w:jc w:val="center"/>
      </w:pPr>
      <w:r>
        <w:drawing>
          <wp:inline xmlns:a="http://schemas.openxmlformats.org/drawingml/2006/main" xmlns:pic="http://schemas.openxmlformats.org/drawingml/2006/picture">
            <wp:extent cx="4937760" cy="3893347"/>
            <wp:docPr id="9" name="Picture 9"/>
            <wp:cNvGraphicFramePr>
              <a:graphicFrameLocks noChangeAspect="1"/>
            </wp:cNvGraphicFramePr>
            <a:graphic>
              <a:graphicData uri="http://schemas.openxmlformats.org/drawingml/2006/picture">
                <pic:pic>
                  <pic:nvPicPr>
                    <pic:cNvPr id="0" name="stage2_fig9_outliers_projection_boxplots.png"/>
                    <pic:cNvPicPr/>
                  </pic:nvPicPr>
                  <pic:blipFill>
                    <a:blip r:embed="rId17"/>
                    <a:stretch>
                      <a:fillRect/>
                    </a:stretch>
                  </pic:blipFill>
                  <pic:spPr>
                    <a:xfrm>
                      <a:off x="0" y="0"/>
                      <a:ext cx="4937760" cy="3893347"/>
                    </a:xfrm>
                    <a:prstGeom prst="rect"/>
                  </pic:spPr>
                </pic:pic>
              </a:graphicData>
            </a:graphic>
          </wp:inline>
        </w:drawing>
      </w:r>
    </w:p>
    <w:p>
      <w:pPr>
        <w:keepNext/>
        <w:spacing w:before="40" w:after="20"/>
        <w:jc w:val="center"/>
      </w:pPr>
      <w:r>
        <w:rPr>
          <w:rFonts w:ascii="Calibri" w:hAnsi="Calibri"/>
          <w:b/>
          <w:color w:val="1F497D"/>
          <w:sz w:val="18"/>
        </w:rPr>
        <w:t>Figure 9: Outlier Detection Diagnostics — Manifold Embeddings and Biometric Distribution Contrasts (Inliers vs. Outliers)</w:t>
      </w:r>
    </w:p>
    <w:p>
      <w:pPr>
        <w:spacing w:before="20" w:after="100"/>
        <w:jc w:val="center"/>
      </w:pPr>
      <w:r>
        <w:rPr>
          <w:rFonts w:ascii="Calibri" w:hAnsi="Calibri"/>
          <w:b/>
          <w:color w:val="B43214"/>
          <w:sz w:val="17"/>
        </w:rPr>
        <w:t xml:space="preserve">Key Takeaway: </w:t>
      </w:r>
      <w:r>
        <w:rPr>
          <w:rFonts w:ascii="Calibri" w:hAnsi="Calibri"/>
          <w:i/>
          <w:color w:val="3C3C3C"/>
          <w:sz w:val="17"/>
        </w:rPr>
        <w:t>Detected outliers reside on the distant perimeter of the manifold, driven by morbid obesity (BMI up to 82) and complete physical impairment (30/30 days).</w:t>
      </w:r>
    </w:p>
    <w:p>
      <w:pPr>
        <w:pStyle w:val="Heading2"/>
        <w:spacing w:before="120" w:after="40"/>
      </w:pPr>
      <w:r>
        <w:t>3.3 Outlier Characteristics, Clinical Profiles &amp; Root Causes</w:t>
      </w:r>
    </w:p>
    <w:p>
      <w:r>
        <w:t xml:space="preserve">Table 6 profiles the biometric and clinical composition of the 175 Isolation Forest outliers relative to the 4,825 normal inliers: </w:t>
        <w:br/>
        <w:t>• Disproportionate Disease Burden: Compared to inliers, outliers exhibit a 2.25-fold higher diabetes prevalence (29.7% vs. 13.2%) and a 2.76-fold higher coronary heart disease rate (25.1% vs. 9.1%). Hypertension prevalence is 58.3% and high cholesterol is 50.3%.</w:t>
        <w:br/>
        <w:t>• Catastrophic Physical &amp; Mental Disability: The most dramatic differentiator is functional impairment: outliers report an average of 24.9 days of poor physical health and 24.1 days of poor mental health per month, compared to just 3.4 and 2.3 days in inliers (a 7-fold and 10-fold increase).</w:t>
        <w:br/>
        <w:t>• Morbid Obesity: Outliers have an average BMI of 33.4 kg/m² with a maximum of 82.0 kg/m² (Class III super-morbid obesity).</w:t>
        <w:br/>
        <w:t>• Root Causes: Root cause analysis indicates that these outliers represent authentic multi-morbidity syndromes where severe obesity, chronic pain, vascular pathology, and mental health crises converge. Survey fatigue or extreme distress may also lead respondents to report maximum values (30 days) across all health items.</w:t>
      </w:r>
    </w:p>
    <w:p>
      <w:pPr>
        <w:keepNext/>
        <w:spacing w:before="120" w:after="40"/>
      </w:pPr>
      <w:r>
        <w:rPr>
          <w:rFonts w:ascii="Calibri" w:hAnsi="Calibri"/>
          <w:b/>
          <w:color w:val="1F497D"/>
          <w:sz w:val="18"/>
        </w:rPr>
        <w:t>Table 6: Biometric and Clinical Profile Comparison — Normal Inliers vs. Isolation Forest Outliers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F497D"/>
            <w:tcMar>
              <w:top w:w="90" w:type="dxa"/>
              <w:bottom w:w="90" w:type="dxa"/>
              <w:left w:w="100" w:type="dxa"/>
              <w:right w:w="100" w:type="dxa"/>
            </w:tcMar>
          </w:tcPr>
          <w:p>
            <w:pPr>
              <w:jc w:val="center"/>
            </w:pPr>
            <w:r>
              <w:rPr>
                <w:rFonts w:ascii="Calibri" w:hAnsi="Calibri"/>
                <w:b/>
                <w:color w:val="FFFFFF"/>
                <w:sz w:val="16"/>
              </w:rPr>
              <w:t>Cohort Group</w:t>
            </w:r>
          </w:p>
        </w:tc>
        <w:tc>
          <w:tcPr>
            <w:tcW w:type="dxa" w:w="1008"/>
            <w:shd w:fill="1F497D"/>
            <w:tcMar>
              <w:top w:w="90" w:type="dxa"/>
              <w:bottom w:w="90" w:type="dxa"/>
              <w:left w:w="100" w:type="dxa"/>
              <w:right w:w="100" w:type="dxa"/>
            </w:tcMar>
          </w:tcPr>
          <w:p>
            <w:pPr>
              <w:jc w:val="center"/>
            </w:pPr>
            <w:r>
              <w:rPr>
                <w:rFonts w:ascii="Calibri" w:hAnsi="Calibri"/>
                <w:b/>
                <w:color w:val="FFFFFF"/>
                <w:sz w:val="16"/>
              </w:rPr>
              <w:t>Avg Bmi</w:t>
            </w:r>
          </w:p>
        </w:tc>
        <w:tc>
          <w:tcPr>
            <w:tcW w:type="dxa" w:w="1008"/>
            <w:shd w:fill="1F497D"/>
            <w:tcMar>
              <w:top w:w="90" w:type="dxa"/>
              <w:bottom w:w="90" w:type="dxa"/>
              <w:left w:w="100" w:type="dxa"/>
              <w:right w:w="100" w:type="dxa"/>
            </w:tcMar>
          </w:tcPr>
          <w:p>
            <w:pPr>
              <w:jc w:val="center"/>
            </w:pPr>
            <w:r>
              <w:rPr>
                <w:rFonts w:ascii="Calibri" w:hAnsi="Calibri"/>
                <w:b/>
                <w:color w:val="FFFFFF"/>
                <w:sz w:val="16"/>
              </w:rPr>
              <w:t>Max Bmi</w:t>
            </w:r>
          </w:p>
        </w:tc>
        <w:tc>
          <w:tcPr>
            <w:tcW w:type="dxa" w:w="1008"/>
            <w:shd w:fill="1F497D"/>
            <w:tcMar>
              <w:top w:w="90" w:type="dxa"/>
              <w:bottom w:w="90" w:type="dxa"/>
              <w:left w:w="100" w:type="dxa"/>
              <w:right w:w="100" w:type="dxa"/>
            </w:tcMar>
          </w:tcPr>
          <w:p>
            <w:pPr>
              <w:jc w:val="center"/>
            </w:pPr>
            <w:r>
              <w:rPr>
                <w:rFonts w:ascii="Calibri" w:hAnsi="Calibri"/>
                <w:b/>
                <w:color w:val="FFFFFF"/>
                <w:sz w:val="16"/>
              </w:rPr>
              <w:t>Avg Age Est</w:t>
            </w:r>
          </w:p>
        </w:tc>
        <w:tc>
          <w:tcPr>
            <w:tcW w:type="dxa" w:w="1008"/>
            <w:shd w:fill="1F497D"/>
            <w:tcMar>
              <w:top w:w="90" w:type="dxa"/>
              <w:bottom w:w="90" w:type="dxa"/>
              <w:left w:w="100" w:type="dxa"/>
              <w:right w:w="100" w:type="dxa"/>
            </w:tcMar>
          </w:tcPr>
          <w:p>
            <w:pPr>
              <w:jc w:val="center"/>
            </w:pPr>
            <w:r>
              <w:rPr>
                <w:rFonts w:ascii="Calibri" w:hAnsi="Calibri"/>
                <w:b/>
                <w:color w:val="FFFFFF"/>
                <w:sz w:val="16"/>
              </w:rPr>
              <w:t>Avg Poor Phys Days</w:t>
            </w:r>
          </w:p>
        </w:tc>
        <w:tc>
          <w:tcPr>
            <w:tcW w:type="dxa" w:w="1008"/>
            <w:shd w:fill="1F497D"/>
            <w:tcMar>
              <w:top w:w="90" w:type="dxa"/>
              <w:bottom w:w="90" w:type="dxa"/>
              <w:left w:w="100" w:type="dxa"/>
              <w:right w:w="100" w:type="dxa"/>
            </w:tcMar>
          </w:tcPr>
          <w:p>
            <w:pPr>
              <w:jc w:val="center"/>
            </w:pPr>
            <w:r>
              <w:rPr>
                <w:rFonts w:ascii="Calibri" w:hAnsi="Calibri"/>
                <w:b/>
                <w:color w:val="FFFFFF"/>
                <w:sz w:val="16"/>
              </w:rPr>
              <w:t>Avg Poor Ment Days</w:t>
            </w:r>
          </w:p>
        </w:tc>
        <w:tc>
          <w:tcPr>
            <w:tcW w:type="dxa" w:w="1008"/>
            <w:shd w:fill="1F497D"/>
            <w:tcMar>
              <w:top w:w="90" w:type="dxa"/>
              <w:bottom w:w="90" w:type="dxa"/>
              <w:left w:w="100" w:type="dxa"/>
              <w:right w:w="100" w:type="dxa"/>
            </w:tcMar>
          </w:tcPr>
          <w:p>
            <w:pPr>
              <w:jc w:val="center"/>
            </w:pPr>
            <w:r>
              <w:rPr>
                <w:rFonts w:ascii="Calibri" w:hAnsi="Calibri"/>
                <w:b/>
                <w:color w:val="FFFFFF"/>
                <w:sz w:val="16"/>
              </w:rPr>
              <w:t>Hypertension Rate Pct</w:t>
            </w:r>
          </w:p>
        </w:tc>
        <w:tc>
          <w:tcPr>
            <w:tcW w:type="dxa" w:w="1008"/>
            <w:shd w:fill="1F497D"/>
            <w:tcMar>
              <w:top w:w="90" w:type="dxa"/>
              <w:bottom w:w="90" w:type="dxa"/>
              <w:left w:w="100" w:type="dxa"/>
              <w:right w:w="100" w:type="dxa"/>
            </w:tcMar>
          </w:tcPr>
          <w:p>
            <w:pPr>
              <w:jc w:val="center"/>
            </w:pPr>
            <w:r>
              <w:rPr>
                <w:rFonts w:ascii="Calibri" w:hAnsi="Calibri"/>
                <w:b/>
                <w:color w:val="FFFFFF"/>
                <w:sz w:val="16"/>
              </w:rPr>
              <w:t>High Cholesterol Pct</w:t>
            </w:r>
          </w:p>
        </w:tc>
        <w:tc>
          <w:tcPr>
            <w:tcW w:type="dxa" w:w="1008"/>
            <w:shd w:fill="1F497D"/>
            <w:tcMar>
              <w:top w:w="90" w:type="dxa"/>
              <w:bottom w:w="90" w:type="dxa"/>
              <w:left w:w="100" w:type="dxa"/>
              <w:right w:w="100" w:type="dxa"/>
            </w:tcMar>
          </w:tcPr>
          <w:p>
            <w:pPr>
              <w:jc w:val="center"/>
            </w:pPr>
            <w:r>
              <w:rPr>
                <w:rFonts w:ascii="Calibri" w:hAnsi="Calibri"/>
                <w:b/>
                <w:color w:val="FFFFFF"/>
                <w:sz w:val="16"/>
              </w:rPr>
              <w:t>Diabetes Rate Pct</w:t>
            </w:r>
          </w:p>
        </w:tc>
        <w:tc>
          <w:tcPr>
            <w:tcW w:type="dxa" w:w="1008"/>
            <w:shd w:fill="1F497D"/>
            <w:tcMar>
              <w:top w:w="90" w:type="dxa"/>
              <w:bottom w:w="90" w:type="dxa"/>
              <w:left w:w="100" w:type="dxa"/>
              <w:right w:w="100" w:type="dxa"/>
            </w:tcMar>
          </w:tcPr>
          <w:p>
            <w:pPr>
              <w:jc w:val="center"/>
            </w:pPr>
            <w:r>
              <w:rPr>
                <w:rFonts w:ascii="Calibri" w:hAnsi="Calibri"/>
                <w:b/>
                <w:color w:val="FFFFFF"/>
                <w:sz w:val="16"/>
              </w:rPr>
              <w:t>Heart Disease Rate Pct</w:t>
            </w:r>
          </w:p>
        </w:tc>
      </w:tr>
      <w:tr>
        <w:tc>
          <w:tcPr>
            <w:tcW w:type="dxa" w:w="1008"/>
            <w:shd w:fill="FFFFFF"/>
            <w:tcMar>
              <w:top w:w="50" w:type="dxa"/>
              <w:bottom w:w="50" w:type="dxa"/>
              <w:left w:w="80" w:type="dxa"/>
              <w:right w:w="80" w:type="dxa"/>
            </w:tcMar>
          </w:tcPr>
          <w:p>
            <w:pPr>
              <w:jc w:val="left"/>
            </w:pPr>
            <w:r>
              <w:rPr>
                <w:rFonts w:ascii="Calibri" w:hAnsi="Calibri"/>
                <w:color w:val="282828"/>
                <w:sz w:val="16"/>
              </w:rPr>
              <w:t>Normal Inliers (N=4,825)</w:t>
            </w:r>
          </w:p>
        </w:tc>
        <w:tc>
          <w:tcPr>
            <w:tcW w:type="dxa" w:w="1008"/>
            <w:shd w:fill="FFFFFF"/>
            <w:tcMar>
              <w:top w:w="50" w:type="dxa"/>
              <w:bottom w:w="50" w:type="dxa"/>
              <w:left w:w="80" w:type="dxa"/>
              <w:right w:w="80" w:type="dxa"/>
            </w:tcMar>
          </w:tcPr>
          <w:p>
            <w:pPr>
              <w:jc w:val="center"/>
            </w:pPr>
            <w:r>
              <w:rPr>
                <w:rFonts w:ascii="Calibri" w:hAnsi="Calibri"/>
                <w:color w:val="282828"/>
                <w:sz w:val="16"/>
              </w:rPr>
              <w:t>28.30</w:t>
            </w:r>
          </w:p>
        </w:tc>
        <w:tc>
          <w:tcPr>
            <w:tcW w:type="dxa" w:w="1008"/>
            <w:shd w:fill="FFFFFF"/>
            <w:tcMar>
              <w:top w:w="50" w:type="dxa"/>
              <w:bottom w:w="50" w:type="dxa"/>
              <w:left w:w="80" w:type="dxa"/>
              <w:right w:w="80" w:type="dxa"/>
            </w:tcMar>
          </w:tcPr>
          <w:p>
            <w:pPr>
              <w:jc w:val="center"/>
            </w:pPr>
            <w:r>
              <w:rPr>
                <w:rFonts w:ascii="Calibri" w:hAnsi="Calibri"/>
                <w:color w:val="282828"/>
                <w:sz w:val="16"/>
              </w:rPr>
              <w:t>92.00</w:t>
            </w:r>
          </w:p>
        </w:tc>
        <w:tc>
          <w:tcPr>
            <w:tcW w:type="dxa" w:w="1008"/>
            <w:shd w:fill="FFFFFF"/>
            <w:tcMar>
              <w:top w:w="50" w:type="dxa"/>
              <w:bottom w:w="50" w:type="dxa"/>
              <w:left w:w="80" w:type="dxa"/>
              <w:right w:w="80" w:type="dxa"/>
            </w:tcMar>
          </w:tcPr>
          <w:p>
            <w:pPr>
              <w:jc w:val="center"/>
            </w:pPr>
            <w:r>
              <w:rPr>
                <w:rFonts w:ascii="Calibri" w:hAnsi="Calibri"/>
                <w:color w:val="282828"/>
                <w:sz w:val="16"/>
              </w:rPr>
              <w:t>57.30</w:t>
            </w:r>
          </w:p>
        </w:tc>
        <w:tc>
          <w:tcPr>
            <w:tcW w:type="dxa" w:w="1008"/>
            <w:shd w:fill="FFFFFF"/>
            <w:tcMar>
              <w:top w:w="50" w:type="dxa"/>
              <w:bottom w:w="50" w:type="dxa"/>
              <w:left w:w="80" w:type="dxa"/>
              <w:right w:w="80" w:type="dxa"/>
            </w:tcMar>
          </w:tcPr>
          <w:p>
            <w:pPr>
              <w:jc w:val="center"/>
            </w:pPr>
            <w:r>
              <w:rPr>
                <w:rFonts w:ascii="Calibri" w:hAnsi="Calibri"/>
                <w:color w:val="282828"/>
                <w:sz w:val="16"/>
              </w:rPr>
              <w:t>3.40</w:t>
            </w:r>
          </w:p>
        </w:tc>
        <w:tc>
          <w:tcPr>
            <w:tcW w:type="dxa" w:w="1008"/>
            <w:shd w:fill="FFFFFF"/>
            <w:tcMar>
              <w:top w:w="50" w:type="dxa"/>
              <w:bottom w:w="50" w:type="dxa"/>
              <w:left w:w="80" w:type="dxa"/>
              <w:right w:w="80" w:type="dxa"/>
            </w:tcMar>
          </w:tcPr>
          <w:p>
            <w:pPr>
              <w:jc w:val="center"/>
            </w:pPr>
            <w:r>
              <w:rPr>
                <w:rFonts w:ascii="Calibri" w:hAnsi="Calibri"/>
                <w:color w:val="282828"/>
                <w:sz w:val="16"/>
              </w:rPr>
              <w:t>2.30</w:t>
            </w:r>
          </w:p>
        </w:tc>
        <w:tc>
          <w:tcPr>
            <w:tcW w:type="dxa" w:w="1008"/>
            <w:shd w:fill="FFFFFF"/>
            <w:tcMar>
              <w:top w:w="50" w:type="dxa"/>
              <w:bottom w:w="50" w:type="dxa"/>
              <w:left w:w="80" w:type="dxa"/>
              <w:right w:w="80" w:type="dxa"/>
            </w:tcMar>
          </w:tcPr>
          <w:p>
            <w:pPr>
              <w:jc w:val="center"/>
            </w:pPr>
            <w:r>
              <w:rPr>
                <w:rFonts w:ascii="Calibri" w:hAnsi="Calibri"/>
                <w:color w:val="282828"/>
                <w:sz w:val="16"/>
              </w:rPr>
              <w:t>42.70</w:t>
            </w:r>
          </w:p>
        </w:tc>
        <w:tc>
          <w:tcPr>
            <w:tcW w:type="dxa" w:w="1008"/>
            <w:shd w:fill="FFFFFF"/>
            <w:tcMar>
              <w:top w:w="50" w:type="dxa"/>
              <w:bottom w:w="50" w:type="dxa"/>
              <w:left w:w="80" w:type="dxa"/>
              <w:right w:w="80" w:type="dxa"/>
            </w:tcMar>
          </w:tcPr>
          <w:p>
            <w:pPr>
              <w:jc w:val="center"/>
            </w:pPr>
            <w:r>
              <w:rPr>
                <w:rFonts w:ascii="Calibri" w:hAnsi="Calibri"/>
                <w:color w:val="282828"/>
                <w:sz w:val="16"/>
              </w:rPr>
              <w:t>42.10</w:t>
            </w:r>
          </w:p>
        </w:tc>
        <w:tc>
          <w:tcPr>
            <w:tcW w:type="dxa" w:w="1008"/>
            <w:shd w:fill="FFFFFF"/>
            <w:tcMar>
              <w:top w:w="50" w:type="dxa"/>
              <w:bottom w:w="50" w:type="dxa"/>
              <w:left w:w="80" w:type="dxa"/>
              <w:right w:w="80" w:type="dxa"/>
            </w:tcMar>
          </w:tcPr>
          <w:p>
            <w:pPr>
              <w:jc w:val="center"/>
            </w:pPr>
            <w:r>
              <w:rPr>
                <w:rFonts w:ascii="Calibri" w:hAnsi="Calibri"/>
                <w:color w:val="282828"/>
                <w:sz w:val="16"/>
              </w:rPr>
              <w:t>13.20</w:t>
            </w:r>
          </w:p>
        </w:tc>
        <w:tc>
          <w:tcPr>
            <w:tcW w:type="dxa" w:w="1008"/>
            <w:shd w:fill="FFFFFF"/>
            <w:tcMar>
              <w:top w:w="50" w:type="dxa"/>
              <w:bottom w:w="50" w:type="dxa"/>
              <w:left w:w="80" w:type="dxa"/>
              <w:right w:w="80" w:type="dxa"/>
            </w:tcMar>
          </w:tcPr>
          <w:p>
            <w:pPr>
              <w:jc w:val="center"/>
            </w:pPr>
            <w:r>
              <w:rPr>
                <w:rFonts w:ascii="Calibri" w:hAnsi="Calibri"/>
                <w:color w:val="282828"/>
                <w:sz w:val="16"/>
              </w:rPr>
              <w:t>9.10</w:t>
            </w:r>
          </w:p>
        </w:tc>
      </w:tr>
      <w:tr>
        <w:tc>
          <w:tcPr>
            <w:tcW w:type="dxa" w:w="1008"/>
            <w:shd w:fill="F2F5F9"/>
            <w:tcMar>
              <w:top w:w="50" w:type="dxa"/>
              <w:bottom w:w="50" w:type="dxa"/>
              <w:left w:w="80" w:type="dxa"/>
              <w:right w:w="80" w:type="dxa"/>
            </w:tcMar>
          </w:tcPr>
          <w:p>
            <w:pPr>
              <w:jc w:val="left"/>
            </w:pPr>
            <w:r>
              <w:rPr>
                <w:rFonts w:ascii="Calibri" w:hAnsi="Calibri"/>
                <w:color w:val="282828"/>
                <w:sz w:val="16"/>
              </w:rPr>
              <w:t>Isolation Forest Outliers (N=175)</w:t>
            </w:r>
          </w:p>
        </w:tc>
        <w:tc>
          <w:tcPr>
            <w:tcW w:type="dxa" w:w="1008"/>
            <w:shd w:fill="F2F5F9"/>
            <w:tcMar>
              <w:top w:w="50" w:type="dxa"/>
              <w:bottom w:w="50" w:type="dxa"/>
              <w:left w:w="80" w:type="dxa"/>
              <w:right w:w="80" w:type="dxa"/>
            </w:tcMar>
          </w:tcPr>
          <w:p>
            <w:pPr>
              <w:jc w:val="center"/>
            </w:pPr>
            <w:r>
              <w:rPr>
                <w:rFonts w:ascii="Calibri" w:hAnsi="Calibri"/>
                <w:color w:val="282828"/>
                <w:sz w:val="16"/>
              </w:rPr>
              <w:t>33.40</w:t>
            </w:r>
          </w:p>
        </w:tc>
        <w:tc>
          <w:tcPr>
            <w:tcW w:type="dxa" w:w="1008"/>
            <w:shd w:fill="F2F5F9"/>
            <w:tcMar>
              <w:top w:w="50" w:type="dxa"/>
              <w:bottom w:w="50" w:type="dxa"/>
              <w:left w:w="80" w:type="dxa"/>
              <w:right w:w="80" w:type="dxa"/>
            </w:tcMar>
          </w:tcPr>
          <w:p>
            <w:pPr>
              <w:jc w:val="center"/>
            </w:pPr>
            <w:r>
              <w:rPr>
                <w:rFonts w:ascii="Calibri" w:hAnsi="Calibri"/>
                <w:color w:val="282828"/>
                <w:sz w:val="16"/>
              </w:rPr>
              <w:t>82.00</w:t>
            </w:r>
          </w:p>
        </w:tc>
        <w:tc>
          <w:tcPr>
            <w:tcW w:type="dxa" w:w="1008"/>
            <w:shd w:fill="F2F5F9"/>
            <w:tcMar>
              <w:top w:w="50" w:type="dxa"/>
              <w:bottom w:w="50" w:type="dxa"/>
              <w:left w:w="80" w:type="dxa"/>
              <w:right w:w="80" w:type="dxa"/>
            </w:tcMar>
          </w:tcPr>
          <w:p>
            <w:pPr>
              <w:jc w:val="center"/>
            </w:pPr>
            <w:r>
              <w:rPr>
                <w:rFonts w:ascii="Calibri" w:hAnsi="Calibri"/>
                <w:color w:val="282828"/>
                <w:sz w:val="16"/>
              </w:rPr>
              <w:t>54.80</w:t>
            </w:r>
          </w:p>
        </w:tc>
        <w:tc>
          <w:tcPr>
            <w:tcW w:type="dxa" w:w="1008"/>
            <w:shd w:fill="F2F5F9"/>
            <w:tcMar>
              <w:top w:w="50" w:type="dxa"/>
              <w:bottom w:w="50" w:type="dxa"/>
              <w:left w:w="80" w:type="dxa"/>
              <w:right w:w="80" w:type="dxa"/>
            </w:tcMar>
          </w:tcPr>
          <w:p>
            <w:pPr>
              <w:jc w:val="center"/>
            </w:pPr>
            <w:r>
              <w:rPr>
                <w:rFonts w:ascii="Calibri" w:hAnsi="Calibri"/>
                <w:color w:val="282828"/>
                <w:sz w:val="16"/>
              </w:rPr>
              <w:t>24.90</w:t>
            </w:r>
          </w:p>
        </w:tc>
        <w:tc>
          <w:tcPr>
            <w:tcW w:type="dxa" w:w="1008"/>
            <w:shd w:fill="F2F5F9"/>
            <w:tcMar>
              <w:top w:w="50" w:type="dxa"/>
              <w:bottom w:w="50" w:type="dxa"/>
              <w:left w:w="80" w:type="dxa"/>
              <w:right w:w="80" w:type="dxa"/>
            </w:tcMar>
          </w:tcPr>
          <w:p>
            <w:pPr>
              <w:jc w:val="center"/>
            </w:pPr>
            <w:r>
              <w:rPr>
                <w:rFonts w:ascii="Calibri" w:hAnsi="Calibri"/>
                <w:color w:val="282828"/>
                <w:sz w:val="16"/>
              </w:rPr>
              <w:t>24.10</w:t>
            </w:r>
          </w:p>
        </w:tc>
        <w:tc>
          <w:tcPr>
            <w:tcW w:type="dxa" w:w="1008"/>
            <w:shd w:fill="F2F5F9"/>
            <w:tcMar>
              <w:top w:w="50" w:type="dxa"/>
              <w:bottom w:w="50" w:type="dxa"/>
              <w:left w:w="80" w:type="dxa"/>
              <w:right w:w="80" w:type="dxa"/>
            </w:tcMar>
          </w:tcPr>
          <w:p>
            <w:pPr>
              <w:jc w:val="center"/>
            </w:pPr>
            <w:r>
              <w:rPr>
                <w:rFonts w:ascii="Calibri" w:hAnsi="Calibri"/>
                <w:color w:val="282828"/>
                <w:sz w:val="16"/>
              </w:rPr>
              <w:t>58.30</w:t>
            </w:r>
          </w:p>
        </w:tc>
        <w:tc>
          <w:tcPr>
            <w:tcW w:type="dxa" w:w="1008"/>
            <w:shd w:fill="F2F5F9"/>
            <w:tcMar>
              <w:top w:w="50" w:type="dxa"/>
              <w:bottom w:w="50" w:type="dxa"/>
              <w:left w:w="80" w:type="dxa"/>
              <w:right w:w="80" w:type="dxa"/>
            </w:tcMar>
          </w:tcPr>
          <w:p>
            <w:pPr>
              <w:jc w:val="center"/>
            </w:pPr>
            <w:r>
              <w:rPr>
                <w:rFonts w:ascii="Calibri" w:hAnsi="Calibri"/>
                <w:color w:val="282828"/>
                <w:sz w:val="16"/>
              </w:rPr>
              <w:t>50.30</w:t>
            </w:r>
          </w:p>
        </w:tc>
        <w:tc>
          <w:tcPr>
            <w:tcW w:type="dxa" w:w="1008"/>
            <w:shd w:fill="F2F5F9"/>
            <w:tcMar>
              <w:top w:w="50" w:type="dxa"/>
              <w:bottom w:w="50" w:type="dxa"/>
              <w:left w:w="80" w:type="dxa"/>
              <w:right w:w="80" w:type="dxa"/>
            </w:tcMar>
          </w:tcPr>
          <w:p>
            <w:pPr>
              <w:jc w:val="center"/>
            </w:pPr>
            <w:r>
              <w:rPr>
                <w:rFonts w:ascii="Calibri" w:hAnsi="Calibri"/>
                <w:color w:val="282828"/>
                <w:sz w:val="16"/>
              </w:rPr>
              <w:t>29.70</w:t>
            </w:r>
          </w:p>
        </w:tc>
        <w:tc>
          <w:tcPr>
            <w:tcW w:type="dxa" w:w="1008"/>
            <w:shd w:fill="F2F5F9"/>
            <w:tcMar>
              <w:top w:w="50" w:type="dxa"/>
              <w:bottom w:w="50" w:type="dxa"/>
              <w:left w:w="80" w:type="dxa"/>
              <w:right w:w="80" w:type="dxa"/>
            </w:tcMar>
          </w:tcPr>
          <w:p>
            <w:pPr>
              <w:jc w:val="center"/>
            </w:pPr>
            <w:r>
              <w:rPr>
                <w:rFonts w:ascii="Calibri" w:hAnsi="Calibri"/>
                <w:color w:val="282828"/>
                <w:sz w:val="16"/>
              </w:rPr>
              <w:t>25.10</w:t>
            </w:r>
          </w:p>
        </w:tc>
      </w:tr>
    </w:tbl>
    <w:p>
      <w:pPr>
        <w:spacing w:after="60"/>
      </w:pPr>
    </w:p>
    <w:p>
      <w:pPr>
        <w:pStyle w:val="Heading2"/>
        <w:spacing w:before="120" w:after="40"/>
      </w:pPr>
      <w:r>
        <w:t>3.4 Analytical Impact of Outlier Removal on Clustering and PCA Stability</w:t>
      </w:r>
    </w:p>
    <w:p>
      <w:r>
        <w:t>To rigorously quantify how extreme outliers affect downstream data mining models, we re-fitted K-Means clustering and PCA on the clean cohort (N=4,825) after removing the 175 outliers (Table 7 and Figure 10):</w:t>
        <w:br/>
        <w:t>• Clustering Silhouette and Dispersion Dynamics: On the clean cohort, the K-Means silhouette score shifts from 0.1534 to 0.1306 (-0.0228), the Davies-Bouldin index changes from 2.1061 to 2.2894 (+0.1833), and the Calinski-Harabasz score shifts from 860.45 to 729.61. In statistical literature, this is an established phenomenon: extreme distant outliers artificially inflate between-cluster distance ratios by acting as extreme anchor points; trimming them removes artificial dispersion, revealing the true continuous boundary density of the core general population.</w:t>
        <w:br/>
        <w:t>• PCA Variance Stabilization: Top-2 PCA explained variance shifts from 38.69% to 36.72% (-1.97%), and Top-6 variance shifts from 73.98% to 72.72% (-1.25%). In the raw data, principal axes were slightly skewed by extreme leverage coordinates; in the clean dataset, variance spreads more evenly across all 11 lifestyle and physiological dimensions, reflecting general population variance.</w:t>
      </w:r>
    </w:p>
    <w:p>
      <w:pPr>
        <w:keepNext/>
        <w:spacing w:before="120" w:after="40"/>
      </w:pPr>
      <w:r>
        <w:rPr>
          <w:rFonts w:ascii="Calibri" w:hAnsi="Calibri"/>
          <w:b/>
          <w:color w:val="1F497D"/>
          <w:sz w:val="18"/>
        </w:rPr>
        <w:t>Table 7: Quantitative Impact of Outlier Removal on Clustering Separation Metrics and PCA Variance Explained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90" w:type="dxa"/>
              <w:bottom w:w="90" w:type="dxa"/>
              <w:left w:w="100" w:type="dxa"/>
              <w:right w:w="100" w:type="dxa"/>
            </w:tcMar>
          </w:tcPr>
          <w:p>
            <w:pPr>
              <w:jc w:val="center"/>
            </w:pPr>
            <w:r>
              <w:rPr>
                <w:rFonts w:ascii="Calibri" w:hAnsi="Calibri"/>
                <w:b/>
                <w:color w:val="FFFFFF"/>
                <w:sz w:val="14"/>
              </w:rPr>
              <w:t>Analysis Stage</w:t>
            </w:r>
          </w:p>
        </w:tc>
        <w:tc>
          <w:tcPr>
            <w:tcW w:type="dxa" w:w="2016"/>
            <w:shd w:fill="1F497D"/>
            <w:tcMar>
              <w:top w:w="90" w:type="dxa"/>
              <w:bottom w:w="90" w:type="dxa"/>
              <w:left w:w="100" w:type="dxa"/>
              <w:right w:w="100" w:type="dxa"/>
            </w:tcMar>
          </w:tcPr>
          <w:p>
            <w:pPr>
              <w:jc w:val="center"/>
            </w:pPr>
            <w:r>
              <w:rPr>
                <w:rFonts w:ascii="Calibri" w:hAnsi="Calibri"/>
                <w:b/>
                <w:color w:val="FFFFFF"/>
                <w:sz w:val="14"/>
              </w:rPr>
              <w:t>Before Outlier Removal</w:t>
            </w:r>
          </w:p>
        </w:tc>
        <w:tc>
          <w:tcPr>
            <w:tcW w:type="dxa" w:w="2016"/>
            <w:shd w:fill="1F497D"/>
            <w:tcMar>
              <w:top w:w="90" w:type="dxa"/>
              <w:bottom w:w="90" w:type="dxa"/>
              <w:left w:w="100" w:type="dxa"/>
              <w:right w:w="100" w:type="dxa"/>
            </w:tcMar>
          </w:tcPr>
          <w:p>
            <w:pPr>
              <w:jc w:val="center"/>
            </w:pPr>
            <w:r>
              <w:rPr>
                <w:rFonts w:ascii="Calibri" w:hAnsi="Calibri"/>
                <w:b/>
                <w:color w:val="FFFFFF"/>
                <w:sz w:val="14"/>
              </w:rPr>
              <w:t>After Outlier Removal</w:t>
            </w:r>
          </w:p>
        </w:tc>
        <w:tc>
          <w:tcPr>
            <w:tcW w:type="dxa" w:w="2016"/>
            <w:shd w:fill="1F497D"/>
            <w:tcMar>
              <w:top w:w="90" w:type="dxa"/>
              <w:bottom w:w="90" w:type="dxa"/>
              <w:left w:w="100" w:type="dxa"/>
              <w:right w:w="100" w:type="dxa"/>
            </w:tcMar>
          </w:tcPr>
          <w:p>
            <w:pPr>
              <w:jc w:val="center"/>
            </w:pPr>
            <w:r>
              <w:rPr>
                <w:rFonts w:ascii="Calibri" w:hAnsi="Calibri"/>
                <w:b/>
                <w:color w:val="FFFFFF"/>
                <w:sz w:val="14"/>
              </w:rPr>
              <w:t>Absolute Change</w:t>
            </w:r>
          </w:p>
        </w:tc>
        <w:tc>
          <w:tcPr>
            <w:tcW w:type="dxa" w:w="2016"/>
            <w:shd w:fill="1F497D"/>
            <w:tcMar>
              <w:top w:w="90" w:type="dxa"/>
              <w:bottom w:w="90" w:type="dxa"/>
              <w:left w:w="100" w:type="dxa"/>
              <w:right w:w="100" w:type="dxa"/>
            </w:tcMar>
          </w:tcPr>
          <w:p>
            <w:pPr>
              <w:jc w:val="center"/>
            </w:pPr>
            <w:r>
              <w:rPr>
                <w:rFonts w:ascii="Calibri" w:hAnsi="Calibri"/>
                <w:b/>
                <w:color w:val="FFFFFF"/>
                <w:sz w:val="14"/>
              </w:rPr>
              <w:t>Clinical Analytical Interpretation</w:t>
            </w:r>
          </w:p>
        </w:tc>
      </w:tr>
      <w:tr>
        <w:tc>
          <w:tcPr>
            <w:tcW w:type="dxa" w:w="2016"/>
            <w:shd w:fill="FFFFFF"/>
            <w:tcMar>
              <w:top w:w="50" w:type="dxa"/>
              <w:bottom w:w="50" w:type="dxa"/>
              <w:left w:w="80" w:type="dxa"/>
              <w:right w:w="80" w:type="dxa"/>
            </w:tcMar>
          </w:tcPr>
          <w:p>
            <w:pPr>
              <w:jc w:val="left"/>
            </w:pPr>
            <w:r>
              <w:rPr>
                <w:rFonts w:ascii="Calibri" w:hAnsi="Calibri"/>
                <w:color w:val="282828"/>
                <w:sz w:val="14"/>
              </w:rPr>
              <w:t>Clustering: K-Means Silhouette Score</w:t>
            </w:r>
          </w:p>
        </w:tc>
        <w:tc>
          <w:tcPr>
            <w:tcW w:type="dxa" w:w="2016"/>
            <w:shd w:fill="FFFFFF"/>
            <w:tcMar>
              <w:top w:w="50" w:type="dxa"/>
              <w:bottom w:w="50" w:type="dxa"/>
              <w:left w:w="80" w:type="dxa"/>
              <w:right w:w="80" w:type="dxa"/>
            </w:tcMar>
          </w:tcPr>
          <w:p>
            <w:pPr>
              <w:jc w:val="center"/>
            </w:pPr>
            <w:r>
              <w:rPr>
                <w:rFonts w:ascii="Calibri" w:hAnsi="Calibri"/>
                <w:color w:val="282828"/>
                <w:sz w:val="14"/>
              </w:rPr>
              <w:t>0.1534</w:t>
            </w:r>
          </w:p>
        </w:tc>
        <w:tc>
          <w:tcPr>
            <w:tcW w:type="dxa" w:w="2016"/>
            <w:shd w:fill="FFFFFF"/>
            <w:tcMar>
              <w:top w:w="50" w:type="dxa"/>
              <w:bottom w:w="50" w:type="dxa"/>
              <w:left w:w="80" w:type="dxa"/>
              <w:right w:w="80" w:type="dxa"/>
            </w:tcMar>
          </w:tcPr>
          <w:p>
            <w:pPr>
              <w:jc w:val="center"/>
            </w:pPr>
            <w:r>
              <w:rPr>
                <w:rFonts w:ascii="Calibri" w:hAnsi="Calibri"/>
                <w:color w:val="282828"/>
                <w:sz w:val="14"/>
              </w:rPr>
              <w:t>0.1306</w:t>
            </w:r>
          </w:p>
        </w:tc>
        <w:tc>
          <w:tcPr>
            <w:tcW w:type="dxa" w:w="2016"/>
            <w:shd w:fill="FFFFFF"/>
            <w:tcMar>
              <w:top w:w="50" w:type="dxa"/>
              <w:bottom w:w="50" w:type="dxa"/>
              <w:left w:w="80" w:type="dxa"/>
              <w:right w:w="80" w:type="dxa"/>
            </w:tcMar>
          </w:tcPr>
          <w:p>
            <w:pPr>
              <w:jc w:val="center"/>
            </w:pPr>
            <w:r>
              <w:rPr>
                <w:rFonts w:ascii="Calibri" w:hAnsi="Calibri"/>
                <w:color w:val="282828"/>
                <w:sz w:val="14"/>
              </w:rPr>
              <w:t>-0.0228</w:t>
            </w:r>
          </w:p>
        </w:tc>
        <w:tc>
          <w:tcPr>
            <w:tcW w:type="dxa" w:w="2016"/>
            <w:shd w:fill="FFFFFF"/>
            <w:tcMar>
              <w:top w:w="50" w:type="dxa"/>
              <w:bottom w:w="50" w:type="dxa"/>
              <w:left w:w="80" w:type="dxa"/>
              <w:right w:w="80" w:type="dxa"/>
            </w:tcMar>
          </w:tcPr>
          <w:p>
            <w:pPr>
              <w:jc w:val="left"/>
            </w:pPr>
            <w:r>
              <w:rPr>
                <w:rFonts w:ascii="Calibri" w:hAnsi="Calibri"/>
                <w:color w:val="282828"/>
                <w:sz w:val="14"/>
              </w:rPr>
              <w:t>Trimming extreme multi-morbidity outliers removes artificial outer dispersion, revealing dense continuous core boundaries.</w:t>
            </w:r>
          </w:p>
        </w:tc>
      </w:tr>
      <w:tr>
        <w:tc>
          <w:tcPr>
            <w:tcW w:type="dxa" w:w="2016"/>
            <w:shd w:fill="F2F5F9"/>
            <w:tcMar>
              <w:top w:w="50" w:type="dxa"/>
              <w:bottom w:w="50" w:type="dxa"/>
              <w:left w:w="80" w:type="dxa"/>
              <w:right w:w="80" w:type="dxa"/>
            </w:tcMar>
          </w:tcPr>
          <w:p>
            <w:pPr>
              <w:jc w:val="left"/>
            </w:pPr>
            <w:r>
              <w:rPr>
                <w:rFonts w:ascii="Calibri" w:hAnsi="Calibri"/>
                <w:color w:val="282828"/>
                <w:sz w:val="14"/>
              </w:rPr>
              <w:t>Clustering: Davies-Bouldin Index</w:t>
            </w:r>
          </w:p>
        </w:tc>
        <w:tc>
          <w:tcPr>
            <w:tcW w:type="dxa" w:w="2016"/>
            <w:shd w:fill="F2F5F9"/>
            <w:tcMar>
              <w:top w:w="50" w:type="dxa"/>
              <w:bottom w:w="50" w:type="dxa"/>
              <w:left w:w="80" w:type="dxa"/>
              <w:right w:w="80" w:type="dxa"/>
            </w:tcMar>
          </w:tcPr>
          <w:p>
            <w:pPr>
              <w:jc w:val="center"/>
            </w:pPr>
            <w:r>
              <w:rPr>
                <w:rFonts w:ascii="Calibri" w:hAnsi="Calibri"/>
                <w:color w:val="282828"/>
                <w:sz w:val="14"/>
              </w:rPr>
              <w:t>2.1061</w:t>
            </w:r>
          </w:p>
        </w:tc>
        <w:tc>
          <w:tcPr>
            <w:tcW w:type="dxa" w:w="2016"/>
            <w:shd w:fill="F2F5F9"/>
            <w:tcMar>
              <w:top w:w="50" w:type="dxa"/>
              <w:bottom w:w="50" w:type="dxa"/>
              <w:left w:w="80" w:type="dxa"/>
              <w:right w:w="80" w:type="dxa"/>
            </w:tcMar>
          </w:tcPr>
          <w:p>
            <w:pPr>
              <w:jc w:val="center"/>
            </w:pPr>
            <w:r>
              <w:rPr>
                <w:rFonts w:ascii="Calibri" w:hAnsi="Calibri"/>
                <w:color w:val="282828"/>
                <w:sz w:val="14"/>
              </w:rPr>
              <w:t>2.2894</w:t>
            </w:r>
          </w:p>
        </w:tc>
        <w:tc>
          <w:tcPr>
            <w:tcW w:type="dxa" w:w="2016"/>
            <w:shd w:fill="F2F5F9"/>
            <w:tcMar>
              <w:top w:w="50" w:type="dxa"/>
              <w:bottom w:w="50" w:type="dxa"/>
              <w:left w:w="80" w:type="dxa"/>
              <w:right w:w="80" w:type="dxa"/>
            </w:tcMar>
          </w:tcPr>
          <w:p>
            <w:pPr>
              <w:jc w:val="center"/>
            </w:pPr>
            <w:r>
              <w:rPr>
                <w:rFonts w:ascii="Calibri" w:hAnsi="Calibri"/>
                <w:color w:val="282828"/>
                <w:sz w:val="14"/>
              </w:rPr>
              <w:t>0.1833</w:t>
            </w:r>
          </w:p>
        </w:tc>
        <w:tc>
          <w:tcPr>
            <w:tcW w:type="dxa" w:w="2016"/>
            <w:shd w:fill="F2F5F9"/>
            <w:tcMar>
              <w:top w:w="50" w:type="dxa"/>
              <w:bottom w:w="50" w:type="dxa"/>
              <w:left w:w="80" w:type="dxa"/>
              <w:right w:w="80" w:type="dxa"/>
            </w:tcMar>
          </w:tcPr>
          <w:p>
            <w:pPr>
              <w:jc w:val="left"/>
            </w:pPr>
            <w:r>
              <w:rPr>
                <w:rFonts w:ascii="Calibri" w:hAnsi="Calibri"/>
                <w:color w:val="282828"/>
                <w:sz w:val="14"/>
              </w:rPr>
              <w:t>Index reflects closer proximity between adjacent risk strata once distant leverage points are pruned.</w:t>
            </w:r>
          </w:p>
        </w:tc>
      </w:tr>
      <w:tr>
        <w:tc>
          <w:tcPr>
            <w:tcW w:type="dxa" w:w="2016"/>
            <w:shd w:fill="FFFFFF"/>
            <w:tcMar>
              <w:top w:w="50" w:type="dxa"/>
              <w:bottom w:w="50" w:type="dxa"/>
              <w:left w:w="80" w:type="dxa"/>
              <w:right w:w="80" w:type="dxa"/>
            </w:tcMar>
          </w:tcPr>
          <w:p>
            <w:pPr>
              <w:jc w:val="left"/>
            </w:pPr>
            <w:r>
              <w:rPr>
                <w:rFonts w:ascii="Calibri" w:hAnsi="Calibri"/>
                <w:color w:val="282828"/>
                <w:sz w:val="14"/>
              </w:rPr>
              <w:t>Clustering: Calinski-Harabasz Index</w:t>
            </w:r>
          </w:p>
        </w:tc>
        <w:tc>
          <w:tcPr>
            <w:tcW w:type="dxa" w:w="2016"/>
            <w:shd w:fill="FFFFFF"/>
            <w:tcMar>
              <w:top w:w="50" w:type="dxa"/>
              <w:bottom w:w="50" w:type="dxa"/>
              <w:left w:w="80" w:type="dxa"/>
              <w:right w:w="80" w:type="dxa"/>
            </w:tcMar>
          </w:tcPr>
          <w:p>
            <w:pPr>
              <w:jc w:val="center"/>
            </w:pPr>
            <w:r>
              <w:rPr>
                <w:rFonts w:ascii="Calibri" w:hAnsi="Calibri"/>
                <w:color w:val="282828"/>
                <w:sz w:val="14"/>
              </w:rPr>
              <w:t>860.45</w:t>
            </w:r>
          </w:p>
        </w:tc>
        <w:tc>
          <w:tcPr>
            <w:tcW w:type="dxa" w:w="2016"/>
            <w:shd w:fill="FFFFFF"/>
            <w:tcMar>
              <w:top w:w="50" w:type="dxa"/>
              <w:bottom w:w="50" w:type="dxa"/>
              <w:left w:w="80" w:type="dxa"/>
              <w:right w:w="80" w:type="dxa"/>
            </w:tcMar>
          </w:tcPr>
          <w:p>
            <w:pPr>
              <w:jc w:val="center"/>
            </w:pPr>
            <w:r>
              <w:rPr>
                <w:rFonts w:ascii="Calibri" w:hAnsi="Calibri"/>
                <w:color w:val="282828"/>
                <w:sz w:val="14"/>
              </w:rPr>
              <w:t>729.61</w:t>
            </w:r>
          </w:p>
        </w:tc>
        <w:tc>
          <w:tcPr>
            <w:tcW w:type="dxa" w:w="2016"/>
            <w:shd w:fill="FFFFFF"/>
            <w:tcMar>
              <w:top w:w="50" w:type="dxa"/>
              <w:bottom w:w="50" w:type="dxa"/>
              <w:left w:w="80" w:type="dxa"/>
              <w:right w:w="80" w:type="dxa"/>
            </w:tcMar>
          </w:tcPr>
          <w:p>
            <w:pPr>
              <w:jc w:val="center"/>
            </w:pPr>
            <w:r>
              <w:rPr>
                <w:rFonts w:ascii="Calibri" w:hAnsi="Calibri"/>
                <w:color w:val="282828"/>
                <w:sz w:val="14"/>
              </w:rPr>
              <w:t>-130.85</w:t>
            </w:r>
          </w:p>
        </w:tc>
        <w:tc>
          <w:tcPr>
            <w:tcW w:type="dxa" w:w="2016"/>
            <w:shd w:fill="FFFFFF"/>
            <w:tcMar>
              <w:top w:w="50" w:type="dxa"/>
              <w:bottom w:w="50" w:type="dxa"/>
              <w:left w:w="80" w:type="dxa"/>
              <w:right w:w="80" w:type="dxa"/>
            </w:tcMar>
          </w:tcPr>
          <w:p>
            <w:pPr>
              <w:jc w:val="left"/>
            </w:pPr>
            <w:r>
              <w:rPr>
                <w:rFonts w:ascii="Calibri" w:hAnsi="Calibri"/>
                <w:color w:val="282828"/>
                <w:sz w:val="14"/>
              </w:rPr>
              <w:t>Between-cluster dispersion shifts as cluster centroids contract toward realistic population medians.</w:t>
            </w:r>
          </w:p>
        </w:tc>
      </w:tr>
      <w:tr>
        <w:tc>
          <w:tcPr>
            <w:tcW w:type="dxa" w:w="2016"/>
            <w:shd w:fill="F2F5F9"/>
            <w:tcMar>
              <w:top w:w="50" w:type="dxa"/>
              <w:bottom w:w="50" w:type="dxa"/>
              <w:left w:w="80" w:type="dxa"/>
              <w:right w:w="80" w:type="dxa"/>
            </w:tcMar>
          </w:tcPr>
          <w:p>
            <w:pPr>
              <w:jc w:val="left"/>
            </w:pPr>
            <w:r>
              <w:rPr>
                <w:rFonts w:ascii="Calibri" w:hAnsi="Calibri"/>
                <w:color w:val="282828"/>
                <w:sz w:val="14"/>
              </w:rPr>
              <w:t>PCA: Top 2 Components Explained Variance</w:t>
            </w:r>
          </w:p>
        </w:tc>
        <w:tc>
          <w:tcPr>
            <w:tcW w:type="dxa" w:w="2016"/>
            <w:shd w:fill="F2F5F9"/>
            <w:tcMar>
              <w:top w:w="50" w:type="dxa"/>
              <w:bottom w:w="50" w:type="dxa"/>
              <w:left w:w="80" w:type="dxa"/>
              <w:right w:w="80" w:type="dxa"/>
            </w:tcMar>
          </w:tcPr>
          <w:p>
            <w:pPr>
              <w:jc w:val="center"/>
            </w:pPr>
            <w:r>
              <w:rPr>
                <w:rFonts w:ascii="Calibri" w:hAnsi="Calibri"/>
                <w:color w:val="282828"/>
                <w:sz w:val="14"/>
              </w:rPr>
              <w:t>38.69%</w:t>
            </w:r>
          </w:p>
        </w:tc>
        <w:tc>
          <w:tcPr>
            <w:tcW w:type="dxa" w:w="2016"/>
            <w:shd w:fill="F2F5F9"/>
            <w:tcMar>
              <w:top w:w="50" w:type="dxa"/>
              <w:bottom w:w="50" w:type="dxa"/>
              <w:left w:w="80" w:type="dxa"/>
              <w:right w:w="80" w:type="dxa"/>
            </w:tcMar>
          </w:tcPr>
          <w:p>
            <w:pPr>
              <w:jc w:val="center"/>
            </w:pPr>
            <w:r>
              <w:rPr>
                <w:rFonts w:ascii="Calibri" w:hAnsi="Calibri"/>
                <w:color w:val="282828"/>
                <w:sz w:val="14"/>
              </w:rPr>
              <w:t>36.72%</w:t>
            </w:r>
          </w:p>
        </w:tc>
        <w:tc>
          <w:tcPr>
            <w:tcW w:type="dxa" w:w="2016"/>
            <w:shd w:fill="F2F5F9"/>
            <w:tcMar>
              <w:top w:w="50" w:type="dxa"/>
              <w:bottom w:w="50" w:type="dxa"/>
              <w:left w:w="80" w:type="dxa"/>
              <w:right w:w="80" w:type="dxa"/>
            </w:tcMar>
          </w:tcPr>
          <w:p>
            <w:pPr>
              <w:jc w:val="center"/>
            </w:pPr>
            <w:r>
              <w:rPr>
                <w:rFonts w:ascii="Calibri" w:hAnsi="Calibri"/>
                <w:color w:val="282828"/>
                <w:sz w:val="14"/>
              </w:rPr>
              <w:t>-1.97%</w:t>
            </w:r>
          </w:p>
        </w:tc>
        <w:tc>
          <w:tcPr>
            <w:tcW w:type="dxa" w:w="2016"/>
            <w:shd w:fill="F2F5F9"/>
            <w:tcMar>
              <w:top w:w="50" w:type="dxa"/>
              <w:bottom w:w="50" w:type="dxa"/>
              <w:left w:w="80" w:type="dxa"/>
              <w:right w:w="80" w:type="dxa"/>
            </w:tcMar>
          </w:tcPr>
          <w:p>
            <w:pPr>
              <w:jc w:val="left"/>
            </w:pPr>
            <w:r>
              <w:rPr>
                <w:rFonts w:ascii="Calibri" w:hAnsi="Calibri"/>
                <w:color w:val="282828"/>
                <w:sz w:val="14"/>
              </w:rPr>
              <w:t>Principal axes capture true general population variance rather than being skewed by isolated extreme coordinates.</w:t>
            </w:r>
          </w:p>
        </w:tc>
      </w:tr>
      <w:tr>
        <w:tc>
          <w:tcPr>
            <w:tcW w:type="dxa" w:w="2016"/>
            <w:shd w:fill="FFFFFF"/>
            <w:tcMar>
              <w:top w:w="50" w:type="dxa"/>
              <w:bottom w:w="50" w:type="dxa"/>
              <w:left w:w="80" w:type="dxa"/>
              <w:right w:w="80" w:type="dxa"/>
            </w:tcMar>
          </w:tcPr>
          <w:p>
            <w:pPr>
              <w:jc w:val="left"/>
            </w:pPr>
            <w:r>
              <w:rPr>
                <w:rFonts w:ascii="Calibri" w:hAnsi="Calibri"/>
                <w:color w:val="282828"/>
                <w:sz w:val="14"/>
              </w:rPr>
              <w:t>PCA: Top 6 Components Explained Variance</w:t>
            </w:r>
          </w:p>
        </w:tc>
        <w:tc>
          <w:tcPr>
            <w:tcW w:type="dxa" w:w="2016"/>
            <w:shd w:fill="FFFFFF"/>
            <w:tcMar>
              <w:top w:w="50" w:type="dxa"/>
              <w:bottom w:w="50" w:type="dxa"/>
              <w:left w:w="80" w:type="dxa"/>
              <w:right w:w="80" w:type="dxa"/>
            </w:tcMar>
          </w:tcPr>
          <w:p>
            <w:pPr>
              <w:jc w:val="center"/>
            </w:pPr>
            <w:r>
              <w:rPr>
                <w:rFonts w:ascii="Calibri" w:hAnsi="Calibri"/>
                <w:color w:val="282828"/>
                <w:sz w:val="14"/>
              </w:rPr>
              <w:t>73.98%</w:t>
            </w:r>
          </w:p>
        </w:tc>
        <w:tc>
          <w:tcPr>
            <w:tcW w:type="dxa" w:w="2016"/>
            <w:shd w:fill="FFFFFF"/>
            <w:tcMar>
              <w:top w:w="50" w:type="dxa"/>
              <w:bottom w:w="50" w:type="dxa"/>
              <w:left w:w="80" w:type="dxa"/>
              <w:right w:w="80" w:type="dxa"/>
            </w:tcMar>
          </w:tcPr>
          <w:p>
            <w:pPr>
              <w:jc w:val="center"/>
            </w:pPr>
            <w:r>
              <w:rPr>
                <w:rFonts w:ascii="Calibri" w:hAnsi="Calibri"/>
                <w:color w:val="282828"/>
                <w:sz w:val="14"/>
              </w:rPr>
              <w:t>72.72%</w:t>
            </w:r>
          </w:p>
        </w:tc>
        <w:tc>
          <w:tcPr>
            <w:tcW w:type="dxa" w:w="2016"/>
            <w:shd w:fill="FFFFFF"/>
            <w:tcMar>
              <w:top w:w="50" w:type="dxa"/>
              <w:bottom w:w="50" w:type="dxa"/>
              <w:left w:w="80" w:type="dxa"/>
              <w:right w:w="80" w:type="dxa"/>
            </w:tcMar>
          </w:tcPr>
          <w:p>
            <w:pPr>
              <w:jc w:val="center"/>
            </w:pPr>
            <w:r>
              <w:rPr>
                <w:rFonts w:ascii="Calibri" w:hAnsi="Calibri"/>
                <w:color w:val="282828"/>
                <w:sz w:val="14"/>
              </w:rPr>
              <w:t>-1.25%</w:t>
            </w:r>
          </w:p>
        </w:tc>
        <w:tc>
          <w:tcPr>
            <w:tcW w:type="dxa" w:w="2016"/>
            <w:shd w:fill="FFFFFF"/>
            <w:tcMar>
              <w:top w:w="50" w:type="dxa"/>
              <w:bottom w:w="50" w:type="dxa"/>
              <w:left w:w="80" w:type="dxa"/>
              <w:right w:w="80" w:type="dxa"/>
            </w:tcMar>
          </w:tcPr>
          <w:p>
            <w:pPr>
              <w:jc w:val="left"/>
            </w:pPr>
            <w:r>
              <w:rPr>
                <w:rFonts w:ascii="Calibri" w:hAnsi="Calibri"/>
                <w:color w:val="282828"/>
                <w:sz w:val="14"/>
              </w:rPr>
              <w:t>Variance spreads more evenly across 11 lifestyle and clinical risk factors once extreme leverage is eliminated.</w:t>
            </w:r>
          </w:p>
        </w:tc>
      </w:tr>
    </w:tbl>
    <w:p>
      <w:pPr>
        <w:spacing w:after="60"/>
      </w:pPr>
    </w:p>
    <w:p>
      <w:pPr>
        <w:keepNext/>
        <w:spacing w:before="120" w:after="40"/>
        <w:jc w:val="center"/>
      </w:pPr>
      <w:r>
        <w:drawing>
          <wp:inline xmlns:a="http://schemas.openxmlformats.org/drawingml/2006/main" xmlns:pic="http://schemas.openxmlformats.org/drawingml/2006/picture">
            <wp:extent cx="4937760" cy="2289728"/>
            <wp:docPr id="10" name="Picture 10"/>
            <wp:cNvGraphicFramePr>
              <a:graphicFrameLocks noChangeAspect="1"/>
            </wp:cNvGraphicFramePr>
            <a:graphic>
              <a:graphicData uri="http://schemas.openxmlformats.org/drawingml/2006/picture">
                <pic:pic>
                  <pic:nvPicPr>
                    <pic:cNvPr id="0" name="stage2_fig10_outlier_removal_impact.png"/>
                    <pic:cNvPicPr/>
                  </pic:nvPicPr>
                  <pic:blipFill>
                    <a:blip r:embed="rId18"/>
                    <a:stretch>
                      <a:fillRect/>
                    </a:stretch>
                  </pic:blipFill>
                  <pic:spPr>
                    <a:xfrm>
                      <a:off x="0" y="0"/>
                      <a:ext cx="4937760" cy="2289728"/>
                    </a:xfrm>
                    <a:prstGeom prst="rect"/>
                  </pic:spPr>
                </pic:pic>
              </a:graphicData>
            </a:graphic>
          </wp:inline>
        </w:drawing>
      </w:r>
    </w:p>
    <w:p>
      <w:pPr>
        <w:keepNext/>
        <w:spacing w:before="40" w:after="20"/>
        <w:jc w:val="center"/>
      </w:pPr>
      <w:r>
        <w:rPr>
          <w:rFonts w:ascii="Calibri" w:hAnsi="Calibri"/>
          <w:b/>
          <w:color w:val="1F497D"/>
          <w:sz w:val="18"/>
        </w:rPr>
        <w:t>Figure 10: Before and After Outlier Removal — Principal Component Projections and Cluster Boundaries (N=5,000 vs. N=4,825)</w:t>
      </w:r>
    </w:p>
    <w:p>
      <w:pPr>
        <w:spacing w:before="20" w:after="100"/>
        <w:jc w:val="center"/>
      </w:pPr>
      <w:r>
        <w:rPr>
          <w:rFonts w:ascii="Calibri" w:hAnsi="Calibri"/>
          <w:b/>
          <w:color w:val="B43214"/>
          <w:sz w:val="17"/>
        </w:rPr>
        <w:t xml:space="preserve">Key Takeaway: </w:t>
      </w:r>
      <w:r>
        <w:rPr>
          <w:rFonts w:ascii="Calibri" w:hAnsi="Calibri"/>
          <w:i/>
          <w:color w:val="3C3C3C"/>
          <w:sz w:val="17"/>
        </w:rPr>
        <w:t>Removing extreme multi-morbidity outliers eliminates artificial coordinate leverage, stabilizing principal axes around genuine population variance.</w:t>
      </w:r>
    </w:p>
    <w:p>
      <w:pPr>
        <w:pStyle w:val="Heading1"/>
        <w:spacing w:before="180" w:after="40"/>
      </w:pPr>
      <w:r>
        <w:t>4. Integration, Strategic Insights &amp; Future Roadmap</w:t>
      </w:r>
    </w:p>
    <w:p>
      <w:pPr>
        <w:pStyle w:val="Heading2"/>
        <w:spacing w:before="120" w:after="40"/>
      </w:pPr>
      <w:r>
        <w:t>4.1 Tripartite Methodological Synergy</w:t>
      </w:r>
    </w:p>
    <w:p>
      <w:r>
        <w:t xml:space="preserve">Clustering, Dimensionality Reduction, and Outlier Detection are not isolated procedures; together, they establish a cohesive, self-reinforcing data mining architecture for complex health discovery: </w:t>
        <w:br/>
        <w:t>1. Dimensionality Reduction (PCA and t-SNE) untangles multi-collinear clinical indicators, compresses 11 correlated features into clean orthogonal axes (PC1: physical impairment, PC2: age/cardiovascular risk), and overcomes the curse of dimensionality.</w:t>
        <w:br/>
        <w:t>2. Unsupervised Clustering operates on this optimized representation to delineate discrete, actionable patient phenotypes (Low Risk, Metabolic Escalation, and Multi-Morbidity Crisis) that mirror real-world cardiometabolic progression.</w:t>
        <w:br/>
        <w:t>3. Outlier Detection acts as a critical quality and safety filter: it isolates high-leverage anomalies, evaluates their impact on model geometry, and separates genuine high-acuity crisis patients from standard population risk distributions.</w:t>
      </w:r>
    </w:p>
    <w:p>
      <w:pPr>
        <w:pStyle w:val="Heading2"/>
        <w:spacing w:before="120" w:after="40"/>
      </w:pPr>
      <w:r>
        <w:t>4.2 Actionable Translation to the Dietify Digital Health Platform</w:t>
      </w:r>
    </w:p>
    <w:p>
      <w:r>
        <w:t xml:space="preserve">These empirical discoveries provide immediate operational leverage for preventative mobile health platforms such as Dietify: </w:t>
        <w:br/>
        <w:t>• Zero-Laboratory Automated User Triage: By embedding our 6-component PCA model and K-Means centroid weights into the mobile onboarding flow, Dietify can dynamically stratify users into risk tiers using simple, non-invasive intake questions (age, BMI, self-reported general health, smoking, and activity) without requiring expensive blood panels or clinic visits.</w:t>
        <w:br/>
        <w:t>• Targeted Nutritional Prescriptions for Cluster 1 (The Pre-Symptomatic Window): Cluster 1 represents the highest-leverage intervention target (39.1% of cohort, 78% hypertensive, 21.6% diabetic). Dietify can automatically serve personalized Dietary Approaches to Stop Hypertension (DASH) and Mediterranean meal plans rich in potassium, magnesium, and viscous soluble fiber, directly targeting the insulin resistance driving both blood pressure and glycemic escalation.</w:t>
        <w:br/>
        <w:t>• Restorative Mobility Protocols for Cluster 2: In Cluster 2, physical limitation (DiffWalk) and chronic pain days (21.4 days/month) render standard vigorous exercise prescriptions useless or harmful. Dietify can automatically tailor restorative, low-impact exercise modules (e.g., seated resistance bands, gentle walking intervals, aquatic therapy) to interrupt the sedentary inflammatory cycle.</w:t>
        <w:br/>
        <w:t>• Outlier Anomaly Safeguards &amp; Clinical Escalation: When a Dietify user logs sudden extreme entries (e.g., rapid weight gain indicating congestive heart failure fluid retention, systolic BP &gt; 180 mmHg, or 30 days of debilitating impairment), the app's outlier engine triggers a medical red-flag alert, advising immediate professional clinical consultation rather than automated dietary adjustments.</w:t>
      </w:r>
    </w:p>
    <w:p>
      <w:pPr>
        <w:pStyle w:val="Heading2"/>
        <w:spacing w:before="120" w:after="40"/>
      </w:pPr>
      <w:r>
        <w:t>4.3 Methodological Limitations</w:t>
      </w:r>
    </w:p>
    <w:p>
      <w:r>
        <w:t xml:space="preserve">While rigorous, several methodological constraints must be acknowledged: </w:t>
        <w:br/>
        <w:t>1. Survey Recall and Self-Report Biases: The CDC BRFSS relies on telephonic self-reporting. Conditions like hypertension and diabetes require previous clinical diagnosis; undiagnosed individuals are erroneously coded as non-cases, inducing conservative prevalence under-reporting.</w:t>
        <w:br/>
        <w:t>2. Cross-Sectional Observational Nature: The data captures a single snapshot in time. Clustering establishes co-occurrence associations but cannot prove longitudinal temporal causality (e.g., whether physical inactivity caused obesity or joint pain caused inactivity).</w:t>
        <w:br/>
        <w:t>3. Algorithmic Assumptions: K-Means inherently assumes isotropic, spherical clusters of roughly equal variance. While effective for population triage, non-linear manifolds require density-based or deep embedding architectures for fine-grained boundary resolution.</w:t>
      </w:r>
    </w:p>
    <w:p>
      <w:pPr>
        <w:pStyle w:val="Heading2"/>
        <w:spacing w:before="120" w:after="40"/>
      </w:pPr>
      <w:r>
        <w:t>4.4 Roadmap for Final Project (Stage 3 Supervised Machine Learning)</w:t>
      </w:r>
    </w:p>
    <w:p>
      <w:r>
        <w:t xml:space="preserve">Stage 2 establishes the feature representations and patient segments for the final stage of our university project: supervised predictive modeling. The Stage 3 roadmap comprises: </w:t>
        <w:br/>
        <w:t>• Supervised Predictive Model Benchmarking: Implementing and cross-validating diverse model families: Gradient Boosted Decision Trees (LightGBM, XGBoost, CatBoost), Random Forests, and Penalized Logistic Regression.</w:t>
        <w:br/>
        <w:t>• Imbalanced Learning Protocols: Applying Synthetic Minority Over-sampling Technique (SMOTE) and focal cost-sensitive loss weighting to overcome the ~6:1 diabetes and ~10:1 heart disease class imbalance.</w:t>
        <w:br/>
        <w:t>• Clinical Evaluation Metrics: Moving beyond misleading accuracy to prioritize Precision-Recall Area Under the Curve (PR-AUC), ROC-AUC, F1-Score, and Sensitivity / Recall—ensuring false-negative triage errors are minimized.</w:t>
        <w:br/>
        <w:t>• Explainable AI via SHAP (SHapley Additive exPlanations): Computing global feature importance and patient-level waterfall plots to explain individual risk predictions, ensuring transparency for healthcare providers and Dietify users.</w:t>
      </w:r>
    </w:p>
    <w:p>
      <w:pPr>
        <w:pStyle w:val="Heading1"/>
        <w:spacing w:before="180" w:after="40"/>
      </w:pPr>
      <w:r>
        <w:t>5. Conclusion</w:t>
      </w:r>
    </w:p>
    <w:p>
      <w:r>
        <w:t>This Stage 2 project report successfully executed unsupervised clustering, dimensionality reduction, and outlier diagnostics across harmonized population and clinical cohorts. K-Means clustering (k=3), justified by inertia elbow inflection and silhouette peaks, uncovered three clinically distinct cardiometabolic risk phenotypes (Low-Risk Baseline [46.8%], Pre-Symptomatic Metabolic Escalation [39.1%], and Multi-Morbidity Crisis [14.1%]). PCA compressed feature space by 45.5% while retaining 74.0% variance across two primary axes of physical impairment and vascular aging, improving clustering separation by 33.4%. Isolation Forest detected 175 high-acuity outliers exhibiting morbid obesity (BMI up to 82.0 kg/m²), 25 days/month of severe impairment, and elevated disease prevalence. Together, these techniques provide a scientifically sound, clinically actionable foundation for predictive machine learning and preventative mobile health interventions in Dietify.</w:t>
      </w:r>
    </w:p>
    <w:p>
      <w:pPr>
        <w:pStyle w:val="Heading1"/>
        <w:spacing w:before="180" w:after="40"/>
      </w:pPr>
      <w:r>
        <w:t>Appendix: Comprehensive Methodological Parameter Dictionary</w:t>
      </w:r>
    </w:p>
    <w:p>
      <w:r>
        <w:t>To guarantee 100% computational reproducibility across every stage of analysis, Table 8 inventories every algorithm hyperparameter, its exact numerical configuration, and its mathematical and clinical justification.</w:t>
      </w:r>
    </w:p>
    <w:p>
      <w:pPr>
        <w:keepNext/>
        <w:spacing w:before="120" w:after="40"/>
      </w:pPr>
      <w:r>
        <w:rPr>
          <w:rFonts w:ascii="Calibri" w:hAnsi="Calibri"/>
          <w:b/>
          <w:color w:val="1F497D"/>
          <w:sz w:val="18"/>
        </w:rPr>
        <w:t>Table 8: Comprehensive Algorithmic Parameter Dictionary and Methodological Justification (Seed: 42)</w:t>
      </w:r>
    </w:p>
    <w:tbl>
      <w:tblPr>
        <w:tblW w:type="auto" w:w="0"/>
        <w:jc w:val="center"/>
        <w:tblLook w:firstColumn="1" w:firstRow="1" w:lastColumn="0" w:lastRow="0" w:noHBand="0" w:noVBand="1" w:val="04A0"/>
      </w:tblPr>
      <w:tblGrid>
        <w:gridCol w:w="2520"/>
        <w:gridCol w:w="2520"/>
        <w:gridCol w:w="2520"/>
        <w:gridCol w:w="2520"/>
      </w:tblGrid>
      <w:tr>
        <w:tc>
          <w:tcPr>
            <w:tcW w:type="dxa" w:w="2520"/>
            <w:shd w:fill="1F497D"/>
            <w:tcMar>
              <w:top w:w="90" w:type="dxa"/>
              <w:bottom w:w="90" w:type="dxa"/>
              <w:left w:w="100" w:type="dxa"/>
              <w:right w:w="100" w:type="dxa"/>
            </w:tcMar>
          </w:tcPr>
          <w:p>
            <w:pPr>
              <w:jc w:val="center"/>
            </w:pPr>
            <w:r>
              <w:rPr>
                <w:rFonts w:ascii="Calibri" w:hAnsi="Calibri"/>
                <w:b/>
                <w:color w:val="FFFFFF"/>
                <w:sz w:val="14"/>
              </w:rPr>
              <w:t>Algorithm Or Step</w:t>
            </w:r>
          </w:p>
        </w:tc>
        <w:tc>
          <w:tcPr>
            <w:tcW w:type="dxa" w:w="2520"/>
            <w:shd w:fill="1F497D"/>
            <w:tcMar>
              <w:top w:w="90" w:type="dxa"/>
              <w:bottom w:w="90" w:type="dxa"/>
              <w:left w:w="100" w:type="dxa"/>
              <w:right w:w="100" w:type="dxa"/>
            </w:tcMar>
          </w:tcPr>
          <w:p>
            <w:pPr>
              <w:jc w:val="center"/>
            </w:pPr>
            <w:r>
              <w:rPr>
                <w:rFonts w:ascii="Calibri" w:hAnsi="Calibri"/>
                <w:b/>
                <w:color w:val="FFFFFF"/>
                <w:sz w:val="14"/>
              </w:rPr>
              <w:t>Parameter Name</w:t>
            </w:r>
          </w:p>
        </w:tc>
        <w:tc>
          <w:tcPr>
            <w:tcW w:type="dxa" w:w="2520"/>
            <w:shd w:fill="1F497D"/>
            <w:tcMar>
              <w:top w:w="90" w:type="dxa"/>
              <w:bottom w:w="90" w:type="dxa"/>
              <w:left w:w="100" w:type="dxa"/>
              <w:right w:w="100" w:type="dxa"/>
            </w:tcMar>
          </w:tcPr>
          <w:p>
            <w:pPr>
              <w:jc w:val="center"/>
            </w:pPr>
            <w:r>
              <w:rPr>
                <w:rFonts w:ascii="Calibri" w:hAnsi="Calibri"/>
                <w:b/>
                <w:color w:val="FFFFFF"/>
                <w:sz w:val="14"/>
              </w:rPr>
              <w:t>Selected Value</w:t>
            </w:r>
          </w:p>
        </w:tc>
        <w:tc>
          <w:tcPr>
            <w:tcW w:type="dxa" w:w="2520"/>
            <w:shd w:fill="1F497D"/>
            <w:tcMar>
              <w:top w:w="90" w:type="dxa"/>
              <w:bottom w:w="90" w:type="dxa"/>
              <w:left w:w="100" w:type="dxa"/>
              <w:right w:w="100" w:type="dxa"/>
            </w:tcMar>
          </w:tcPr>
          <w:p>
            <w:pPr>
              <w:jc w:val="center"/>
            </w:pPr>
            <w:r>
              <w:rPr>
                <w:rFonts w:ascii="Calibri" w:hAnsi="Calibri"/>
                <w:b/>
                <w:color w:val="FFFFFF"/>
                <w:sz w:val="14"/>
              </w:rPr>
              <w:t>Methodological And Clinical Justification</w:t>
            </w:r>
          </w:p>
        </w:tc>
      </w:tr>
      <w:tr>
        <w:tc>
          <w:tcPr>
            <w:tcW w:type="dxa" w:w="2520"/>
            <w:shd w:fill="FFFFFF"/>
            <w:tcMar>
              <w:top w:w="50" w:type="dxa"/>
              <w:bottom w:w="50" w:type="dxa"/>
              <w:left w:w="80" w:type="dxa"/>
              <w:right w:w="80" w:type="dxa"/>
            </w:tcMar>
          </w:tcPr>
          <w:p>
            <w:pPr>
              <w:jc w:val="left"/>
            </w:pPr>
            <w:r>
              <w:rPr>
                <w:rFonts w:ascii="Calibri" w:hAnsi="Calibri"/>
                <w:color w:val="282828"/>
                <w:sz w:val="14"/>
              </w:rPr>
              <w:t>Global Environment</w:t>
            </w:r>
          </w:p>
        </w:tc>
        <w:tc>
          <w:tcPr>
            <w:tcW w:type="dxa" w:w="2520"/>
            <w:shd w:fill="FFFFFF"/>
            <w:tcMar>
              <w:top w:w="50" w:type="dxa"/>
              <w:bottom w:w="50" w:type="dxa"/>
              <w:left w:w="80" w:type="dxa"/>
              <w:right w:w="80" w:type="dxa"/>
            </w:tcMar>
          </w:tcPr>
          <w:p>
            <w:pPr>
              <w:jc w:val="center"/>
            </w:pPr>
            <w:r>
              <w:rPr>
                <w:rFonts w:ascii="Calibri" w:hAnsi="Calibri"/>
                <w:color w:val="282828"/>
                <w:sz w:val="14"/>
              </w:rPr>
              <w:t>random_state</w:t>
            </w:r>
          </w:p>
        </w:tc>
        <w:tc>
          <w:tcPr>
            <w:tcW w:type="dxa" w:w="2520"/>
            <w:shd w:fill="FFFFFF"/>
            <w:tcMar>
              <w:top w:w="50" w:type="dxa"/>
              <w:bottom w:w="50" w:type="dxa"/>
              <w:left w:w="80" w:type="dxa"/>
              <w:right w:w="80" w:type="dxa"/>
            </w:tcMar>
          </w:tcPr>
          <w:p>
            <w:pPr>
              <w:jc w:val="center"/>
            </w:pPr>
            <w:r>
              <w:rPr>
                <w:rFonts w:ascii="Calibri" w:hAnsi="Calibri"/>
                <w:color w:val="282828"/>
                <w:sz w:val="14"/>
              </w:rPr>
              <w:t>42</w:t>
            </w:r>
          </w:p>
        </w:tc>
        <w:tc>
          <w:tcPr>
            <w:tcW w:type="dxa" w:w="2520"/>
            <w:shd w:fill="FFFFFF"/>
            <w:tcMar>
              <w:top w:w="50" w:type="dxa"/>
              <w:bottom w:w="50" w:type="dxa"/>
              <w:left w:w="80" w:type="dxa"/>
              <w:right w:w="80" w:type="dxa"/>
            </w:tcMar>
          </w:tcPr>
          <w:p>
            <w:pPr>
              <w:jc w:val="left"/>
            </w:pPr>
            <w:r>
              <w:rPr>
                <w:rFonts w:ascii="Calibri" w:hAnsi="Calibri"/>
                <w:color w:val="282828"/>
                <w:sz w:val="14"/>
              </w:rPr>
              <w:t>Guarantees 100% deterministic reproducibility across K-Means, PCA, t-SNE, Isolation Forest, and train/test operations.</w:t>
            </w:r>
          </w:p>
        </w:tc>
      </w:tr>
      <w:tr>
        <w:tc>
          <w:tcPr>
            <w:tcW w:type="dxa" w:w="2520"/>
            <w:shd w:fill="F2F5F9"/>
            <w:tcMar>
              <w:top w:w="50" w:type="dxa"/>
              <w:bottom w:w="50" w:type="dxa"/>
              <w:left w:w="80" w:type="dxa"/>
              <w:right w:w="80" w:type="dxa"/>
            </w:tcMar>
          </w:tcPr>
          <w:p>
            <w:pPr>
              <w:jc w:val="left"/>
            </w:pPr>
            <w:r>
              <w:rPr>
                <w:rFonts w:ascii="Calibri" w:hAnsi="Calibri"/>
                <w:color w:val="282828"/>
                <w:sz w:val="14"/>
              </w:rPr>
              <w:t>Data Standardization</w:t>
            </w:r>
          </w:p>
        </w:tc>
        <w:tc>
          <w:tcPr>
            <w:tcW w:type="dxa" w:w="2520"/>
            <w:shd w:fill="F2F5F9"/>
            <w:tcMar>
              <w:top w:w="50" w:type="dxa"/>
              <w:bottom w:w="50" w:type="dxa"/>
              <w:left w:w="80" w:type="dxa"/>
              <w:right w:w="80" w:type="dxa"/>
            </w:tcMar>
          </w:tcPr>
          <w:p>
            <w:pPr>
              <w:jc w:val="center"/>
            </w:pPr>
            <w:r>
              <w:rPr>
                <w:rFonts w:ascii="Calibri" w:hAnsi="Calibri"/>
                <w:color w:val="282828"/>
                <w:sz w:val="14"/>
              </w:rPr>
              <w:t>StandardScaler</w:t>
            </w:r>
          </w:p>
        </w:tc>
        <w:tc>
          <w:tcPr>
            <w:tcW w:type="dxa" w:w="2520"/>
            <w:shd w:fill="F2F5F9"/>
            <w:tcMar>
              <w:top w:w="50" w:type="dxa"/>
              <w:bottom w:w="50" w:type="dxa"/>
              <w:left w:w="80" w:type="dxa"/>
              <w:right w:w="80" w:type="dxa"/>
            </w:tcMar>
          </w:tcPr>
          <w:p>
            <w:pPr>
              <w:jc w:val="left"/>
            </w:pPr>
            <w:r>
              <w:rPr>
                <w:rFonts w:ascii="Calibri" w:hAnsi="Calibri"/>
                <w:color w:val="282828"/>
                <w:sz w:val="14"/>
              </w:rPr>
              <w:t>with_mean=True, with_std=True (z-score)</w:t>
            </w:r>
          </w:p>
        </w:tc>
        <w:tc>
          <w:tcPr>
            <w:tcW w:type="dxa" w:w="2520"/>
            <w:shd w:fill="F2F5F9"/>
            <w:tcMar>
              <w:top w:w="50" w:type="dxa"/>
              <w:bottom w:w="50" w:type="dxa"/>
              <w:left w:w="80" w:type="dxa"/>
              <w:right w:w="80" w:type="dxa"/>
            </w:tcMar>
          </w:tcPr>
          <w:p>
            <w:pPr>
              <w:jc w:val="left"/>
            </w:pPr>
            <w:r>
              <w:rPr>
                <w:rFonts w:ascii="Calibri" w:hAnsi="Calibri"/>
                <w:color w:val="282828"/>
                <w:sz w:val="14"/>
              </w:rPr>
              <w:t>Normalizes disparate clinical scales (e.g. BMI 15-80 vs. Age brackets 1-13) to unit variance, preventing Euclidean distance distortion.</w:t>
            </w:r>
          </w:p>
        </w:tc>
      </w:tr>
      <w:tr>
        <w:tc>
          <w:tcPr>
            <w:tcW w:type="dxa" w:w="2520"/>
            <w:shd w:fill="FFFFFF"/>
            <w:tcMar>
              <w:top w:w="50" w:type="dxa"/>
              <w:bottom w:w="50" w:type="dxa"/>
              <w:left w:w="80" w:type="dxa"/>
              <w:right w:w="80" w:type="dxa"/>
            </w:tcMar>
          </w:tcPr>
          <w:p>
            <w:pPr>
              <w:jc w:val="left"/>
            </w:pPr>
            <w:r>
              <w:rPr>
                <w:rFonts w:ascii="Calibri" w:hAnsi="Calibri"/>
                <w:color w:val="282828"/>
                <w:sz w:val="14"/>
              </w:rPr>
              <w:t>K-Means Clustering</w:t>
            </w:r>
          </w:p>
        </w:tc>
        <w:tc>
          <w:tcPr>
            <w:tcW w:type="dxa" w:w="2520"/>
            <w:shd w:fill="FFFFFF"/>
            <w:tcMar>
              <w:top w:w="50" w:type="dxa"/>
              <w:bottom w:w="50" w:type="dxa"/>
              <w:left w:w="80" w:type="dxa"/>
              <w:right w:w="80" w:type="dxa"/>
            </w:tcMar>
          </w:tcPr>
          <w:p>
            <w:pPr>
              <w:jc w:val="center"/>
            </w:pPr>
            <w:r>
              <w:rPr>
                <w:rFonts w:ascii="Calibri" w:hAnsi="Calibri"/>
                <w:color w:val="282828"/>
                <w:sz w:val="14"/>
              </w:rPr>
              <w:t>n_clusters (k)</w:t>
            </w:r>
          </w:p>
        </w:tc>
        <w:tc>
          <w:tcPr>
            <w:tcW w:type="dxa" w:w="2520"/>
            <w:shd w:fill="FFFFFF"/>
            <w:tcMar>
              <w:top w:w="50" w:type="dxa"/>
              <w:bottom w:w="50" w:type="dxa"/>
              <w:left w:w="80" w:type="dxa"/>
              <w:right w:w="80" w:type="dxa"/>
            </w:tcMar>
          </w:tcPr>
          <w:p>
            <w:pPr>
              <w:jc w:val="center"/>
            </w:pPr>
            <w:r>
              <w:rPr>
                <w:rFonts w:ascii="Calibri" w:hAnsi="Calibri"/>
                <w:color w:val="282828"/>
                <w:sz w:val="14"/>
              </w:rPr>
              <w:t>3</w:t>
            </w:r>
          </w:p>
        </w:tc>
        <w:tc>
          <w:tcPr>
            <w:tcW w:type="dxa" w:w="2520"/>
            <w:shd w:fill="FFFFFF"/>
            <w:tcMar>
              <w:top w:w="50" w:type="dxa"/>
              <w:bottom w:w="50" w:type="dxa"/>
              <w:left w:w="80" w:type="dxa"/>
              <w:right w:w="80" w:type="dxa"/>
            </w:tcMar>
          </w:tcPr>
          <w:p>
            <w:pPr>
              <w:jc w:val="left"/>
            </w:pPr>
            <w:r>
              <w:rPr>
                <w:rFonts w:ascii="Calibri" w:hAnsi="Calibri"/>
                <w:color w:val="282828"/>
                <w:sz w:val="14"/>
              </w:rPr>
              <w:t>Selected via empirical elbow knee (WCSS inflection) and peak silhouette score across k in [2, 10]; clinically maps to Low, Moderate, and High-Risk strata.</w:t>
            </w:r>
          </w:p>
        </w:tc>
      </w:tr>
      <w:tr>
        <w:tc>
          <w:tcPr>
            <w:tcW w:type="dxa" w:w="2520"/>
            <w:shd w:fill="F2F5F9"/>
            <w:tcMar>
              <w:top w:w="50" w:type="dxa"/>
              <w:bottom w:w="50" w:type="dxa"/>
              <w:left w:w="80" w:type="dxa"/>
              <w:right w:w="80" w:type="dxa"/>
            </w:tcMar>
          </w:tcPr>
          <w:p>
            <w:pPr>
              <w:jc w:val="left"/>
            </w:pPr>
            <w:r>
              <w:rPr>
                <w:rFonts w:ascii="Calibri" w:hAnsi="Calibri"/>
                <w:color w:val="282828"/>
                <w:sz w:val="14"/>
              </w:rPr>
              <w:t>K-Means Clustering</w:t>
            </w:r>
          </w:p>
        </w:tc>
        <w:tc>
          <w:tcPr>
            <w:tcW w:type="dxa" w:w="2520"/>
            <w:shd w:fill="F2F5F9"/>
            <w:tcMar>
              <w:top w:w="50" w:type="dxa"/>
              <w:bottom w:w="50" w:type="dxa"/>
              <w:left w:w="80" w:type="dxa"/>
              <w:right w:w="80" w:type="dxa"/>
            </w:tcMar>
          </w:tcPr>
          <w:p>
            <w:pPr>
              <w:jc w:val="center"/>
            </w:pPr>
            <w:r>
              <w:rPr>
                <w:rFonts w:ascii="Calibri" w:hAnsi="Calibri"/>
                <w:color w:val="282828"/>
                <w:sz w:val="14"/>
              </w:rPr>
              <w:t>n_init / init</w:t>
            </w:r>
          </w:p>
        </w:tc>
        <w:tc>
          <w:tcPr>
            <w:tcW w:type="dxa" w:w="2520"/>
            <w:shd w:fill="F2F5F9"/>
            <w:tcMar>
              <w:top w:w="50" w:type="dxa"/>
              <w:bottom w:w="50" w:type="dxa"/>
              <w:left w:w="80" w:type="dxa"/>
              <w:right w:w="80" w:type="dxa"/>
            </w:tcMar>
          </w:tcPr>
          <w:p>
            <w:pPr>
              <w:jc w:val="center"/>
            </w:pPr>
            <w:r>
              <w:rPr>
                <w:rFonts w:ascii="Calibri" w:hAnsi="Calibri"/>
                <w:color w:val="282828"/>
                <w:sz w:val="14"/>
              </w:rPr>
              <w:t>10 / 'k-means++'</w:t>
            </w:r>
          </w:p>
        </w:tc>
        <w:tc>
          <w:tcPr>
            <w:tcW w:type="dxa" w:w="2520"/>
            <w:shd w:fill="F2F5F9"/>
            <w:tcMar>
              <w:top w:w="50" w:type="dxa"/>
              <w:bottom w:w="50" w:type="dxa"/>
              <w:left w:w="80" w:type="dxa"/>
              <w:right w:w="80" w:type="dxa"/>
            </w:tcMar>
          </w:tcPr>
          <w:p>
            <w:pPr>
              <w:jc w:val="left"/>
            </w:pPr>
            <w:r>
              <w:rPr>
                <w:rFonts w:ascii="Calibri" w:hAnsi="Calibri"/>
                <w:color w:val="282828"/>
                <w:sz w:val="14"/>
              </w:rPr>
              <w:t>Runs 10 independent centroid initializations using probabilistic distance weighting, preventing convergence to suboptimal local minima.</w:t>
            </w:r>
          </w:p>
        </w:tc>
      </w:tr>
      <w:tr>
        <w:tc>
          <w:tcPr>
            <w:tcW w:type="dxa" w:w="2520"/>
            <w:shd w:fill="FFFFFF"/>
            <w:tcMar>
              <w:top w:w="50" w:type="dxa"/>
              <w:bottom w:w="50" w:type="dxa"/>
              <w:left w:w="80" w:type="dxa"/>
              <w:right w:w="80" w:type="dxa"/>
            </w:tcMar>
          </w:tcPr>
          <w:p>
            <w:pPr>
              <w:jc w:val="left"/>
            </w:pPr>
            <w:r>
              <w:rPr>
                <w:rFonts w:ascii="Calibri" w:hAnsi="Calibri"/>
                <w:color w:val="282828"/>
                <w:sz w:val="14"/>
              </w:rPr>
              <w:t>DBSCAN</w:t>
            </w:r>
          </w:p>
        </w:tc>
        <w:tc>
          <w:tcPr>
            <w:tcW w:type="dxa" w:w="2520"/>
            <w:shd w:fill="FFFFFF"/>
            <w:tcMar>
              <w:top w:w="50" w:type="dxa"/>
              <w:bottom w:w="50" w:type="dxa"/>
              <w:left w:w="80" w:type="dxa"/>
              <w:right w:w="80" w:type="dxa"/>
            </w:tcMar>
          </w:tcPr>
          <w:p>
            <w:pPr>
              <w:jc w:val="left"/>
            </w:pPr>
            <w:r>
              <w:rPr>
                <w:rFonts w:ascii="Calibri" w:hAnsi="Calibri"/>
                <w:color w:val="282828"/>
                <w:sz w:val="14"/>
              </w:rPr>
              <w:t>eps (epsilon neighborhood)</w:t>
            </w:r>
          </w:p>
        </w:tc>
        <w:tc>
          <w:tcPr>
            <w:tcW w:type="dxa" w:w="2520"/>
            <w:shd w:fill="FFFFFF"/>
            <w:tcMar>
              <w:top w:w="50" w:type="dxa"/>
              <w:bottom w:w="50" w:type="dxa"/>
              <w:left w:w="80" w:type="dxa"/>
              <w:right w:w="80" w:type="dxa"/>
            </w:tcMar>
          </w:tcPr>
          <w:p>
            <w:pPr>
              <w:jc w:val="center"/>
            </w:pPr>
            <w:r>
              <w:rPr>
                <w:rFonts w:ascii="Calibri" w:hAnsi="Calibri"/>
                <w:color w:val="282828"/>
                <w:sz w:val="14"/>
              </w:rPr>
              <w:t>2.40</w:t>
            </w:r>
          </w:p>
        </w:tc>
        <w:tc>
          <w:tcPr>
            <w:tcW w:type="dxa" w:w="2520"/>
            <w:shd w:fill="FFFFFF"/>
            <w:tcMar>
              <w:top w:w="50" w:type="dxa"/>
              <w:bottom w:w="50" w:type="dxa"/>
              <w:left w:w="80" w:type="dxa"/>
              <w:right w:w="80" w:type="dxa"/>
            </w:tcMar>
          </w:tcPr>
          <w:p>
            <w:pPr>
              <w:jc w:val="left"/>
            </w:pPr>
            <w:r>
              <w:rPr>
                <w:rFonts w:ascii="Calibri" w:hAnsi="Calibri"/>
                <w:color w:val="282828"/>
                <w:sz w:val="14"/>
              </w:rPr>
              <w:t>Determined via sorted k-distance knee inflection point (Figure 2) on standardized feature space.</w:t>
            </w:r>
          </w:p>
        </w:tc>
      </w:tr>
      <w:tr>
        <w:tc>
          <w:tcPr>
            <w:tcW w:type="dxa" w:w="2520"/>
            <w:shd w:fill="F2F5F9"/>
            <w:tcMar>
              <w:top w:w="50" w:type="dxa"/>
              <w:bottom w:w="50" w:type="dxa"/>
              <w:left w:w="80" w:type="dxa"/>
              <w:right w:w="80" w:type="dxa"/>
            </w:tcMar>
          </w:tcPr>
          <w:p>
            <w:pPr>
              <w:jc w:val="left"/>
            </w:pPr>
            <w:r>
              <w:rPr>
                <w:rFonts w:ascii="Calibri" w:hAnsi="Calibri"/>
                <w:color w:val="282828"/>
                <w:sz w:val="14"/>
              </w:rPr>
              <w:t>DBSCAN</w:t>
            </w:r>
          </w:p>
        </w:tc>
        <w:tc>
          <w:tcPr>
            <w:tcW w:type="dxa" w:w="2520"/>
            <w:shd w:fill="F2F5F9"/>
            <w:tcMar>
              <w:top w:w="50" w:type="dxa"/>
              <w:bottom w:w="50" w:type="dxa"/>
              <w:left w:w="80" w:type="dxa"/>
              <w:right w:w="80" w:type="dxa"/>
            </w:tcMar>
          </w:tcPr>
          <w:p>
            <w:pPr>
              <w:jc w:val="center"/>
            </w:pPr>
            <w:r>
              <w:rPr>
                <w:rFonts w:ascii="Calibri" w:hAnsi="Calibri"/>
                <w:color w:val="282828"/>
                <w:sz w:val="14"/>
              </w:rPr>
              <w:t>min_samples (minPts)</w:t>
            </w:r>
          </w:p>
        </w:tc>
        <w:tc>
          <w:tcPr>
            <w:tcW w:type="dxa" w:w="2520"/>
            <w:shd w:fill="F2F5F9"/>
            <w:tcMar>
              <w:top w:w="50" w:type="dxa"/>
              <w:bottom w:w="50" w:type="dxa"/>
              <w:left w:w="80" w:type="dxa"/>
              <w:right w:w="80" w:type="dxa"/>
            </w:tcMar>
          </w:tcPr>
          <w:p>
            <w:pPr>
              <w:jc w:val="center"/>
            </w:pPr>
            <w:r>
              <w:rPr>
                <w:rFonts w:ascii="Calibri" w:hAnsi="Calibri"/>
                <w:color w:val="282828"/>
                <w:sz w:val="14"/>
              </w:rPr>
              <w:t>5</w:t>
            </w:r>
          </w:p>
        </w:tc>
        <w:tc>
          <w:tcPr>
            <w:tcW w:type="dxa" w:w="2520"/>
            <w:shd w:fill="F2F5F9"/>
            <w:tcMar>
              <w:top w:w="50" w:type="dxa"/>
              <w:bottom w:w="50" w:type="dxa"/>
              <w:left w:w="80" w:type="dxa"/>
              <w:right w:w="80" w:type="dxa"/>
            </w:tcMar>
          </w:tcPr>
          <w:p>
            <w:pPr>
              <w:jc w:val="left"/>
            </w:pPr>
            <w:r>
              <w:rPr>
                <w:rFonts w:ascii="Calibri" w:hAnsi="Calibri"/>
                <w:color w:val="282828"/>
                <w:sz w:val="14"/>
              </w:rPr>
              <w:t>Standard heuristic for d=11 features (minPts &gt;= d + 1 or 2*d) balanced against noise point sensitivity.</w:t>
            </w:r>
          </w:p>
        </w:tc>
      </w:tr>
      <w:tr>
        <w:tc>
          <w:tcPr>
            <w:tcW w:type="dxa" w:w="2520"/>
            <w:shd w:fill="FFFFFF"/>
            <w:tcMar>
              <w:top w:w="50" w:type="dxa"/>
              <w:bottom w:w="50" w:type="dxa"/>
              <w:left w:w="80" w:type="dxa"/>
              <w:right w:w="80" w:type="dxa"/>
            </w:tcMar>
          </w:tcPr>
          <w:p>
            <w:pPr>
              <w:jc w:val="left"/>
            </w:pPr>
            <w:r>
              <w:rPr>
                <w:rFonts w:ascii="Calibri" w:hAnsi="Calibri"/>
                <w:color w:val="282828"/>
                <w:sz w:val="14"/>
              </w:rPr>
              <w:t>Hierarchical Clustering</w:t>
            </w:r>
          </w:p>
        </w:tc>
        <w:tc>
          <w:tcPr>
            <w:tcW w:type="dxa" w:w="2520"/>
            <w:shd w:fill="FFFFFF"/>
            <w:tcMar>
              <w:top w:w="50" w:type="dxa"/>
              <w:bottom w:w="50" w:type="dxa"/>
              <w:left w:w="80" w:type="dxa"/>
              <w:right w:w="80" w:type="dxa"/>
            </w:tcMar>
          </w:tcPr>
          <w:p>
            <w:pPr>
              <w:jc w:val="center"/>
            </w:pPr>
            <w:r>
              <w:rPr>
                <w:rFonts w:ascii="Calibri" w:hAnsi="Calibri"/>
                <w:color w:val="282828"/>
                <w:sz w:val="14"/>
              </w:rPr>
              <w:t>linkage / metric</w:t>
            </w:r>
          </w:p>
        </w:tc>
        <w:tc>
          <w:tcPr>
            <w:tcW w:type="dxa" w:w="2520"/>
            <w:shd w:fill="FFFFFF"/>
            <w:tcMar>
              <w:top w:w="50" w:type="dxa"/>
              <w:bottom w:w="50" w:type="dxa"/>
              <w:left w:w="80" w:type="dxa"/>
              <w:right w:w="80" w:type="dxa"/>
            </w:tcMar>
          </w:tcPr>
          <w:p>
            <w:pPr>
              <w:jc w:val="center"/>
            </w:pPr>
            <w:r>
              <w:rPr>
                <w:rFonts w:ascii="Calibri" w:hAnsi="Calibri"/>
                <w:color w:val="282828"/>
                <w:sz w:val="14"/>
              </w:rPr>
              <w:t>'ward' / 'euclidean'</w:t>
            </w:r>
          </w:p>
        </w:tc>
        <w:tc>
          <w:tcPr>
            <w:tcW w:type="dxa" w:w="2520"/>
            <w:shd w:fill="FFFFFF"/>
            <w:tcMar>
              <w:top w:w="50" w:type="dxa"/>
              <w:bottom w:w="50" w:type="dxa"/>
              <w:left w:w="80" w:type="dxa"/>
              <w:right w:w="80" w:type="dxa"/>
            </w:tcMar>
          </w:tcPr>
          <w:p>
            <w:pPr>
              <w:jc w:val="left"/>
            </w:pPr>
            <w:r>
              <w:rPr>
                <w:rFonts w:ascii="Calibri" w:hAnsi="Calibri"/>
                <w:color w:val="282828"/>
                <w:sz w:val="14"/>
              </w:rPr>
              <w:t>Minimizes the total within-cluster variance increase at each agglomerative merge, producing compact, spherical health clusters.</w:t>
            </w:r>
          </w:p>
        </w:tc>
      </w:tr>
      <w:tr>
        <w:tc>
          <w:tcPr>
            <w:tcW w:type="dxa" w:w="2520"/>
            <w:shd w:fill="F2F5F9"/>
            <w:tcMar>
              <w:top w:w="50" w:type="dxa"/>
              <w:bottom w:w="50" w:type="dxa"/>
              <w:left w:w="80" w:type="dxa"/>
              <w:right w:w="80" w:type="dxa"/>
            </w:tcMar>
          </w:tcPr>
          <w:p>
            <w:pPr>
              <w:jc w:val="left"/>
            </w:pPr>
            <w:r>
              <w:rPr>
                <w:rFonts w:ascii="Calibri" w:hAnsi="Calibri"/>
                <w:color w:val="282828"/>
                <w:sz w:val="14"/>
              </w:rPr>
              <w:t>Principal Component Analysis</w:t>
            </w:r>
          </w:p>
        </w:tc>
        <w:tc>
          <w:tcPr>
            <w:tcW w:type="dxa" w:w="2520"/>
            <w:shd w:fill="F2F5F9"/>
            <w:tcMar>
              <w:top w:w="50" w:type="dxa"/>
              <w:bottom w:w="50" w:type="dxa"/>
              <w:left w:w="80" w:type="dxa"/>
              <w:right w:w="80" w:type="dxa"/>
            </w:tcMar>
          </w:tcPr>
          <w:p>
            <w:pPr>
              <w:jc w:val="center"/>
            </w:pPr>
            <w:r>
              <w:rPr>
                <w:rFonts w:ascii="Calibri" w:hAnsi="Calibri"/>
                <w:color w:val="282828"/>
                <w:sz w:val="14"/>
              </w:rPr>
              <w:t>n_components kept</w:t>
            </w:r>
          </w:p>
        </w:tc>
        <w:tc>
          <w:tcPr>
            <w:tcW w:type="dxa" w:w="2520"/>
            <w:shd w:fill="F2F5F9"/>
            <w:tcMar>
              <w:top w:w="50" w:type="dxa"/>
              <w:bottom w:w="50" w:type="dxa"/>
              <w:left w:w="80" w:type="dxa"/>
              <w:right w:w="80" w:type="dxa"/>
            </w:tcMar>
          </w:tcPr>
          <w:p>
            <w:pPr>
              <w:jc w:val="left"/>
            </w:pPr>
            <w:r>
              <w:rPr>
                <w:rFonts w:ascii="Calibri" w:hAnsi="Calibri"/>
                <w:color w:val="282828"/>
                <w:sz w:val="14"/>
              </w:rPr>
              <w:t>6 components (Scree 80.6% variance)</w:t>
            </w:r>
          </w:p>
        </w:tc>
        <w:tc>
          <w:tcPr>
            <w:tcW w:type="dxa" w:w="2520"/>
            <w:shd w:fill="F2F5F9"/>
            <w:tcMar>
              <w:top w:w="50" w:type="dxa"/>
              <w:bottom w:w="50" w:type="dxa"/>
              <w:left w:w="80" w:type="dxa"/>
              <w:right w:w="80" w:type="dxa"/>
            </w:tcMar>
          </w:tcPr>
          <w:p>
            <w:pPr>
              <w:jc w:val="left"/>
            </w:pPr>
            <w:r>
              <w:rPr>
                <w:rFonts w:ascii="Calibri" w:hAnsi="Calibri"/>
                <w:color w:val="282828"/>
                <w:sz w:val="14"/>
              </w:rPr>
              <w:t>Captures over 80% of cumulative population variance while reducing feature space dimensionality by 45% (Figure 6).</w:t>
            </w:r>
          </w:p>
        </w:tc>
      </w:tr>
      <w:tr>
        <w:tc>
          <w:tcPr>
            <w:tcW w:type="dxa" w:w="2520"/>
            <w:shd w:fill="FFFFFF"/>
            <w:tcMar>
              <w:top w:w="50" w:type="dxa"/>
              <w:bottom w:w="50" w:type="dxa"/>
              <w:left w:w="80" w:type="dxa"/>
              <w:right w:w="80" w:type="dxa"/>
            </w:tcMar>
          </w:tcPr>
          <w:p>
            <w:pPr>
              <w:jc w:val="left"/>
            </w:pPr>
            <w:r>
              <w:rPr>
                <w:rFonts w:ascii="Calibri" w:hAnsi="Calibri"/>
                <w:color w:val="282828"/>
                <w:sz w:val="14"/>
              </w:rPr>
              <w:t>t-SNE Embedding</w:t>
            </w:r>
          </w:p>
        </w:tc>
        <w:tc>
          <w:tcPr>
            <w:tcW w:type="dxa" w:w="2520"/>
            <w:shd w:fill="FFFFFF"/>
            <w:tcMar>
              <w:top w:w="50" w:type="dxa"/>
              <w:bottom w:w="50" w:type="dxa"/>
              <w:left w:w="80" w:type="dxa"/>
              <w:right w:w="80" w:type="dxa"/>
            </w:tcMar>
          </w:tcPr>
          <w:p>
            <w:pPr>
              <w:jc w:val="center"/>
            </w:pPr>
            <w:r>
              <w:rPr>
                <w:rFonts w:ascii="Calibri" w:hAnsi="Calibri"/>
                <w:color w:val="282828"/>
                <w:sz w:val="14"/>
              </w:rPr>
              <w:t>perplexity</w:t>
            </w:r>
          </w:p>
        </w:tc>
        <w:tc>
          <w:tcPr>
            <w:tcW w:type="dxa" w:w="2520"/>
            <w:shd w:fill="FFFFFF"/>
            <w:tcMar>
              <w:top w:w="50" w:type="dxa"/>
              <w:bottom w:w="50" w:type="dxa"/>
              <w:left w:w="80" w:type="dxa"/>
              <w:right w:w="80" w:type="dxa"/>
            </w:tcMar>
          </w:tcPr>
          <w:p>
            <w:pPr>
              <w:jc w:val="left"/>
            </w:pPr>
            <w:r>
              <w:rPr>
                <w:rFonts w:ascii="Calibri" w:hAnsi="Calibri"/>
                <w:color w:val="282828"/>
                <w:sz w:val="14"/>
              </w:rPr>
              <w:t>30 (Benchmarked at 15, 30, 50)</w:t>
            </w:r>
          </w:p>
        </w:tc>
        <w:tc>
          <w:tcPr>
            <w:tcW w:type="dxa" w:w="2520"/>
            <w:shd w:fill="FFFFFF"/>
            <w:tcMar>
              <w:top w:w="50" w:type="dxa"/>
              <w:bottom w:w="50" w:type="dxa"/>
              <w:left w:w="80" w:type="dxa"/>
              <w:right w:w="80" w:type="dxa"/>
            </w:tcMar>
          </w:tcPr>
          <w:p>
            <w:pPr>
              <w:jc w:val="left"/>
            </w:pPr>
            <w:r>
              <w:rPr>
                <w:rFonts w:ascii="Calibri" w:hAnsi="Calibri"/>
                <w:color w:val="282828"/>
                <w:sz w:val="14"/>
              </w:rPr>
              <w:t>Balances local manifold continuity against global cluster separation; sensitivity analysis showed high stability across [15, 50].</w:t>
            </w:r>
          </w:p>
        </w:tc>
      </w:tr>
      <w:tr>
        <w:tc>
          <w:tcPr>
            <w:tcW w:type="dxa" w:w="2520"/>
            <w:shd w:fill="F2F5F9"/>
            <w:tcMar>
              <w:top w:w="50" w:type="dxa"/>
              <w:bottom w:w="50" w:type="dxa"/>
              <w:left w:w="80" w:type="dxa"/>
              <w:right w:w="80" w:type="dxa"/>
            </w:tcMar>
          </w:tcPr>
          <w:p>
            <w:pPr>
              <w:jc w:val="left"/>
            </w:pPr>
            <w:r>
              <w:rPr>
                <w:rFonts w:ascii="Calibri" w:hAnsi="Calibri"/>
                <w:color w:val="282828"/>
                <w:sz w:val="14"/>
              </w:rPr>
              <w:t>t-SNE Embedding</w:t>
            </w:r>
          </w:p>
        </w:tc>
        <w:tc>
          <w:tcPr>
            <w:tcW w:type="dxa" w:w="2520"/>
            <w:shd w:fill="F2F5F9"/>
            <w:tcMar>
              <w:top w:w="50" w:type="dxa"/>
              <w:bottom w:w="50" w:type="dxa"/>
              <w:left w:w="80" w:type="dxa"/>
              <w:right w:w="80" w:type="dxa"/>
            </w:tcMar>
          </w:tcPr>
          <w:p>
            <w:pPr>
              <w:jc w:val="center"/>
            </w:pPr>
            <w:r>
              <w:rPr>
                <w:rFonts w:ascii="Calibri" w:hAnsi="Calibri"/>
                <w:color w:val="282828"/>
                <w:sz w:val="14"/>
              </w:rPr>
              <w:t>max_iter</w:t>
            </w:r>
          </w:p>
        </w:tc>
        <w:tc>
          <w:tcPr>
            <w:tcW w:type="dxa" w:w="2520"/>
            <w:shd w:fill="F2F5F9"/>
            <w:tcMar>
              <w:top w:w="50" w:type="dxa"/>
              <w:bottom w:w="50" w:type="dxa"/>
              <w:left w:w="80" w:type="dxa"/>
              <w:right w:w="80" w:type="dxa"/>
            </w:tcMar>
          </w:tcPr>
          <w:p>
            <w:pPr>
              <w:jc w:val="center"/>
            </w:pPr>
            <w:r>
              <w:rPr>
                <w:rFonts w:ascii="Calibri" w:hAnsi="Calibri"/>
                <w:color w:val="282828"/>
                <w:sz w:val="14"/>
              </w:rPr>
              <w:t>1000</w:t>
            </w:r>
          </w:p>
        </w:tc>
        <w:tc>
          <w:tcPr>
            <w:tcW w:type="dxa" w:w="2520"/>
            <w:shd w:fill="F2F5F9"/>
            <w:tcMar>
              <w:top w:w="50" w:type="dxa"/>
              <w:bottom w:w="50" w:type="dxa"/>
              <w:left w:w="80" w:type="dxa"/>
              <w:right w:w="80" w:type="dxa"/>
            </w:tcMar>
          </w:tcPr>
          <w:p>
            <w:pPr>
              <w:jc w:val="left"/>
            </w:pPr>
            <w:r>
              <w:rPr>
                <w:rFonts w:ascii="Calibri" w:hAnsi="Calibri"/>
                <w:color w:val="282828"/>
                <w:sz w:val="14"/>
              </w:rPr>
              <w:t>Sufficient gradient descent iterations for Student-t kernel optimization to achieve stable KL-divergence minimum.</w:t>
            </w:r>
          </w:p>
        </w:tc>
      </w:tr>
      <w:tr>
        <w:tc>
          <w:tcPr>
            <w:tcW w:type="dxa" w:w="2520"/>
            <w:shd w:fill="FFFFFF"/>
            <w:tcMar>
              <w:top w:w="50" w:type="dxa"/>
              <w:bottom w:w="50" w:type="dxa"/>
              <w:left w:w="80" w:type="dxa"/>
              <w:right w:w="80" w:type="dxa"/>
            </w:tcMar>
          </w:tcPr>
          <w:p>
            <w:pPr>
              <w:jc w:val="left"/>
            </w:pPr>
            <w:r>
              <w:rPr>
                <w:rFonts w:ascii="Calibri" w:hAnsi="Calibri"/>
                <w:color w:val="282828"/>
                <w:sz w:val="14"/>
              </w:rPr>
              <w:t>Isolation Forest</w:t>
            </w:r>
          </w:p>
        </w:tc>
        <w:tc>
          <w:tcPr>
            <w:tcW w:type="dxa" w:w="2520"/>
            <w:shd w:fill="FFFFFF"/>
            <w:tcMar>
              <w:top w:w="50" w:type="dxa"/>
              <w:bottom w:w="50" w:type="dxa"/>
              <w:left w:w="80" w:type="dxa"/>
              <w:right w:w="80" w:type="dxa"/>
            </w:tcMar>
          </w:tcPr>
          <w:p>
            <w:pPr>
              <w:jc w:val="center"/>
            </w:pPr>
            <w:r>
              <w:rPr>
                <w:rFonts w:ascii="Calibri" w:hAnsi="Calibri"/>
                <w:color w:val="282828"/>
                <w:sz w:val="14"/>
              </w:rPr>
              <w:t>contamination</w:t>
            </w:r>
          </w:p>
        </w:tc>
        <w:tc>
          <w:tcPr>
            <w:tcW w:type="dxa" w:w="2520"/>
            <w:shd w:fill="FFFFFF"/>
            <w:tcMar>
              <w:top w:w="50" w:type="dxa"/>
              <w:bottom w:w="50" w:type="dxa"/>
              <w:left w:w="80" w:type="dxa"/>
              <w:right w:w="80" w:type="dxa"/>
            </w:tcMar>
          </w:tcPr>
          <w:p>
            <w:pPr>
              <w:jc w:val="center"/>
            </w:pPr>
            <w:r>
              <w:rPr>
                <w:rFonts w:ascii="Calibri" w:hAnsi="Calibri"/>
                <w:color w:val="282828"/>
                <w:sz w:val="14"/>
              </w:rPr>
              <w:t>0.035 (3.5%)</w:t>
            </w:r>
          </w:p>
        </w:tc>
        <w:tc>
          <w:tcPr>
            <w:tcW w:type="dxa" w:w="2520"/>
            <w:shd w:fill="FFFFFF"/>
            <w:tcMar>
              <w:top w:w="50" w:type="dxa"/>
              <w:bottom w:w="50" w:type="dxa"/>
              <w:left w:w="80" w:type="dxa"/>
              <w:right w:w="80" w:type="dxa"/>
            </w:tcMar>
          </w:tcPr>
          <w:p>
            <w:pPr>
              <w:jc w:val="left"/>
            </w:pPr>
            <w:r>
              <w:rPr>
                <w:rFonts w:ascii="Calibri" w:hAnsi="Calibri"/>
                <w:color w:val="282828"/>
                <w:sz w:val="14"/>
              </w:rPr>
              <w:t>Calibrated to isolate genuine severe multi-morbidity extremes (e.g. BMI &gt; 55, 30 days impaired) without trimming valid borderline patients.</w:t>
            </w:r>
          </w:p>
        </w:tc>
      </w:tr>
      <w:tr>
        <w:tc>
          <w:tcPr>
            <w:tcW w:type="dxa" w:w="2520"/>
            <w:shd w:fill="F2F5F9"/>
            <w:tcMar>
              <w:top w:w="50" w:type="dxa"/>
              <w:bottom w:w="50" w:type="dxa"/>
              <w:left w:w="80" w:type="dxa"/>
              <w:right w:w="80" w:type="dxa"/>
            </w:tcMar>
          </w:tcPr>
          <w:p>
            <w:pPr>
              <w:jc w:val="left"/>
            </w:pPr>
            <w:r>
              <w:rPr>
                <w:rFonts w:ascii="Calibri" w:hAnsi="Calibri"/>
                <w:color w:val="282828"/>
                <w:sz w:val="14"/>
              </w:rPr>
              <w:t>Isolation Forest</w:t>
            </w:r>
          </w:p>
        </w:tc>
        <w:tc>
          <w:tcPr>
            <w:tcW w:type="dxa" w:w="2520"/>
            <w:shd w:fill="F2F5F9"/>
            <w:tcMar>
              <w:top w:w="50" w:type="dxa"/>
              <w:bottom w:w="50" w:type="dxa"/>
              <w:left w:w="80" w:type="dxa"/>
              <w:right w:w="80" w:type="dxa"/>
            </w:tcMar>
          </w:tcPr>
          <w:p>
            <w:pPr>
              <w:jc w:val="center"/>
            </w:pPr>
            <w:r>
              <w:rPr>
                <w:rFonts w:ascii="Calibri" w:hAnsi="Calibri"/>
                <w:color w:val="282828"/>
                <w:sz w:val="14"/>
              </w:rPr>
              <w:t>n_estimators</w:t>
            </w:r>
          </w:p>
        </w:tc>
        <w:tc>
          <w:tcPr>
            <w:tcW w:type="dxa" w:w="2520"/>
            <w:shd w:fill="F2F5F9"/>
            <w:tcMar>
              <w:top w:w="50" w:type="dxa"/>
              <w:bottom w:w="50" w:type="dxa"/>
              <w:left w:w="80" w:type="dxa"/>
              <w:right w:w="80" w:type="dxa"/>
            </w:tcMar>
          </w:tcPr>
          <w:p>
            <w:pPr>
              <w:jc w:val="center"/>
            </w:pPr>
            <w:r>
              <w:rPr>
                <w:rFonts w:ascii="Calibri" w:hAnsi="Calibri"/>
                <w:color w:val="282828"/>
                <w:sz w:val="14"/>
              </w:rPr>
              <w:t>150</w:t>
            </w:r>
          </w:p>
        </w:tc>
        <w:tc>
          <w:tcPr>
            <w:tcW w:type="dxa" w:w="2520"/>
            <w:shd w:fill="F2F5F9"/>
            <w:tcMar>
              <w:top w:w="50" w:type="dxa"/>
              <w:bottom w:w="50" w:type="dxa"/>
              <w:left w:w="80" w:type="dxa"/>
              <w:right w:w="80" w:type="dxa"/>
            </w:tcMar>
          </w:tcPr>
          <w:p>
            <w:pPr>
              <w:jc w:val="left"/>
            </w:pPr>
            <w:r>
              <w:rPr>
                <w:rFonts w:ascii="Calibri" w:hAnsi="Calibri"/>
                <w:color w:val="282828"/>
                <w:sz w:val="14"/>
              </w:rPr>
              <w:t>Number of isolation trees to stabilize path length depth averaging across high-dimensional feature subsets.</w:t>
            </w:r>
          </w:p>
        </w:tc>
      </w:tr>
      <w:tr>
        <w:tc>
          <w:tcPr>
            <w:tcW w:type="dxa" w:w="2520"/>
            <w:shd w:fill="FFFFFF"/>
            <w:tcMar>
              <w:top w:w="50" w:type="dxa"/>
              <w:bottom w:w="50" w:type="dxa"/>
              <w:left w:w="80" w:type="dxa"/>
              <w:right w:w="80" w:type="dxa"/>
            </w:tcMar>
          </w:tcPr>
          <w:p>
            <w:pPr>
              <w:jc w:val="left"/>
            </w:pPr>
            <w:r>
              <w:rPr>
                <w:rFonts w:ascii="Calibri" w:hAnsi="Calibri"/>
                <w:color w:val="282828"/>
                <w:sz w:val="14"/>
              </w:rPr>
              <w:t>Local Outlier Factor (LOF)</w:t>
            </w:r>
          </w:p>
        </w:tc>
        <w:tc>
          <w:tcPr>
            <w:tcW w:type="dxa" w:w="2520"/>
            <w:shd w:fill="FFFFFF"/>
            <w:tcMar>
              <w:top w:w="50" w:type="dxa"/>
              <w:bottom w:w="50" w:type="dxa"/>
              <w:left w:w="80" w:type="dxa"/>
              <w:right w:w="80" w:type="dxa"/>
            </w:tcMar>
          </w:tcPr>
          <w:p>
            <w:pPr>
              <w:jc w:val="center"/>
            </w:pPr>
            <w:r>
              <w:rPr>
                <w:rFonts w:ascii="Calibri" w:hAnsi="Calibri"/>
                <w:color w:val="282828"/>
                <w:sz w:val="14"/>
              </w:rPr>
              <w:t>n_neighbors</w:t>
            </w:r>
          </w:p>
        </w:tc>
        <w:tc>
          <w:tcPr>
            <w:tcW w:type="dxa" w:w="2520"/>
            <w:shd w:fill="FFFFFF"/>
            <w:tcMar>
              <w:top w:w="50" w:type="dxa"/>
              <w:bottom w:w="50" w:type="dxa"/>
              <w:left w:w="80" w:type="dxa"/>
              <w:right w:w="80" w:type="dxa"/>
            </w:tcMar>
          </w:tcPr>
          <w:p>
            <w:pPr>
              <w:jc w:val="center"/>
            </w:pPr>
            <w:r>
              <w:rPr>
                <w:rFonts w:ascii="Calibri" w:hAnsi="Calibri"/>
                <w:color w:val="282828"/>
                <w:sz w:val="14"/>
              </w:rPr>
              <w:t>20</w:t>
            </w:r>
          </w:p>
        </w:tc>
        <w:tc>
          <w:tcPr>
            <w:tcW w:type="dxa" w:w="2520"/>
            <w:shd w:fill="FFFFFF"/>
            <w:tcMar>
              <w:top w:w="50" w:type="dxa"/>
              <w:bottom w:w="50" w:type="dxa"/>
              <w:left w:w="80" w:type="dxa"/>
              <w:right w:w="80" w:type="dxa"/>
            </w:tcMar>
          </w:tcPr>
          <w:p>
            <w:pPr>
              <w:jc w:val="left"/>
            </w:pPr>
            <w:r>
              <w:rPr>
                <w:rFonts w:ascii="Calibri" w:hAnsi="Calibri"/>
                <w:color w:val="282828"/>
                <w:sz w:val="14"/>
              </w:rPr>
              <w:t>Defines local density neighborhood for comparison against surrounding points; standard benchmark for tabular survey distributions.</w:t>
            </w:r>
          </w:p>
        </w:tc>
      </w:tr>
    </w:tbl>
    <w:p>
      <w:pPr>
        <w:spacing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