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C110C" w14:textId="23DB1484" w:rsidR="00A7350E" w:rsidRDefault="00422E36">
      <w:r>
        <w:t xml:space="preserve">Devang magare </w:t>
      </w:r>
    </w:p>
    <w:p w14:paraId="1E96EB2E" w14:textId="58E1D5A1" w:rsidR="00A7350E" w:rsidRDefault="00422E36">
      <w:r>
        <w:t xml:space="preserve">Internship - Project </w:t>
      </w:r>
      <w:r w:rsidR="00000000">
        <w:t xml:space="preserve">Financial Performance Dashboard </w:t>
      </w:r>
    </w:p>
    <w:p w14:paraId="1EC8F3E4" w14:textId="77777777" w:rsidR="00A7350E" w:rsidRDefault="00A7350E"/>
    <w:p w14:paraId="1E4143CD" w14:textId="77777777" w:rsidR="00A7350E" w:rsidRDefault="00000000">
      <w:r>
        <w:t>1. Project Objective</w:t>
      </w:r>
    </w:p>
    <w:p w14:paraId="48D2DE5F" w14:textId="77777777" w:rsidR="00A7350E" w:rsidRDefault="00000000">
      <w:r>
        <w:t>The purpose of this dashboard is to analyze and visualize the financial performance of the business. The dashboard provides a consolidated view of revenue trends, profitability, budget accuracy, product performance, receivables aging, and cash flow position. It enables management to make data‑driven decisions by quickly identifying strengths, weaknesses, and patterns in financial operations.</w:t>
      </w:r>
    </w:p>
    <w:p w14:paraId="5CA9C69D" w14:textId="77777777" w:rsidR="00A7350E" w:rsidRDefault="00A7350E"/>
    <w:p w14:paraId="783568A5" w14:textId="5658C51E" w:rsidR="00A7350E" w:rsidRDefault="00000000">
      <w:r>
        <w:t xml:space="preserve">2. </w:t>
      </w:r>
      <w:r w:rsidR="00422E36">
        <w:t xml:space="preserve">Explaining </w:t>
      </w:r>
      <w:r>
        <w:t>Logic</w:t>
      </w:r>
      <w:r w:rsidR="00422E36">
        <w:t xml:space="preserve"> </w:t>
      </w:r>
      <w:r>
        <w:t>Dashboard Component</w:t>
      </w:r>
    </w:p>
    <w:p w14:paraId="33FC8C8F" w14:textId="77777777" w:rsidR="00A7350E" w:rsidRDefault="00A7350E"/>
    <w:p w14:paraId="7AA92549" w14:textId="77777777" w:rsidR="00A7350E" w:rsidRDefault="00000000">
      <w:r>
        <w:t>A) KPI Cards (Total Revenue, EBITDA%, Net Cash, Gross Margin%)</w:t>
      </w:r>
    </w:p>
    <w:p w14:paraId="46084B78" w14:textId="77777777" w:rsidR="00A7350E" w:rsidRDefault="00000000">
      <w:r>
        <w:t>KPI cards provide a quick snapshot of business performance.</w:t>
      </w:r>
    </w:p>
    <w:p w14:paraId="47440E70" w14:textId="77777777" w:rsidR="00A7350E" w:rsidRDefault="00000000">
      <w:r>
        <w:t>• Total Revenue: Sum of all revenue across the dataset.</w:t>
      </w:r>
    </w:p>
    <w:p w14:paraId="18EAC258" w14:textId="77777777" w:rsidR="00A7350E" w:rsidRDefault="00000000">
      <w:r>
        <w:t>• EBITDA%: EBITDA ÷ Revenue — measures operational efficiency.</w:t>
      </w:r>
    </w:p>
    <w:p w14:paraId="012E73C7" w14:textId="77777777" w:rsidR="00A7350E" w:rsidRDefault="00000000">
      <w:r>
        <w:t>• Net Cash: Total Cash Inflows – Total Cash Outflows.</w:t>
      </w:r>
    </w:p>
    <w:p w14:paraId="6E1C498B" w14:textId="77777777" w:rsidR="00A7350E" w:rsidRDefault="00000000">
      <w:r>
        <w:t>• Gross Margin%: Gross Profit ÷ Total Revenue.</w:t>
      </w:r>
    </w:p>
    <w:p w14:paraId="4E3E58CD" w14:textId="77777777" w:rsidR="00A7350E" w:rsidRDefault="00A7350E"/>
    <w:p w14:paraId="48E186DD" w14:textId="77777777" w:rsidR="00A7350E" w:rsidRDefault="00000000">
      <w:r>
        <w:t>B) Revenue &amp; Profit Trend (Line Chart)</w:t>
      </w:r>
    </w:p>
    <w:p w14:paraId="0EFFB6B0" w14:textId="77777777" w:rsidR="00A7350E" w:rsidRDefault="00000000">
      <w:r>
        <w:t>Shows month‑by‑month movement of revenue and gross profit.</w:t>
      </w:r>
    </w:p>
    <w:p w14:paraId="03102EB8" w14:textId="77777777" w:rsidR="00A7350E" w:rsidRDefault="00000000">
      <w:r>
        <w:t>• Highlights seasonal trends.</w:t>
      </w:r>
    </w:p>
    <w:p w14:paraId="1EDD05D6" w14:textId="77777777" w:rsidR="00A7350E" w:rsidRDefault="00000000">
      <w:r>
        <w:t>• Reveals growth patterns and fluctuations.</w:t>
      </w:r>
    </w:p>
    <w:p w14:paraId="2035B70B" w14:textId="77777777" w:rsidR="00A7350E" w:rsidRDefault="00000000">
      <w:r>
        <w:t>• Identifies slow or peak months.</w:t>
      </w:r>
    </w:p>
    <w:p w14:paraId="47BBD260" w14:textId="77777777" w:rsidR="00A7350E" w:rsidRDefault="00A7350E"/>
    <w:p w14:paraId="0B827B41" w14:textId="77777777" w:rsidR="00A7350E" w:rsidRDefault="00000000">
      <w:r>
        <w:t>C) Budget vs Actual Variance % (Column Chart)</w:t>
      </w:r>
    </w:p>
    <w:p w14:paraId="27BF1FF1" w14:textId="77777777" w:rsidR="00A7350E" w:rsidRDefault="00000000">
      <w:r>
        <w:t>Variance % = (Actual – Budget) ÷ Budget</w:t>
      </w:r>
    </w:p>
    <w:p w14:paraId="6A392449" w14:textId="77777777" w:rsidR="00A7350E" w:rsidRDefault="00000000">
      <w:r>
        <w:t>• Shows months where actual performance beat or missed expectations.</w:t>
      </w:r>
    </w:p>
    <w:p w14:paraId="2D31E627" w14:textId="77777777" w:rsidR="00A7350E" w:rsidRDefault="00000000">
      <w:r>
        <w:lastRenderedPageBreak/>
        <w:t>• Evaluates accuracy of business forecasting.</w:t>
      </w:r>
    </w:p>
    <w:p w14:paraId="6E5733A4" w14:textId="77777777" w:rsidR="00A7350E" w:rsidRDefault="00000000">
      <w:r>
        <w:t>• Helps track budget discipline.</w:t>
      </w:r>
    </w:p>
    <w:p w14:paraId="226513BD" w14:textId="77777777" w:rsidR="00A7350E" w:rsidRDefault="00A7350E"/>
    <w:p w14:paraId="1AB30890" w14:textId="77777777" w:rsidR="00A7350E" w:rsidRDefault="00000000">
      <w:r>
        <w:t>D) Product / Service Performance (Bar Chart)</w:t>
      </w:r>
    </w:p>
    <w:p w14:paraId="615C3A0D" w14:textId="77777777" w:rsidR="00A7350E" w:rsidRDefault="00000000">
      <w:r>
        <w:t>Compares revenue contribution from different products/services.</w:t>
      </w:r>
    </w:p>
    <w:p w14:paraId="2A2BF857" w14:textId="77777777" w:rsidR="00A7350E" w:rsidRDefault="00000000">
      <w:r>
        <w:t>• Identifies top performers.</w:t>
      </w:r>
    </w:p>
    <w:p w14:paraId="73E2DF7E" w14:textId="77777777" w:rsidR="00A7350E" w:rsidRDefault="00000000">
      <w:r>
        <w:t>• Highlights underperforming segments.</w:t>
      </w:r>
    </w:p>
    <w:p w14:paraId="61A4E653" w14:textId="77777777" w:rsidR="00A7350E" w:rsidRDefault="00000000">
      <w:r>
        <w:t>• Supports resource planning and product strategy.</w:t>
      </w:r>
    </w:p>
    <w:p w14:paraId="0E24DA3E" w14:textId="77777777" w:rsidR="00A7350E" w:rsidRDefault="00A7350E"/>
    <w:p w14:paraId="36D53911" w14:textId="77777777" w:rsidR="00A7350E" w:rsidRDefault="00000000">
      <w:r>
        <w:t>E) Receivables Aging (Column Chart)</w:t>
      </w:r>
    </w:p>
    <w:p w14:paraId="2CFB1206" w14:textId="77777777" w:rsidR="00A7350E" w:rsidRDefault="00000000">
      <w:r>
        <w:t>Aging grouped into:</w:t>
      </w:r>
    </w:p>
    <w:p w14:paraId="36EF49A5" w14:textId="77777777" w:rsidR="00A7350E" w:rsidRDefault="00000000">
      <w:r>
        <w:t>• 0–30 Days</w:t>
      </w:r>
    </w:p>
    <w:p w14:paraId="14E91423" w14:textId="77777777" w:rsidR="00A7350E" w:rsidRDefault="00000000">
      <w:r>
        <w:t>• 31–60 Days</w:t>
      </w:r>
    </w:p>
    <w:p w14:paraId="4CB64A59" w14:textId="77777777" w:rsidR="00A7350E" w:rsidRDefault="00000000">
      <w:r>
        <w:t>• Shows payment collection efficiency.</w:t>
      </w:r>
    </w:p>
    <w:p w14:paraId="084F04B0" w14:textId="77777777" w:rsidR="00A7350E" w:rsidRDefault="00000000">
      <w:r>
        <w:t>• Highlights risk of delayed receivables.</w:t>
      </w:r>
    </w:p>
    <w:p w14:paraId="5A738AEF" w14:textId="77777777" w:rsidR="00A7350E" w:rsidRDefault="00000000">
      <w:r>
        <w:t>• Indicates customer payment habits.</w:t>
      </w:r>
    </w:p>
    <w:p w14:paraId="1DA5D91B" w14:textId="77777777" w:rsidR="00A7350E" w:rsidRDefault="00A7350E"/>
    <w:p w14:paraId="7E8691F5" w14:textId="77777777" w:rsidR="00A7350E" w:rsidRDefault="00000000">
      <w:r>
        <w:t>F) Cash Flow Waterfall (Waterfall Chart)</w:t>
      </w:r>
    </w:p>
    <w:p w14:paraId="0B9A6A34" w14:textId="77777777" w:rsidR="00A7350E" w:rsidRDefault="00000000">
      <w:r>
        <w:t>Visualizes:</w:t>
      </w:r>
    </w:p>
    <w:p w14:paraId="3DE90CA8" w14:textId="77777777" w:rsidR="00A7350E" w:rsidRDefault="00000000">
      <w:r>
        <w:t>• Cash Inflows (positive)</w:t>
      </w:r>
    </w:p>
    <w:p w14:paraId="3097529D" w14:textId="77777777" w:rsidR="00A7350E" w:rsidRDefault="00000000">
      <w:r>
        <w:t>• Cash Outflows (negative)</w:t>
      </w:r>
    </w:p>
    <w:p w14:paraId="384912C0" w14:textId="77777777" w:rsidR="00A7350E" w:rsidRDefault="00000000">
      <w:r>
        <w:t>• Net Cash Position (final total)</w:t>
      </w:r>
    </w:p>
    <w:p w14:paraId="66610EB0" w14:textId="77777777" w:rsidR="00A7350E" w:rsidRDefault="00000000">
      <w:r>
        <w:t>Outflows are inverted using DAX for correct waterfall representation.</w:t>
      </w:r>
    </w:p>
    <w:p w14:paraId="347D65F5" w14:textId="77777777" w:rsidR="00A7350E" w:rsidRDefault="00A7350E"/>
    <w:p w14:paraId="49BD30AF" w14:textId="77777777" w:rsidR="00A7350E" w:rsidRDefault="00000000">
      <w:r>
        <w:t>3. Key Insights from the Dashboard</w:t>
      </w:r>
    </w:p>
    <w:p w14:paraId="7A018AC1" w14:textId="77777777" w:rsidR="00A7350E" w:rsidRDefault="00000000">
      <w:r>
        <w:t>1. Revenue remains stable with signs of consistent growth.</w:t>
      </w:r>
    </w:p>
    <w:p w14:paraId="2834FE82" w14:textId="77777777" w:rsidR="00A7350E" w:rsidRDefault="00000000">
      <w:r>
        <w:lastRenderedPageBreak/>
        <w:t>2. Gross Margin% and EBITDA% indicate moderate profitability.</w:t>
      </w:r>
    </w:p>
    <w:p w14:paraId="14148663" w14:textId="77777777" w:rsidR="00A7350E" w:rsidRDefault="00000000">
      <w:r>
        <w:t>3. Budget accuracy varies across months — some exceed expectations while others fall short.</w:t>
      </w:r>
    </w:p>
    <w:p w14:paraId="7274508A" w14:textId="77777777" w:rsidR="00A7350E" w:rsidRDefault="00000000">
      <w:r>
        <w:t>4. Product C and Service X contribute the highest revenue.</w:t>
      </w:r>
    </w:p>
    <w:p w14:paraId="7342B065" w14:textId="77777777" w:rsidR="00A7350E" w:rsidRDefault="00000000">
      <w:r>
        <w:t>5. Receivables are mostly collected within 31–60 days.</w:t>
      </w:r>
    </w:p>
    <w:p w14:paraId="6076130B" w14:textId="77777777" w:rsidR="00A7350E" w:rsidRDefault="00000000">
      <w:r>
        <w:t>6. Net Cash remains positive, indicating strong liquidity.</w:t>
      </w:r>
    </w:p>
    <w:p w14:paraId="2CC56CAE" w14:textId="77777777" w:rsidR="00A7350E" w:rsidRDefault="00A7350E"/>
    <w:p w14:paraId="2CE72754" w14:textId="77777777" w:rsidR="00A7350E" w:rsidRDefault="00000000">
      <w:r>
        <w:t>4. Assumptions Used</w:t>
      </w:r>
    </w:p>
    <w:p w14:paraId="3ADC8C5F" w14:textId="77777777" w:rsidR="00A7350E" w:rsidRDefault="00000000">
      <w:r>
        <w:t>1. Dataset is complete and accurate.</w:t>
      </w:r>
    </w:p>
    <w:p w14:paraId="3A01DD99" w14:textId="77777777" w:rsidR="00A7350E" w:rsidRDefault="00000000">
      <w:r>
        <w:t>2. All values are in the same currency.</w:t>
      </w:r>
    </w:p>
    <w:p w14:paraId="749EFC30" w14:textId="77777777" w:rsidR="00A7350E" w:rsidRDefault="00000000">
      <w:r>
        <w:t>3. Missing or null values were assumed to not impact results significantly.</w:t>
      </w:r>
    </w:p>
    <w:p w14:paraId="123DB3D4" w14:textId="77777777" w:rsidR="00A7350E" w:rsidRDefault="00000000">
      <w:r>
        <w:t>4. Budget and actual amounts belong to the same fiscal period.</w:t>
      </w:r>
    </w:p>
    <w:p w14:paraId="64287F31" w14:textId="77777777" w:rsidR="00A7350E" w:rsidRDefault="00000000">
      <w:r>
        <w:t>5. KPIs calculated across the entire dataset unless filtered.</w:t>
      </w:r>
    </w:p>
    <w:p w14:paraId="00A456F7" w14:textId="77777777" w:rsidR="00A7350E" w:rsidRDefault="00A7350E"/>
    <w:p w14:paraId="3BA9053E" w14:textId="77777777" w:rsidR="00A7350E" w:rsidRDefault="00000000">
      <w:r>
        <w:t>5. Conclusion</w:t>
      </w:r>
    </w:p>
    <w:p w14:paraId="5E3AE840" w14:textId="77777777" w:rsidR="00A7350E" w:rsidRDefault="00000000">
      <w:r>
        <w:t>This dashboard offers a clear, comprehensive, and interactive financial analysis. It helps management understand revenue patterns, profitability, product performance, cash flow, and budget reliability. These insights enable data‑driven decision‑making and support strategic planning.</w:t>
      </w:r>
    </w:p>
    <w:p w14:paraId="14ECC48E" w14:textId="77777777" w:rsidR="00A7350E" w:rsidRDefault="00A7350E"/>
    <w:sectPr w:rsidR="00A735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5651481">
    <w:abstractNumId w:val="8"/>
  </w:num>
  <w:num w:numId="2" w16cid:durableId="1228875603">
    <w:abstractNumId w:val="6"/>
  </w:num>
  <w:num w:numId="3" w16cid:durableId="1838157031">
    <w:abstractNumId w:val="5"/>
  </w:num>
  <w:num w:numId="4" w16cid:durableId="974986971">
    <w:abstractNumId w:val="4"/>
  </w:num>
  <w:num w:numId="5" w16cid:durableId="1060323667">
    <w:abstractNumId w:val="7"/>
  </w:num>
  <w:num w:numId="6" w16cid:durableId="2143300746">
    <w:abstractNumId w:val="3"/>
  </w:num>
  <w:num w:numId="7" w16cid:durableId="724763926">
    <w:abstractNumId w:val="2"/>
  </w:num>
  <w:num w:numId="8" w16cid:durableId="271590104">
    <w:abstractNumId w:val="1"/>
  </w:num>
  <w:num w:numId="9" w16cid:durableId="814491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824"/>
    <w:rsid w:val="0015074B"/>
    <w:rsid w:val="0029639D"/>
    <w:rsid w:val="00326F90"/>
    <w:rsid w:val="00422E36"/>
    <w:rsid w:val="00A735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06302"/>
  <w14:defaultImageDpi w14:val="300"/>
  <w15:docId w15:val="{28B2B300-46B6-4F3E-9AE5-22344633D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Devang magare</cp:lastModifiedBy>
  <cp:revision>2</cp:revision>
  <dcterms:created xsi:type="dcterms:W3CDTF">2013-12-23T23:15:00Z</dcterms:created>
  <dcterms:modified xsi:type="dcterms:W3CDTF">2025-12-10T09:30:00Z</dcterms:modified>
  <cp:category/>
</cp:coreProperties>
</file>