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5E0B3" w:themeColor="accent6" w:themeTint="66"/>
  <w:body>
    <w:p w14:paraId="4F300BF5" w14:textId="71AF1A9E" w:rsidR="00DC6A3E" w:rsidRDefault="00DC6A3E" w:rsidP="00DC6A3E">
      <w:pPr>
        <w:pStyle w:val="Heading1"/>
        <w:rPr>
          <w:b/>
          <w:bCs/>
          <w:u w:val="single"/>
        </w:rPr>
      </w:pPr>
      <w:r w:rsidRPr="00DC6A3E">
        <w:rPr>
          <w:b/>
          <w:bCs/>
          <w:u w:val="single"/>
        </w:rPr>
        <w:t>Catastrophe Risk Analysis in Europe (1990–2024)</w:t>
      </w:r>
      <w:r w:rsidR="00DC2F91">
        <w:rPr>
          <w:b/>
          <w:bCs/>
          <w:u w:val="single"/>
        </w:rPr>
        <w:br/>
      </w:r>
    </w:p>
    <w:p w14:paraId="5473CF7D" w14:textId="77777777" w:rsidR="00DC2F91" w:rsidRPr="00DC2F91" w:rsidRDefault="00DC2F91" w:rsidP="00DC2F91"/>
    <w:p w14:paraId="01479B50" w14:textId="72CDEEB3" w:rsidR="00DC6A3E" w:rsidRPr="00DC6A3E" w:rsidRDefault="00DC6A3E" w:rsidP="00DC6A3E">
      <w:pPr>
        <w:rPr>
          <w:rFonts w:cstheme="minorHAnsi"/>
          <w:b/>
          <w14:textOutline w14:w="0" w14:cap="flat" w14:cmpd="sng" w14:algn="ctr">
            <w14:noFill/>
            <w14:prstDash w14:val="solid"/>
            <w14:round/>
          </w14:textOutline>
        </w:rPr>
      </w:pPr>
      <w:r>
        <w:rPr>
          <w:rFonts w:ascii="Times New Roman" w:hAnsi="Times New Roman" w:cs="Times New Roman"/>
          <w:b/>
          <w:u w:val="single"/>
          <w14:textOutline w14:w="0" w14:cap="flat" w14:cmpd="sng" w14:algn="ctr">
            <w14:noFill/>
            <w14:prstDash w14:val="solid"/>
            <w14:round/>
          </w14:textOutline>
        </w:rPr>
        <w:br/>
      </w:r>
      <w:r w:rsidRPr="00DC6A3E">
        <w:rPr>
          <w:rFonts w:cstheme="minorHAnsi"/>
          <w:b/>
          <w:color w:val="2F5496" w:themeColor="accent1" w:themeShade="BF"/>
          <w14:textOutline w14:w="0" w14:cap="flat" w14:cmpd="sng" w14:algn="ctr">
            <w14:noFill/>
            <w14:prstDash w14:val="solid"/>
            <w14:round/>
          </w14:textOutline>
        </w:rPr>
        <w:t>1. I</w:t>
      </w:r>
      <w:r w:rsidRPr="00C95D03">
        <w:rPr>
          <w:rFonts w:cstheme="minorHAnsi"/>
          <w:b/>
          <w:color w:val="2F5496" w:themeColor="accent1" w:themeShade="BF"/>
          <w14:textOutline w14:w="0" w14:cap="flat" w14:cmpd="sng" w14:algn="ctr">
            <w14:noFill/>
            <w14:prstDash w14:val="solid"/>
            <w14:round/>
          </w14:textOutline>
        </w:rPr>
        <w:t>NTORDUCTION</w:t>
      </w:r>
    </w:p>
    <w:p w14:paraId="331DEF5B"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t>Catastrophe (CAT) modelling forms an essential part of actuarial science and risk analysis. It helps quantify the financial and human impact of natural disasters and supports better preparedness, pricing, and capital-allocation decisions.</w:t>
      </w:r>
      <w:r w:rsidRPr="00DC6A3E">
        <w:rPr>
          <w:rFonts w:ascii="Times New Roman" w:hAnsi="Times New Roman" w:cs="Times New Roman"/>
        </w:rPr>
        <w:br/>
        <w:t xml:space="preserve">This project examines the </w:t>
      </w:r>
      <w:r w:rsidRPr="00DC6A3E">
        <w:rPr>
          <w:rFonts w:ascii="Times New Roman" w:hAnsi="Times New Roman" w:cs="Times New Roman"/>
          <w:b/>
          <w:bCs/>
        </w:rPr>
        <w:t>economic damages caused by natural disasters across Europe and the United Kingdom</w:t>
      </w:r>
      <w:r w:rsidRPr="00DC6A3E">
        <w:rPr>
          <w:rFonts w:ascii="Times New Roman" w:hAnsi="Times New Roman" w:cs="Times New Roman"/>
        </w:rPr>
        <w:t xml:space="preserve"> from 1990 to 2024. The purpose is to replicate a simplified version of what a risk or CAT analyst might perform while exploring historical loss patterns.</w:t>
      </w:r>
    </w:p>
    <w:p w14:paraId="6C97C557" w14:textId="77777777" w:rsidR="00DC6A3E" w:rsidRPr="00DC6A3E" w:rsidRDefault="00DC6A3E" w:rsidP="00DC6A3E">
      <w:pPr>
        <w:rPr>
          <w:rFonts w:cstheme="minorHAnsi"/>
          <w:color w:val="2F5496" w:themeColor="accent1" w:themeShade="BF"/>
        </w:rPr>
      </w:pPr>
      <w:r w:rsidRPr="00DC6A3E">
        <w:rPr>
          <w:rFonts w:ascii="Times New Roman" w:hAnsi="Times New Roman" w:cs="Times New Roman"/>
        </w:rPr>
        <w:pict w14:anchorId="299453DF">
          <v:rect id="_x0000_i1055" style="width:0;height:1.5pt" o:hralign="center" o:hrstd="t" o:hr="t" fillcolor="#a0a0a0" stroked="f"/>
        </w:pict>
      </w:r>
    </w:p>
    <w:p w14:paraId="232945B4" w14:textId="0163E25C" w:rsidR="00C95D03" w:rsidRPr="00DC6A3E" w:rsidRDefault="00DC6A3E" w:rsidP="00DC6A3E">
      <w:pPr>
        <w:rPr>
          <w:rFonts w:cstheme="minorHAnsi"/>
          <w:b/>
          <w:bCs/>
          <w:color w:val="2F5496" w:themeColor="accent1" w:themeShade="BF"/>
        </w:rPr>
      </w:pPr>
      <w:r w:rsidRPr="00DC6A3E">
        <w:rPr>
          <w:rFonts w:cstheme="minorHAnsi"/>
          <w:b/>
          <w:bCs/>
          <w:color w:val="2F5496" w:themeColor="accent1" w:themeShade="BF"/>
        </w:rPr>
        <w:t>2. O</w:t>
      </w:r>
      <w:r w:rsidR="00C95D03" w:rsidRPr="00C95D03">
        <w:rPr>
          <w:rFonts w:cstheme="minorHAnsi"/>
          <w:b/>
          <w:bCs/>
          <w:color w:val="2F5496" w:themeColor="accent1" w:themeShade="BF"/>
        </w:rPr>
        <w:t>BJECTIVE</w:t>
      </w:r>
    </w:p>
    <w:p w14:paraId="1B653AEA"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t>The main objectives of this project are to:</w:t>
      </w:r>
    </w:p>
    <w:p w14:paraId="1591F309" w14:textId="77777777" w:rsidR="00DC6A3E" w:rsidRPr="00DC6A3E" w:rsidRDefault="00DC6A3E" w:rsidP="00DC6A3E">
      <w:pPr>
        <w:numPr>
          <w:ilvl w:val="0"/>
          <w:numId w:val="1"/>
        </w:numPr>
        <w:rPr>
          <w:rFonts w:ascii="Times New Roman" w:hAnsi="Times New Roman" w:cs="Times New Roman"/>
        </w:rPr>
      </w:pPr>
      <w:r w:rsidRPr="00DC6A3E">
        <w:rPr>
          <w:rFonts w:ascii="Times New Roman" w:hAnsi="Times New Roman" w:cs="Times New Roman"/>
        </w:rPr>
        <w:t xml:space="preserve">Measure the </w:t>
      </w:r>
      <w:r w:rsidRPr="00DC6A3E">
        <w:rPr>
          <w:rFonts w:ascii="Times New Roman" w:hAnsi="Times New Roman" w:cs="Times New Roman"/>
          <w:b/>
          <w:bCs/>
        </w:rPr>
        <w:t>total adjusted economic losses</w:t>
      </w:r>
      <w:r w:rsidRPr="00DC6A3E">
        <w:rPr>
          <w:rFonts w:ascii="Times New Roman" w:hAnsi="Times New Roman" w:cs="Times New Roman"/>
        </w:rPr>
        <w:t xml:space="preserve"> due to natural disasters.</w:t>
      </w:r>
    </w:p>
    <w:p w14:paraId="1B255373" w14:textId="77777777" w:rsidR="00DC6A3E" w:rsidRPr="00DC6A3E" w:rsidRDefault="00DC6A3E" w:rsidP="00DC6A3E">
      <w:pPr>
        <w:numPr>
          <w:ilvl w:val="0"/>
          <w:numId w:val="1"/>
        </w:numPr>
        <w:rPr>
          <w:rFonts w:ascii="Times New Roman" w:hAnsi="Times New Roman" w:cs="Times New Roman"/>
        </w:rPr>
      </w:pPr>
      <w:r w:rsidRPr="00DC6A3E">
        <w:rPr>
          <w:rFonts w:ascii="Times New Roman" w:hAnsi="Times New Roman" w:cs="Times New Roman"/>
        </w:rPr>
        <w:t xml:space="preserve">Compare the </w:t>
      </w:r>
      <w:r w:rsidRPr="00DC6A3E">
        <w:rPr>
          <w:rFonts w:ascii="Times New Roman" w:hAnsi="Times New Roman" w:cs="Times New Roman"/>
          <w:b/>
          <w:bCs/>
        </w:rPr>
        <w:t>relative impact of different disaster types</w:t>
      </w:r>
      <w:r w:rsidRPr="00DC6A3E">
        <w:rPr>
          <w:rFonts w:ascii="Times New Roman" w:hAnsi="Times New Roman" w:cs="Times New Roman"/>
        </w:rPr>
        <w:t xml:space="preserve"> (storms, floods, earthquakes, extreme temperatures).</w:t>
      </w:r>
    </w:p>
    <w:p w14:paraId="01FF1894" w14:textId="77777777" w:rsidR="00DC6A3E" w:rsidRPr="00DC6A3E" w:rsidRDefault="00DC6A3E" w:rsidP="00DC6A3E">
      <w:pPr>
        <w:numPr>
          <w:ilvl w:val="0"/>
          <w:numId w:val="1"/>
        </w:numPr>
        <w:rPr>
          <w:rFonts w:ascii="Times New Roman" w:hAnsi="Times New Roman" w:cs="Times New Roman"/>
        </w:rPr>
      </w:pPr>
      <w:r w:rsidRPr="00DC6A3E">
        <w:rPr>
          <w:rFonts w:ascii="Times New Roman" w:hAnsi="Times New Roman" w:cs="Times New Roman"/>
        </w:rPr>
        <w:t xml:space="preserve">Identify </w:t>
      </w:r>
      <w:r w:rsidRPr="00DC6A3E">
        <w:rPr>
          <w:rFonts w:ascii="Times New Roman" w:hAnsi="Times New Roman" w:cs="Times New Roman"/>
          <w:b/>
          <w:bCs/>
        </w:rPr>
        <w:t>geographical hotspots</w:t>
      </w:r>
      <w:r w:rsidRPr="00DC6A3E">
        <w:rPr>
          <w:rFonts w:ascii="Times New Roman" w:hAnsi="Times New Roman" w:cs="Times New Roman"/>
        </w:rPr>
        <w:t xml:space="preserve"> within Europe with high financial exposure.</w:t>
      </w:r>
    </w:p>
    <w:p w14:paraId="325EA947" w14:textId="77777777" w:rsidR="00DC6A3E" w:rsidRPr="00DC6A3E" w:rsidRDefault="00DC6A3E" w:rsidP="00DC6A3E">
      <w:pPr>
        <w:numPr>
          <w:ilvl w:val="0"/>
          <w:numId w:val="1"/>
        </w:numPr>
        <w:rPr>
          <w:rFonts w:ascii="Times New Roman" w:hAnsi="Times New Roman" w:cs="Times New Roman"/>
        </w:rPr>
      </w:pPr>
      <w:r w:rsidRPr="00DC6A3E">
        <w:rPr>
          <w:rFonts w:ascii="Times New Roman" w:hAnsi="Times New Roman" w:cs="Times New Roman"/>
        </w:rPr>
        <w:t xml:space="preserve">Observe </w:t>
      </w:r>
      <w:r w:rsidRPr="00DC6A3E">
        <w:rPr>
          <w:rFonts w:ascii="Times New Roman" w:hAnsi="Times New Roman" w:cs="Times New Roman"/>
          <w:b/>
          <w:bCs/>
        </w:rPr>
        <w:t>temporal trends</w:t>
      </w:r>
      <w:r w:rsidRPr="00DC6A3E">
        <w:rPr>
          <w:rFonts w:ascii="Times New Roman" w:hAnsi="Times New Roman" w:cs="Times New Roman"/>
        </w:rPr>
        <w:t xml:space="preserve"> to determine whether the frequency or severity of losses has changed over time.</w:t>
      </w:r>
    </w:p>
    <w:p w14:paraId="7490D585" w14:textId="77777777" w:rsidR="00DC6A3E" w:rsidRPr="00DC6A3E" w:rsidRDefault="00DC6A3E" w:rsidP="00DC6A3E">
      <w:pPr>
        <w:numPr>
          <w:ilvl w:val="0"/>
          <w:numId w:val="1"/>
        </w:numPr>
        <w:rPr>
          <w:rFonts w:ascii="Times New Roman" w:hAnsi="Times New Roman" w:cs="Times New Roman"/>
        </w:rPr>
      </w:pPr>
      <w:r w:rsidRPr="00DC6A3E">
        <w:rPr>
          <w:rFonts w:ascii="Times New Roman" w:hAnsi="Times New Roman" w:cs="Times New Roman"/>
        </w:rPr>
        <w:t>Present results visually to highlight key insights for actuarial and risk-modelling purposes.</w:t>
      </w:r>
    </w:p>
    <w:p w14:paraId="735C4028"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pict w14:anchorId="3A624C3B">
          <v:rect id="_x0000_i1056" style="width:0;height:1.5pt" o:hralign="center" o:hrstd="t" o:hr="t" fillcolor="#a0a0a0" stroked="f"/>
        </w:pict>
      </w:r>
    </w:p>
    <w:p w14:paraId="35162DA7" w14:textId="10EFB1DB" w:rsidR="00DC6A3E" w:rsidRPr="00DC6A3E" w:rsidRDefault="00DC6A3E" w:rsidP="00DC6A3E">
      <w:pPr>
        <w:rPr>
          <w:rFonts w:cstheme="minorHAnsi"/>
          <w:b/>
          <w:bCs/>
          <w:color w:val="2F5496" w:themeColor="accent1" w:themeShade="BF"/>
        </w:rPr>
      </w:pPr>
      <w:r w:rsidRPr="00DC6A3E">
        <w:rPr>
          <w:rFonts w:cstheme="minorHAnsi"/>
          <w:b/>
          <w:bCs/>
          <w:color w:val="2F5496" w:themeColor="accent1" w:themeShade="BF"/>
        </w:rPr>
        <w:t>3. D</w:t>
      </w:r>
      <w:r w:rsidR="00C95D03" w:rsidRPr="00C95D03">
        <w:rPr>
          <w:rFonts w:cstheme="minorHAnsi"/>
          <w:b/>
          <w:bCs/>
          <w:color w:val="2F5496" w:themeColor="accent1" w:themeShade="BF"/>
        </w:rPr>
        <w:t>ATA</w:t>
      </w:r>
      <w:r w:rsidRPr="00DC6A3E">
        <w:rPr>
          <w:rFonts w:cstheme="minorHAnsi"/>
          <w:b/>
          <w:bCs/>
          <w:color w:val="2F5496" w:themeColor="accent1" w:themeShade="BF"/>
        </w:rPr>
        <w:t xml:space="preserve"> S</w:t>
      </w:r>
      <w:r w:rsidR="00C95D03" w:rsidRPr="00C95D03">
        <w:rPr>
          <w:rFonts w:cstheme="minorHAnsi"/>
          <w:b/>
          <w:bCs/>
          <w:color w:val="2F5496" w:themeColor="accent1" w:themeShade="BF"/>
        </w:rPr>
        <w:t>OURCE</w:t>
      </w:r>
    </w:p>
    <w:p w14:paraId="2EE22188"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t xml:space="preserve">The dataset used was obtained from the </w:t>
      </w:r>
      <w:r w:rsidRPr="00DC6A3E">
        <w:rPr>
          <w:rFonts w:ascii="Times New Roman" w:hAnsi="Times New Roman" w:cs="Times New Roman"/>
          <w:b/>
          <w:bCs/>
        </w:rPr>
        <w:t>EM-DAT International Disaster Database</w:t>
      </w:r>
      <w:r w:rsidRPr="00DC6A3E">
        <w:rPr>
          <w:rFonts w:ascii="Times New Roman" w:hAnsi="Times New Roman" w:cs="Times New Roman"/>
        </w:rPr>
        <w:t>, maintained by the Centre for Research on the Epidemiology of Disasters (CRED).</w:t>
      </w:r>
      <w:r w:rsidRPr="00DC6A3E">
        <w:rPr>
          <w:rFonts w:ascii="Times New Roman" w:hAnsi="Times New Roman" w:cs="Times New Roman"/>
        </w:rPr>
        <w:br/>
        <w:t>Key variables include:</w:t>
      </w:r>
    </w:p>
    <w:p w14:paraId="342D2B49" w14:textId="77777777" w:rsidR="00DC6A3E" w:rsidRPr="00DC6A3E" w:rsidRDefault="00DC6A3E" w:rsidP="00DC6A3E">
      <w:pPr>
        <w:numPr>
          <w:ilvl w:val="0"/>
          <w:numId w:val="2"/>
        </w:numPr>
        <w:rPr>
          <w:rFonts w:ascii="Times New Roman" w:hAnsi="Times New Roman" w:cs="Times New Roman"/>
        </w:rPr>
      </w:pPr>
      <w:r w:rsidRPr="00DC6A3E">
        <w:rPr>
          <w:rFonts w:ascii="Times New Roman" w:hAnsi="Times New Roman" w:cs="Times New Roman"/>
        </w:rPr>
        <w:t>Disaster Type</w:t>
      </w:r>
    </w:p>
    <w:p w14:paraId="43E250EF" w14:textId="77777777" w:rsidR="00DC6A3E" w:rsidRPr="00DC6A3E" w:rsidRDefault="00DC6A3E" w:rsidP="00DC6A3E">
      <w:pPr>
        <w:numPr>
          <w:ilvl w:val="0"/>
          <w:numId w:val="2"/>
        </w:numPr>
        <w:rPr>
          <w:rFonts w:ascii="Times New Roman" w:hAnsi="Times New Roman" w:cs="Times New Roman"/>
        </w:rPr>
      </w:pPr>
      <w:r w:rsidRPr="00DC6A3E">
        <w:rPr>
          <w:rFonts w:ascii="Times New Roman" w:hAnsi="Times New Roman" w:cs="Times New Roman"/>
        </w:rPr>
        <w:t>Country</w:t>
      </w:r>
    </w:p>
    <w:p w14:paraId="5C47AA41" w14:textId="77777777" w:rsidR="00DC6A3E" w:rsidRPr="00DC6A3E" w:rsidRDefault="00DC6A3E" w:rsidP="00DC6A3E">
      <w:pPr>
        <w:numPr>
          <w:ilvl w:val="0"/>
          <w:numId w:val="2"/>
        </w:numPr>
        <w:rPr>
          <w:rFonts w:ascii="Times New Roman" w:hAnsi="Times New Roman" w:cs="Times New Roman"/>
        </w:rPr>
      </w:pPr>
      <w:r w:rsidRPr="00DC6A3E">
        <w:rPr>
          <w:rFonts w:ascii="Times New Roman" w:hAnsi="Times New Roman" w:cs="Times New Roman"/>
        </w:rPr>
        <w:t>Start Year</w:t>
      </w:r>
    </w:p>
    <w:p w14:paraId="445B59C1" w14:textId="77777777" w:rsidR="00DC6A3E" w:rsidRPr="00DC6A3E" w:rsidRDefault="00DC6A3E" w:rsidP="00DC6A3E">
      <w:pPr>
        <w:numPr>
          <w:ilvl w:val="0"/>
          <w:numId w:val="2"/>
        </w:numPr>
        <w:rPr>
          <w:rFonts w:ascii="Times New Roman" w:hAnsi="Times New Roman" w:cs="Times New Roman"/>
        </w:rPr>
      </w:pPr>
      <w:r w:rsidRPr="00DC6A3E">
        <w:rPr>
          <w:rFonts w:ascii="Times New Roman" w:hAnsi="Times New Roman" w:cs="Times New Roman"/>
        </w:rPr>
        <w:t>Total Deaths</w:t>
      </w:r>
    </w:p>
    <w:p w14:paraId="7F8F084B" w14:textId="77777777" w:rsidR="00DC6A3E" w:rsidRPr="00DC6A3E" w:rsidRDefault="00DC6A3E" w:rsidP="00DC6A3E">
      <w:pPr>
        <w:numPr>
          <w:ilvl w:val="0"/>
          <w:numId w:val="2"/>
        </w:numPr>
        <w:rPr>
          <w:rFonts w:ascii="Times New Roman" w:hAnsi="Times New Roman" w:cs="Times New Roman"/>
        </w:rPr>
      </w:pPr>
      <w:r w:rsidRPr="00DC6A3E">
        <w:rPr>
          <w:rFonts w:ascii="Times New Roman" w:hAnsi="Times New Roman" w:cs="Times New Roman"/>
        </w:rPr>
        <w:lastRenderedPageBreak/>
        <w:t>Total Affected</w:t>
      </w:r>
    </w:p>
    <w:p w14:paraId="2D3E1484" w14:textId="77777777" w:rsidR="00DC6A3E" w:rsidRPr="00DC6A3E" w:rsidRDefault="00DC6A3E" w:rsidP="00DC6A3E">
      <w:pPr>
        <w:numPr>
          <w:ilvl w:val="0"/>
          <w:numId w:val="2"/>
        </w:numPr>
        <w:rPr>
          <w:rFonts w:ascii="Times New Roman" w:hAnsi="Times New Roman" w:cs="Times New Roman"/>
        </w:rPr>
      </w:pPr>
      <w:r w:rsidRPr="00DC6A3E">
        <w:rPr>
          <w:rFonts w:ascii="Times New Roman" w:hAnsi="Times New Roman" w:cs="Times New Roman"/>
        </w:rPr>
        <w:t xml:space="preserve">Total Damage, </w:t>
      </w:r>
      <w:proofErr w:type="gramStart"/>
      <w:r w:rsidRPr="00DC6A3E">
        <w:rPr>
          <w:rFonts w:ascii="Times New Roman" w:hAnsi="Times New Roman" w:cs="Times New Roman"/>
        </w:rPr>
        <w:t>Adjusted</w:t>
      </w:r>
      <w:proofErr w:type="gramEnd"/>
      <w:r w:rsidRPr="00DC6A3E">
        <w:rPr>
          <w:rFonts w:ascii="Times New Roman" w:hAnsi="Times New Roman" w:cs="Times New Roman"/>
        </w:rPr>
        <w:t xml:space="preserve"> (’000 US$) — inflation-adjusted damages expressed in thousands of US dollars.</w:t>
      </w:r>
    </w:p>
    <w:p w14:paraId="41A5DBC1"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t>Only European and UK records between 1990 and 2024 were retained for analysis. Rows with missing or zero values for total damage were reviewed and, where necessary, excluded from financial summaries.</w:t>
      </w:r>
    </w:p>
    <w:p w14:paraId="12EC3FC0"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pict w14:anchorId="68135271">
          <v:rect id="_x0000_i1057" style="width:0;height:1.5pt" o:hralign="center" o:hrstd="t" o:hr="t" fillcolor="#a0a0a0" stroked="f"/>
        </w:pict>
      </w:r>
    </w:p>
    <w:p w14:paraId="0C566AEA" w14:textId="24AE634D" w:rsidR="00DC6A3E" w:rsidRPr="00DC6A3E" w:rsidRDefault="00DC6A3E" w:rsidP="00DC6A3E">
      <w:pPr>
        <w:rPr>
          <w:rFonts w:cstheme="minorHAnsi"/>
          <w:b/>
          <w:bCs/>
          <w:color w:val="2F5496" w:themeColor="accent1" w:themeShade="BF"/>
        </w:rPr>
      </w:pPr>
      <w:r w:rsidRPr="00DC6A3E">
        <w:rPr>
          <w:rFonts w:cstheme="minorHAnsi"/>
          <w:b/>
          <w:bCs/>
          <w:color w:val="2F5496" w:themeColor="accent1" w:themeShade="BF"/>
        </w:rPr>
        <w:t>4. M</w:t>
      </w:r>
      <w:r w:rsidR="00C95D03" w:rsidRPr="00C95D03">
        <w:rPr>
          <w:rFonts w:cstheme="minorHAnsi"/>
          <w:b/>
          <w:bCs/>
          <w:color w:val="2F5496" w:themeColor="accent1" w:themeShade="BF"/>
        </w:rPr>
        <w:t>ETHODOLOGY</w:t>
      </w:r>
    </w:p>
    <w:p w14:paraId="6A505564" w14:textId="77777777" w:rsidR="00DC6A3E" w:rsidRPr="00DC6A3E" w:rsidRDefault="00DC6A3E" w:rsidP="00DC6A3E">
      <w:pPr>
        <w:numPr>
          <w:ilvl w:val="0"/>
          <w:numId w:val="3"/>
        </w:numPr>
        <w:rPr>
          <w:rFonts w:ascii="Times New Roman" w:hAnsi="Times New Roman" w:cs="Times New Roman"/>
        </w:rPr>
      </w:pPr>
      <w:r w:rsidRPr="00DC6A3E">
        <w:rPr>
          <w:rFonts w:ascii="Times New Roman" w:hAnsi="Times New Roman" w:cs="Times New Roman"/>
          <w:b/>
          <w:bCs/>
        </w:rPr>
        <w:t>Data Cleaning</w:t>
      </w:r>
    </w:p>
    <w:p w14:paraId="26E8DAFC" w14:textId="77777777" w:rsidR="00DC6A3E" w:rsidRPr="00DC6A3E" w:rsidRDefault="00DC6A3E" w:rsidP="00DC6A3E">
      <w:pPr>
        <w:numPr>
          <w:ilvl w:val="1"/>
          <w:numId w:val="3"/>
        </w:numPr>
        <w:rPr>
          <w:rFonts w:ascii="Times New Roman" w:hAnsi="Times New Roman" w:cs="Times New Roman"/>
        </w:rPr>
      </w:pPr>
      <w:r w:rsidRPr="00DC6A3E">
        <w:rPr>
          <w:rFonts w:ascii="Times New Roman" w:hAnsi="Times New Roman" w:cs="Times New Roman"/>
        </w:rPr>
        <w:t>Removed duplicate entries and irrelevant columns (e.g., end year).</w:t>
      </w:r>
    </w:p>
    <w:p w14:paraId="4E25C07A" w14:textId="77777777" w:rsidR="00DC6A3E" w:rsidRPr="00DC6A3E" w:rsidRDefault="00DC6A3E" w:rsidP="00DC6A3E">
      <w:pPr>
        <w:numPr>
          <w:ilvl w:val="1"/>
          <w:numId w:val="3"/>
        </w:numPr>
        <w:rPr>
          <w:rFonts w:ascii="Times New Roman" w:hAnsi="Times New Roman" w:cs="Times New Roman"/>
        </w:rPr>
      </w:pPr>
      <w:r w:rsidRPr="00DC6A3E">
        <w:rPr>
          <w:rFonts w:ascii="Times New Roman" w:hAnsi="Times New Roman" w:cs="Times New Roman"/>
        </w:rPr>
        <w:t>Left missing cells for Total Damage as blanks rather than substituting artificial values.</w:t>
      </w:r>
    </w:p>
    <w:p w14:paraId="1955D460" w14:textId="77777777" w:rsidR="00DC6A3E" w:rsidRPr="00DC6A3E" w:rsidRDefault="00DC6A3E" w:rsidP="00DC6A3E">
      <w:pPr>
        <w:numPr>
          <w:ilvl w:val="1"/>
          <w:numId w:val="3"/>
        </w:numPr>
        <w:rPr>
          <w:rFonts w:ascii="Times New Roman" w:hAnsi="Times New Roman" w:cs="Times New Roman"/>
        </w:rPr>
      </w:pPr>
      <w:r w:rsidRPr="00DC6A3E">
        <w:rPr>
          <w:rFonts w:ascii="Times New Roman" w:hAnsi="Times New Roman" w:cs="Times New Roman"/>
        </w:rPr>
        <w:t>Ensured numeric fields were properly formatted for analysis.</w:t>
      </w:r>
    </w:p>
    <w:p w14:paraId="0CC1285E" w14:textId="77777777" w:rsidR="00DC6A3E" w:rsidRPr="00FD1579" w:rsidRDefault="00DC6A3E" w:rsidP="00DC6A3E">
      <w:pPr>
        <w:numPr>
          <w:ilvl w:val="0"/>
          <w:numId w:val="3"/>
        </w:numPr>
        <w:rPr>
          <w:rFonts w:ascii="Times New Roman" w:hAnsi="Times New Roman" w:cs="Times New Roman"/>
        </w:rPr>
      </w:pPr>
      <w:r w:rsidRPr="00DC6A3E">
        <w:rPr>
          <w:rFonts w:ascii="Times New Roman" w:hAnsi="Times New Roman" w:cs="Times New Roman"/>
          <w:b/>
          <w:bCs/>
        </w:rPr>
        <w:t>PivotTable Analysis</w:t>
      </w:r>
    </w:p>
    <w:p w14:paraId="79B3F17C" w14:textId="531A7AEF" w:rsidR="00FD1579" w:rsidRPr="00FD1579" w:rsidRDefault="00FD1579" w:rsidP="00FD1579">
      <w:pPr>
        <w:numPr>
          <w:ilvl w:val="1"/>
          <w:numId w:val="3"/>
        </w:numPr>
        <w:rPr>
          <w:rFonts w:ascii="Times New Roman" w:hAnsi="Times New Roman" w:cs="Times New Roman"/>
        </w:rPr>
      </w:pPr>
      <w:r w:rsidRPr="00DC6A3E">
        <w:rPr>
          <w:rFonts w:ascii="Times New Roman" w:hAnsi="Times New Roman" w:cs="Times New Roman"/>
          <w:b/>
          <w:bCs/>
        </w:rPr>
        <w:t>Pivot 1:</w:t>
      </w:r>
      <w:r w:rsidRPr="00DC6A3E">
        <w:rPr>
          <w:rFonts w:ascii="Times New Roman" w:hAnsi="Times New Roman" w:cs="Times New Roman"/>
        </w:rPr>
        <w:t xml:space="preserve"> Sum of Total Damage, Adjusted by Disaster Type.</w:t>
      </w:r>
      <w:r>
        <w:rPr>
          <w:rFonts w:ascii="Times New Roman" w:hAnsi="Times New Roman" w:cs="Times New Roman"/>
        </w:rPr>
        <w:t xml:space="preserve"> (Appendix </w:t>
      </w:r>
      <w:r>
        <w:rPr>
          <w:rFonts w:ascii="Times New Roman" w:hAnsi="Times New Roman" w:cs="Times New Roman"/>
        </w:rPr>
        <w:t>Table</w:t>
      </w:r>
      <w:r>
        <w:rPr>
          <w:rFonts w:ascii="Times New Roman" w:hAnsi="Times New Roman" w:cs="Times New Roman"/>
        </w:rPr>
        <w:t>1)</w:t>
      </w:r>
    </w:p>
    <w:p w14:paraId="58327D84" w14:textId="77777777" w:rsidR="00FD1579" w:rsidRPr="00DC6A3E" w:rsidRDefault="00FD1579" w:rsidP="00FD1579">
      <w:pPr>
        <w:ind w:left="1080"/>
        <w:rPr>
          <w:rFonts w:ascii="Times New Roman" w:hAnsi="Times New Roman" w:cs="Times New Roman"/>
        </w:rPr>
      </w:pPr>
    </w:p>
    <w:p w14:paraId="627C0917" w14:textId="1243629C" w:rsidR="00DC6A3E" w:rsidRPr="00DC6A3E" w:rsidRDefault="00DC6A3E" w:rsidP="00DC6A3E">
      <w:pPr>
        <w:numPr>
          <w:ilvl w:val="1"/>
          <w:numId w:val="3"/>
        </w:numPr>
        <w:rPr>
          <w:rFonts w:ascii="Times New Roman" w:hAnsi="Times New Roman" w:cs="Times New Roman"/>
        </w:rPr>
      </w:pPr>
      <w:r w:rsidRPr="00DC6A3E">
        <w:rPr>
          <w:rFonts w:ascii="Times New Roman" w:hAnsi="Times New Roman" w:cs="Times New Roman"/>
          <w:b/>
          <w:bCs/>
        </w:rPr>
        <w:t>Pivot 2:</w:t>
      </w:r>
      <w:r w:rsidRPr="00DC6A3E">
        <w:rPr>
          <w:rFonts w:ascii="Times New Roman" w:hAnsi="Times New Roman" w:cs="Times New Roman"/>
        </w:rPr>
        <w:t xml:space="preserve"> Sum of Total Damage, Adjusted by Start Year (to show trends).</w:t>
      </w:r>
      <w:r w:rsidR="00FD1579" w:rsidRPr="00FD1579">
        <w:rPr>
          <w:rFonts w:ascii="Times New Roman" w:hAnsi="Times New Roman" w:cs="Times New Roman"/>
        </w:rPr>
        <w:t xml:space="preserve"> </w:t>
      </w:r>
      <w:r w:rsidR="00FD1579">
        <w:rPr>
          <w:rFonts w:ascii="Times New Roman" w:hAnsi="Times New Roman" w:cs="Times New Roman"/>
        </w:rPr>
        <w:t>(Appendix Table</w:t>
      </w:r>
      <w:r w:rsidR="00FD1579">
        <w:rPr>
          <w:rFonts w:ascii="Times New Roman" w:hAnsi="Times New Roman" w:cs="Times New Roman"/>
        </w:rPr>
        <w:t xml:space="preserve"> 2</w:t>
      </w:r>
      <w:r w:rsidR="00FD1579">
        <w:rPr>
          <w:rFonts w:ascii="Times New Roman" w:hAnsi="Times New Roman" w:cs="Times New Roman"/>
        </w:rPr>
        <w:t>)</w:t>
      </w:r>
      <w:r w:rsidR="00FD1579" w:rsidRPr="00FD1579">
        <w:rPr>
          <w:rFonts w:ascii="Times New Roman" w:hAnsi="Times New Roman" w:cs="Times New Roman"/>
        </w:rPr>
        <w:br/>
      </w:r>
    </w:p>
    <w:p w14:paraId="4B75A546" w14:textId="0DA2DF39" w:rsidR="00DC6A3E" w:rsidRPr="00DC6A3E" w:rsidRDefault="00DC6A3E" w:rsidP="00DC6A3E">
      <w:pPr>
        <w:numPr>
          <w:ilvl w:val="1"/>
          <w:numId w:val="3"/>
        </w:numPr>
        <w:rPr>
          <w:rFonts w:ascii="Times New Roman" w:hAnsi="Times New Roman" w:cs="Times New Roman"/>
        </w:rPr>
      </w:pPr>
      <w:r w:rsidRPr="00DC6A3E">
        <w:rPr>
          <w:rFonts w:ascii="Times New Roman" w:hAnsi="Times New Roman" w:cs="Times New Roman"/>
          <w:b/>
          <w:bCs/>
        </w:rPr>
        <w:t>Pivot 3:</w:t>
      </w:r>
      <w:r w:rsidRPr="00DC6A3E">
        <w:rPr>
          <w:rFonts w:ascii="Times New Roman" w:hAnsi="Times New Roman" w:cs="Times New Roman"/>
        </w:rPr>
        <w:t xml:space="preserve"> Sum of Total Damage, Adjusted by Country.</w:t>
      </w:r>
      <w:r w:rsidR="00FD1579" w:rsidRPr="00FD1579">
        <w:rPr>
          <w:rFonts w:ascii="Times New Roman" w:hAnsi="Times New Roman" w:cs="Times New Roman"/>
        </w:rPr>
        <w:t xml:space="preserve"> </w:t>
      </w:r>
      <w:r w:rsidR="00FD1579">
        <w:rPr>
          <w:rFonts w:ascii="Times New Roman" w:hAnsi="Times New Roman" w:cs="Times New Roman"/>
        </w:rPr>
        <w:t xml:space="preserve">(Appendix </w:t>
      </w:r>
      <w:r w:rsidR="00FD1579">
        <w:rPr>
          <w:rFonts w:ascii="Times New Roman" w:hAnsi="Times New Roman" w:cs="Times New Roman"/>
        </w:rPr>
        <w:t>Table3</w:t>
      </w:r>
      <w:r w:rsidR="00FD1579">
        <w:rPr>
          <w:rFonts w:ascii="Times New Roman" w:hAnsi="Times New Roman" w:cs="Times New Roman"/>
        </w:rPr>
        <w:t>)</w:t>
      </w:r>
    </w:p>
    <w:p w14:paraId="685F4D47" w14:textId="001FD98F" w:rsidR="00DC6A3E" w:rsidRPr="00DC6A3E" w:rsidRDefault="00DC6A3E" w:rsidP="00DC2F91">
      <w:pPr>
        <w:numPr>
          <w:ilvl w:val="0"/>
          <w:numId w:val="3"/>
        </w:numPr>
        <w:rPr>
          <w:rFonts w:ascii="Times New Roman" w:hAnsi="Times New Roman" w:cs="Times New Roman"/>
        </w:rPr>
      </w:pPr>
      <w:r w:rsidRPr="00DC6A3E">
        <w:rPr>
          <w:rFonts w:ascii="Times New Roman" w:hAnsi="Times New Roman" w:cs="Times New Roman"/>
          <w:b/>
          <w:bCs/>
        </w:rPr>
        <w:t>Visualisation</w:t>
      </w:r>
    </w:p>
    <w:p w14:paraId="2B248D1D" w14:textId="0884092F" w:rsidR="00DC6A3E" w:rsidRPr="00DC6A3E" w:rsidRDefault="00DC6A3E" w:rsidP="00DC2F91">
      <w:pPr>
        <w:rPr>
          <w:rFonts w:ascii="Times New Roman" w:hAnsi="Times New Roman" w:cs="Times New Roman"/>
        </w:rPr>
      </w:pPr>
      <w:r w:rsidRPr="00DC6A3E">
        <w:rPr>
          <w:rFonts w:ascii="Times New Roman" w:hAnsi="Times New Roman" w:cs="Times New Roman"/>
        </w:rPr>
        <w:t>Each chart was formatted using clear axis titles, readable labels, and consistent colour palettes</w:t>
      </w:r>
      <w:r>
        <w:rPr>
          <w:rFonts w:ascii="Times New Roman" w:hAnsi="Times New Roman" w:cs="Times New Roman"/>
        </w:rPr>
        <w:t>.</w:t>
      </w:r>
    </w:p>
    <w:p w14:paraId="34464FBA"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pict w14:anchorId="484E9F2E">
          <v:rect id="_x0000_i1058" style="width:0;height:1.5pt" o:hralign="center" o:hrstd="t" o:hr="t" fillcolor="#a0a0a0" stroked="f"/>
        </w:pict>
      </w:r>
    </w:p>
    <w:p w14:paraId="086D6346" w14:textId="735A57DA" w:rsidR="00DC6A3E" w:rsidRPr="00DC6A3E" w:rsidRDefault="00DC6A3E" w:rsidP="00DC6A3E">
      <w:pPr>
        <w:rPr>
          <w:rFonts w:ascii="Calibri" w:hAnsi="Calibri" w:cs="Calibri"/>
          <w:b/>
          <w:bCs/>
          <w:color w:val="2F5496" w:themeColor="accent1" w:themeShade="BF"/>
        </w:rPr>
      </w:pPr>
      <w:r w:rsidRPr="00DC6A3E">
        <w:rPr>
          <w:rFonts w:ascii="Calibri" w:hAnsi="Calibri" w:cs="Calibri"/>
          <w:b/>
          <w:bCs/>
          <w:color w:val="2F5496" w:themeColor="accent1" w:themeShade="BF"/>
        </w:rPr>
        <w:t xml:space="preserve">5. </w:t>
      </w:r>
      <w:r w:rsidRPr="00DC6A3E">
        <w:rPr>
          <w:rFonts w:cstheme="minorHAnsi"/>
          <w:b/>
          <w:bCs/>
          <w:color w:val="2F5496" w:themeColor="accent1" w:themeShade="BF"/>
        </w:rPr>
        <w:t>F</w:t>
      </w:r>
      <w:r w:rsidR="00C95D03" w:rsidRPr="00C95D03">
        <w:rPr>
          <w:rFonts w:cstheme="minorHAnsi"/>
          <w:b/>
          <w:bCs/>
          <w:color w:val="2F5496" w:themeColor="accent1" w:themeShade="BF"/>
        </w:rPr>
        <w:t>INDINGS</w:t>
      </w:r>
    </w:p>
    <w:p w14:paraId="67861998"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t>The analysis revealed several noteworthy insights:</w:t>
      </w:r>
    </w:p>
    <w:p w14:paraId="1E90B9A8" w14:textId="77777777" w:rsidR="00DC6A3E" w:rsidRPr="00DC6A3E" w:rsidRDefault="00DC6A3E" w:rsidP="00DC6A3E">
      <w:pPr>
        <w:numPr>
          <w:ilvl w:val="0"/>
          <w:numId w:val="4"/>
        </w:numPr>
        <w:rPr>
          <w:rFonts w:ascii="Times New Roman" w:hAnsi="Times New Roman" w:cs="Times New Roman"/>
        </w:rPr>
      </w:pPr>
      <w:r w:rsidRPr="00DC6A3E">
        <w:rPr>
          <w:rFonts w:ascii="Times New Roman" w:hAnsi="Times New Roman" w:cs="Times New Roman"/>
          <w:b/>
          <w:bCs/>
        </w:rPr>
        <w:t>Disaster Type Impact:</w:t>
      </w:r>
      <w:r w:rsidRPr="00DC6A3E">
        <w:rPr>
          <w:rFonts w:ascii="Times New Roman" w:hAnsi="Times New Roman" w:cs="Times New Roman"/>
        </w:rPr>
        <w:br/>
        <w:t>Storms and floods account for the majority of recorded financial losses across Europe. Storm events alone contribute a significant proportion of total damages, followed by floods and extreme temperatures.</w:t>
      </w:r>
    </w:p>
    <w:p w14:paraId="312F28EA" w14:textId="19598306" w:rsidR="00DC6A3E" w:rsidRDefault="00DC6A3E" w:rsidP="00DC6A3E">
      <w:pPr>
        <w:numPr>
          <w:ilvl w:val="0"/>
          <w:numId w:val="4"/>
        </w:numPr>
        <w:rPr>
          <w:rFonts w:ascii="Times New Roman" w:hAnsi="Times New Roman" w:cs="Times New Roman"/>
        </w:rPr>
      </w:pPr>
      <w:r w:rsidRPr="00DC6A3E">
        <w:rPr>
          <w:rFonts w:ascii="Times New Roman" w:hAnsi="Times New Roman" w:cs="Times New Roman"/>
          <w:b/>
          <w:bCs/>
        </w:rPr>
        <w:t>Temporal Trend:</w:t>
      </w:r>
      <w:r w:rsidRPr="00DC6A3E">
        <w:rPr>
          <w:rFonts w:ascii="Times New Roman" w:hAnsi="Times New Roman" w:cs="Times New Roman"/>
        </w:rPr>
        <w:br/>
        <w:t xml:space="preserve">From 1990 to 2024, a general upward trend in reported damages is visible, with notable spikes in certain </w:t>
      </w:r>
      <w:proofErr w:type="spellStart"/>
      <w:r w:rsidRPr="00DC6A3E">
        <w:rPr>
          <w:rFonts w:ascii="Times New Roman" w:hAnsi="Times New Roman" w:cs="Times New Roman"/>
        </w:rPr>
        <w:t>years</w:t>
      </w:r>
      <w:proofErr w:type="spellEnd"/>
      <w:r w:rsidRPr="00DC6A3E">
        <w:rPr>
          <w:rFonts w:ascii="Times New Roman" w:hAnsi="Times New Roman" w:cs="Times New Roman"/>
        </w:rPr>
        <w:t xml:space="preserve"> corresponding to major European flood and storm </w:t>
      </w:r>
      <w:r w:rsidRPr="00DC6A3E">
        <w:rPr>
          <w:rFonts w:ascii="Times New Roman" w:hAnsi="Times New Roman" w:cs="Times New Roman"/>
        </w:rPr>
        <w:lastRenderedPageBreak/>
        <w:t>events.</w:t>
      </w:r>
      <w:r w:rsidRPr="00DC6A3E">
        <w:rPr>
          <w:rFonts w:ascii="Times New Roman" w:hAnsi="Times New Roman" w:cs="Times New Roman"/>
        </w:rPr>
        <w:br/>
      </w:r>
      <w:r w:rsidR="007F3A39">
        <w:rPr>
          <w:rFonts w:ascii="Times New Roman" w:hAnsi="Times New Roman" w:cs="Times New Roman"/>
        </w:rPr>
        <w:t>(Figure 2)</w:t>
      </w:r>
      <w:r w:rsidR="007F3A39" w:rsidRPr="007F3A39">
        <w:rPr>
          <w:rFonts w:ascii="Times New Roman" w:hAnsi="Times New Roman" w:cs="Times New Roman"/>
        </w:rPr>
        <w:br/>
      </w:r>
      <w:r w:rsidR="007F3A39">
        <w:rPr>
          <w:rFonts w:ascii="Times New Roman" w:hAnsi="Times New Roman" w:cs="Times New Roman"/>
          <w:noProof/>
        </w:rPr>
        <w:drawing>
          <wp:inline distT="0" distB="0" distL="0" distR="0" wp14:anchorId="1C9C2B59" wp14:editId="1C828A2C">
            <wp:extent cx="5613400" cy="2671445"/>
            <wp:effectExtent l="0" t="0" r="6350" b="0"/>
            <wp:docPr id="157206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68193" name="Picture 15720681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3400" cy="2671445"/>
                    </a:xfrm>
                    <a:prstGeom prst="rect">
                      <a:avLst/>
                    </a:prstGeom>
                  </pic:spPr>
                </pic:pic>
              </a:graphicData>
            </a:graphic>
          </wp:inline>
        </w:drawing>
      </w:r>
    </w:p>
    <w:p w14:paraId="3F313CA6" w14:textId="77777777" w:rsidR="00DC2F91" w:rsidRDefault="00DC2F91" w:rsidP="00DC2F91">
      <w:pPr>
        <w:ind w:left="720"/>
        <w:rPr>
          <w:rFonts w:ascii="Times New Roman" w:hAnsi="Times New Roman" w:cs="Times New Roman"/>
          <w:b/>
          <w:bCs/>
        </w:rPr>
      </w:pPr>
    </w:p>
    <w:p w14:paraId="49D607F4" w14:textId="77777777" w:rsidR="00DC2F91" w:rsidRPr="00DC6A3E" w:rsidRDefault="00DC2F91" w:rsidP="00DC2F91">
      <w:pPr>
        <w:ind w:left="720"/>
        <w:rPr>
          <w:rFonts w:ascii="Times New Roman" w:hAnsi="Times New Roman" w:cs="Times New Roman"/>
        </w:rPr>
      </w:pPr>
    </w:p>
    <w:p w14:paraId="79416C66" w14:textId="2F34194C" w:rsidR="00DC6A3E" w:rsidRDefault="00DC6A3E" w:rsidP="00DC6A3E">
      <w:pPr>
        <w:numPr>
          <w:ilvl w:val="0"/>
          <w:numId w:val="4"/>
        </w:numPr>
        <w:rPr>
          <w:rFonts w:ascii="Times New Roman" w:hAnsi="Times New Roman" w:cs="Times New Roman"/>
        </w:rPr>
      </w:pPr>
      <w:r w:rsidRPr="00DC6A3E">
        <w:rPr>
          <w:rFonts w:ascii="Times New Roman" w:hAnsi="Times New Roman" w:cs="Times New Roman"/>
          <w:b/>
          <w:bCs/>
        </w:rPr>
        <w:t>Geographical Distribution:</w:t>
      </w:r>
      <w:r w:rsidRPr="00DC6A3E">
        <w:rPr>
          <w:rFonts w:ascii="Times New Roman" w:hAnsi="Times New Roman" w:cs="Times New Roman"/>
        </w:rPr>
        <w:br/>
        <w:t xml:space="preserve">Countries such as </w:t>
      </w:r>
      <w:r w:rsidRPr="00DC6A3E">
        <w:rPr>
          <w:rFonts w:ascii="Times New Roman" w:hAnsi="Times New Roman" w:cs="Times New Roman"/>
          <w:b/>
          <w:bCs/>
        </w:rPr>
        <w:t>Germany, Italy, France, Belgium, and the United Kingdom</w:t>
      </w:r>
      <w:r w:rsidRPr="00DC6A3E">
        <w:rPr>
          <w:rFonts w:ascii="Times New Roman" w:hAnsi="Times New Roman" w:cs="Times New Roman"/>
        </w:rPr>
        <w:t xml:space="preserve"> display the highest overall losses. The logarithmic scale ensures smaller nations remain visible despite the wide value range.</w:t>
      </w:r>
      <w:r w:rsidRPr="00DC6A3E">
        <w:rPr>
          <w:rFonts w:ascii="Times New Roman" w:hAnsi="Times New Roman" w:cs="Times New Roman"/>
        </w:rPr>
        <w:br/>
        <w:t>(</w:t>
      </w:r>
      <w:r w:rsidR="007F3A39">
        <w:rPr>
          <w:rFonts w:ascii="Times New Roman" w:hAnsi="Times New Roman" w:cs="Times New Roman"/>
        </w:rPr>
        <w:t>Figure 3.1)</w:t>
      </w:r>
      <w:r w:rsidR="007F3A39">
        <w:rPr>
          <w:rFonts w:ascii="Times New Roman" w:hAnsi="Times New Roman" w:cs="Times New Roman"/>
        </w:rPr>
        <w:br/>
      </w:r>
      <w:r w:rsidR="007F3A39">
        <w:rPr>
          <w:rFonts w:ascii="Times New Roman" w:hAnsi="Times New Roman" w:cs="Times New Roman"/>
          <w:noProof/>
        </w:rPr>
        <w:drawing>
          <wp:inline distT="0" distB="0" distL="0" distR="0" wp14:anchorId="5DD4CA7A" wp14:editId="2EE4D9C1">
            <wp:extent cx="5731510" cy="2347595"/>
            <wp:effectExtent l="0" t="0" r="2540" b="0"/>
            <wp:docPr id="758517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7004" name="Picture 7585170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r w:rsidR="007F3A39">
        <w:rPr>
          <w:rFonts w:ascii="Times New Roman" w:hAnsi="Times New Roman" w:cs="Times New Roman"/>
        </w:rPr>
        <w:br/>
      </w:r>
      <w:r w:rsidR="007F3A39">
        <w:rPr>
          <w:rFonts w:ascii="Times New Roman" w:hAnsi="Times New Roman" w:cs="Times New Roman"/>
        </w:rPr>
        <w:br/>
      </w:r>
      <w:r w:rsidR="007F3A39">
        <w:rPr>
          <w:rFonts w:ascii="Times New Roman" w:hAnsi="Times New Roman" w:cs="Times New Roman"/>
        </w:rPr>
        <w:lastRenderedPageBreak/>
        <w:t>(Figure 3.2)</w:t>
      </w:r>
      <w:r w:rsidR="007F3A39">
        <w:rPr>
          <w:rFonts w:ascii="Times New Roman" w:hAnsi="Times New Roman" w:cs="Times New Roman"/>
        </w:rPr>
        <w:br/>
      </w:r>
      <w:r w:rsidR="007F3A39">
        <w:rPr>
          <w:rFonts w:ascii="Times New Roman" w:hAnsi="Times New Roman" w:cs="Times New Roman"/>
          <w:noProof/>
        </w:rPr>
        <w:drawing>
          <wp:inline distT="0" distB="0" distL="0" distR="0" wp14:anchorId="1BA0DF80" wp14:editId="7477B197">
            <wp:extent cx="5273091" cy="2729372"/>
            <wp:effectExtent l="0" t="0" r="3810" b="0"/>
            <wp:docPr id="1614778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78225" name="Picture 16147782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3091" cy="2729372"/>
                    </a:xfrm>
                    <a:prstGeom prst="rect">
                      <a:avLst/>
                    </a:prstGeom>
                  </pic:spPr>
                </pic:pic>
              </a:graphicData>
            </a:graphic>
          </wp:inline>
        </w:drawing>
      </w:r>
    </w:p>
    <w:p w14:paraId="67B596AB" w14:textId="77777777" w:rsidR="00DC2F91" w:rsidRDefault="00DC2F91" w:rsidP="00DC2F91">
      <w:pPr>
        <w:rPr>
          <w:rFonts w:ascii="Times New Roman" w:hAnsi="Times New Roman" w:cs="Times New Roman"/>
        </w:rPr>
      </w:pPr>
    </w:p>
    <w:p w14:paraId="16809DE3" w14:textId="77777777" w:rsidR="00DC2F91" w:rsidRDefault="00DC2F91" w:rsidP="00DC2F91">
      <w:pPr>
        <w:rPr>
          <w:rFonts w:ascii="Times New Roman" w:hAnsi="Times New Roman" w:cs="Times New Roman"/>
        </w:rPr>
      </w:pPr>
    </w:p>
    <w:p w14:paraId="2B96B677" w14:textId="77777777" w:rsidR="00DC2F91" w:rsidRDefault="00DC2F91" w:rsidP="00DC2F91">
      <w:pPr>
        <w:rPr>
          <w:rFonts w:ascii="Times New Roman" w:hAnsi="Times New Roman" w:cs="Times New Roman"/>
        </w:rPr>
      </w:pPr>
    </w:p>
    <w:p w14:paraId="4AE7BCF4" w14:textId="77777777" w:rsidR="00DC2F91" w:rsidRDefault="00DC2F91" w:rsidP="00DC2F91">
      <w:pPr>
        <w:rPr>
          <w:rFonts w:ascii="Times New Roman" w:hAnsi="Times New Roman" w:cs="Times New Roman"/>
        </w:rPr>
      </w:pPr>
    </w:p>
    <w:p w14:paraId="7A3FED5B" w14:textId="77777777" w:rsidR="00DC2F91" w:rsidRDefault="00DC2F91" w:rsidP="00DC2F91">
      <w:pPr>
        <w:rPr>
          <w:rFonts w:ascii="Times New Roman" w:hAnsi="Times New Roman" w:cs="Times New Roman"/>
        </w:rPr>
      </w:pPr>
    </w:p>
    <w:p w14:paraId="65F58C8E" w14:textId="77777777" w:rsidR="00DC2F91" w:rsidRPr="00DC6A3E" w:rsidRDefault="00DC2F91" w:rsidP="00DC2F91">
      <w:pPr>
        <w:rPr>
          <w:rFonts w:ascii="Times New Roman" w:hAnsi="Times New Roman" w:cs="Times New Roman"/>
        </w:rPr>
      </w:pPr>
    </w:p>
    <w:p w14:paraId="5DE88BA0" w14:textId="77777777" w:rsidR="00DC6A3E" w:rsidRPr="00DC6A3E" w:rsidRDefault="00DC6A3E" w:rsidP="00DC6A3E">
      <w:pPr>
        <w:numPr>
          <w:ilvl w:val="0"/>
          <w:numId w:val="4"/>
        </w:numPr>
        <w:rPr>
          <w:rFonts w:ascii="Times New Roman" w:hAnsi="Times New Roman" w:cs="Times New Roman"/>
        </w:rPr>
      </w:pPr>
      <w:r w:rsidRPr="00DC6A3E">
        <w:rPr>
          <w:rFonts w:ascii="Times New Roman" w:hAnsi="Times New Roman" w:cs="Times New Roman"/>
          <w:b/>
          <w:bCs/>
        </w:rPr>
        <w:t>Event Concentration:</w:t>
      </w:r>
      <w:r w:rsidRPr="00DC6A3E">
        <w:rPr>
          <w:rFonts w:ascii="Times New Roman" w:hAnsi="Times New Roman" w:cs="Times New Roman"/>
        </w:rPr>
        <w:br/>
        <w:t>The majority of damages arise from a limited number of high-impact events rather than many small ones, reflecting the heavy-tailed nature typical of catastrophe losses.</w:t>
      </w:r>
    </w:p>
    <w:p w14:paraId="3D415BA8" w14:textId="2EBFBD20" w:rsidR="00DC6A3E" w:rsidRPr="00DC6A3E" w:rsidRDefault="007F3A39" w:rsidP="007F3A39">
      <w:pPr>
        <w:jc w:val="center"/>
        <w:rPr>
          <w:rFonts w:ascii="Times New Roman" w:hAnsi="Times New Roman" w:cs="Times New Roman"/>
        </w:rPr>
      </w:pPr>
      <w:r>
        <w:rPr>
          <w:rFonts w:ascii="Times New Roman" w:hAnsi="Times New Roman" w:cs="Times New Roman"/>
        </w:rPr>
        <w:t xml:space="preserve"> (Figure 1)</w:t>
      </w:r>
      <w:r>
        <w:rPr>
          <w:rFonts w:ascii="Times New Roman" w:hAnsi="Times New Roman" w:cs="Times New Roman"/>
        </w:rPr>
        <w:br/>
      </w:r>
      <w:r>
        <w:rPr>
          <w:rFonts w:ascii="Times New Roman" w:hAnsi="Times New Roman" w:cs="Times New Roman"/>
          <w:noProof/>
        </w:rPr>
        <w:drawing>
          <wp:inline distT="0" distB="0" distL="0" distR="0" wp14:anchorId="3FBADF5F" wp14:editId="4298A17B">
            <wp:extent cx="4577586" cy="2776478"/>
            <wp:effectExtent l="0" t="0" r="0" b="5080"/>
            <wp:docPr id="576268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68797" name="Picture 5762687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7586" cy="2776478"/>
                    </a:xfrm>
                    <a:prstGeom prst="rect">
                      <a:avLst/>
                    </a:prstGeom>
                  </pic:spPr>
                </pic:pic>
              </a:graphicData>
            </a:graphic>
          </wp:inline>
        </w:drawing>
      </w:r>
    </w:p>
    <w:p w14:paraId="0F661067"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lastRenderedPageBreak/>
        <w:pict w14:anchorId="0B3D714B">
          <v:rect id="_x0000_i1059" style="width:0;height:1.5pt" o:hralign="center" o:hrstd="t" o:hr="t" fillcolor="#a0a0a0" stroked="f"/>
        </w:pict>
      </w:r>
    </w:p>
    <w:p w14:paraId="7A6A37A4" w14:textId="46367A66" w:rsidR="00C95D03" w:rsidRPr="00C95D03" w:rsidRDefault="00DC6A3E" w:rsidP="00C95D03">
      <w:pPr>
        <w:rPr>
          <w:rFonts w:cstheme="minorHAnsi"/>
          <w:b/>
          <w:bCs/>
          <w:color w:val="2F5496" w:themeColor="accent1" w:themeShade="BF"/>
          <w:sz w:val="22"/>
          <w:szCs w:val="22"/>
        </w:rPr>
      </w:pPr>
      <w:r w:rsidRPr="00DC6A3E">
        <w:rPr>
          <w:rFonts w:cstheme="minorHAnsi"/>
          <w:b/>
          <w:bCs/>
          <w:color w:val="2F5496" w:themeColor="accent1" w:themeShade="BF"/>
        </w:rPr>
        <w:t>6. C</w:t>
      </w:r>
      <w:r w:rsidR="00C95D03" w:rsidRPr="00C95D03">
        <w:rPr>
          <w:rFonts w:cstheme="minorHAnsi"/>
          <w:b/>
          <w:bCs/>
          <w:color w:val="2F5496" w:themeColor="accent1" w:themeShade="BF"/>
        </w:rPr>
        <w:t>ONCLUSION</w:t>
      </w:r>
    </w:p>
    <w:p w14:paraId="056E29F3" w14:textId="77777777" w:rsidR="00DC6A3E" w:rsidRPr="00DC6A3E" w:rsidRDefault="00DC6A3E" w:rsidP="00DC6A3E">
      <w:pPr>
        <w:rPr>
          <w:rFonts w:ascii="Times New Roman" w:hAnsi="Times New Roman" w:cs="Times New Roman"/>
        </w:rPr>
      </w:pPr>
      <w:r w:rsidRPr="00DC6A3E">
        <w:rPr>
          <w:rFonts w:ascii="Times New Roman" w:hAnsi="Times New Roman" w:cs="Times New Roman"/>
        </w:rPr>
        <w:t xml:space="preserve">This analysis illustrates how actuarial principles of </w:t>
      </w:r>
      <w:r w:rsidRPr="00DC6A3E">
        <w:rPr>
          <w:rFonts w:ascii="Times New Roman" w:hAnsi="Times New Roman" w:cs="Times New Roman"/>
          <w:b/>
          <w:bCs/>
        </w:rPr>
        <w:t>risk quantification and exposure measurement</w:t>
      </w:r>
      <w:r w:rsidRPr="00DC6A3E">
        <w:rPr>
          <w:rFonts w:ascii="Times New Roman" w:hAnsi="Times New Roman" w:cs="Times New Roman"/>
        </w:rPr>
        <w:t xml:space="preserve"> can be applied using accessible tools like Excel.</w:t>
      </w:r>
      <w:r w:rsidRPr="00DC6A3E">
        <w:rPr>
          <w:rFonts w:ascii="Times New Roman" w:hAnsi="Times New Roman" w:cs="Times New Roman"/>
        </w:rPr>
        <w:br/>
        <w:t>Key takeaways include:</w:t>
      </w:r>
    </w:p>
    <w:p w14:paraId="6E4C0227" w14:textId="77777777" w:rsidR="00DC6A3E" w:rsidRPr="00DC6A3E" w:rsidRDefault="00DC6A3E" w:rsidP="00DC6A3E">
      <w:pPr>
        <w:numPr>
          <w:ilvl w:val="0"/>
          <w:numId w:val="5"/>
        </w:numPr>
        <w:rPr>
          <w:rFonts w:ascii="Times New Roman" w:hAnsi="Times New Roman" w:cs="Times New Roman"/>
        </w:rPr>
      </w:pPr>
      <w:r w:rsidRPr="00DC6A3E">
        <w:rPr>
          <w:rFonts w:ascii="Times New Roman" w:hAnsi="Times New Roman" w:cs="Times New Roman"/>
        </w:rPr>
        <w:t>Natural-disaster losses are highly concentrated geographically and by peril type.</w:t>
      </w:r>
    </w:p>
    <w:p w14:paraId="74FB78D1" w14:textId="77777777" w:rsidR="00DC6A3E" w:rsidRPr="00DC6A3E" w:rsidRDefault="00DC6A3E" w:rsidP="00DC6A3E">
      <w:pPr>
        <w:numPr>
          <w:ilvl w:val="0"/>
          <w:numId w:val="5"/>
        </w:numPr>
        <w:rPr>
          <w:rFonts w:ascii="Times New Roman" w:hAnsi="Times New Roman" w:cs="Times New Roman"/>
        </w:rPr>
      </w:pPr>
      <w:r w:rsidRPr="00DC6A3E">
        <w:rPr>
          <w:rFonts w:ascii="Times New Roman" w:hAnsi="Times New Roman" w:cs="Times New Roman"/>
        </w:rPr>
        <w:t>Inflation-adjusted damages show a gradual increase over time, highlighting the growing financial exposure in Europe.</w:t>
      </w:r>
    </w:p>
    <w:p w14:paraId="4DE851E5" w14:textId="77777777" w:rsidR="00C95D03" w:rsidRDefault="00DC6A3E" w:rsidP="00DC6A3E">
      <w:pPr>
        <w:numPr>
          <w:ilvl w:val="0"/>
          <w:numId w:val="5"/>
        </w:numPr>
        <w:rPr>
          <w:rFonts w:ascii="Times New Roman" w:hAnsi="Times New Roman" w:cs="Times New Roman"/>
        </w:rPr>
      </w:pPr>
      <w:r w:rsidRPr="00DC6A3E">
        <w:rPr>
          <w:rFonts w:ascii="Times New Roman" w:hAnsi="Times New Roman" w:cs="Times New Roman"/>
        </w:rPr>
        <w:t>Visual analytics such as PivotTables and charts provide clear communication of complex data — a skill valued by employers in risk and actuarial domains.</w:t>
      </w:r>
    </w:p>
    <w:p w14:paraId="4AA09D8E" w14:textId="42273BA5" w:rsidR="00C95D03" w:rsidRDefault="00C95D03" w:rsidP="00C95D03">
      <w:pPr>
        <w:rPr>
          <w:rFonts w:ascii="Times New Roman" w:hAnsi="Times New Roman" w:cs="Times New Roman"/>
        </w:rPr>
      </w:pPr>
      <w:r w:rsidRPr="00DC6A3E">
        <w:rPr>
          <w:rFonts w:ascii="Times New Roman" w:hAnsi="Times New Roman" w:cs="Times New Roman"/>
        </w:rPr>
        <w:pict w14:anchorId="649A970E">
          <v:rect id="_x0000_i1075" style="width:0;height:1.5pt" o:hralign="center" o:hrstd="t" o:hr="t" fillcolor="#a0a0a0" stroked="f"/>
        </w:pict>
      </w:r>
    </w:p>
    <w:p w14:paraId="6E0388B2" w14:textId="58890AF7" w:rsidR="00C95D03" w:rsidRDefault="00C95D03" w:rsidP="00C95D03">
      <w:pPr>
        <w:rPr>
          <w:rFonts w:cstheme="minorHAnsi"/>
          <w:b/>
          <w:color w:val="2F5496" w:themeColor="accent1" w:themeShade="BF"/>
          <w14:textOutline w14:w="0" w14:cap="flat" w14:cmpd="sng" w14:algn="ctr">
            <w14:noFill/>
            <w14:prstDash w14:val="solid"/>
            <w14:round/>
          </w14:textOutline>
        </w:rPr>
      </w:pPr>
      <w:r>
        <w:rPr>
          <w:rFonts w:cstheme="minorHAnsi"/>
          <w:b/>
          <w:color w:val="2F5496" w:themeColor="accent1" w:themeShade="BF"/>
          <w14:textOutline w14:w="0" w14:cap="flat" w14:cmpd="sng" w14:algn="ctr">
            <w14:noFill/>
            <w14:prstDash w14:val="solid"/>
            <w14:round/>
          </w14:textOutline>
        </w:rPr>
        <w:t>7</w:t>
      </w:r>
      <w:r w:rsidRPr="00DC6A3E">
        <w:rPr>
          <w:rFonts w:cstheme="minorHAnsi"/>
          <w:b/>
          <w:color w:val="2F5496" w:themeColor="accent1" w:themeShade="BF"/>
          <w14:textOutline w14:w="0" w14:cap="flat" w14:cmpd="sng" w14:algn="ctr">
            <w14:noFill/>
            <w14:prstDash w14:val="solid"/>
            <w14:round/>
          </w14:textOutline>
        </w:rPr>
        <w:t xml:space="preserve">. </w:t>
      </w:r>
      <w:r>
        <w:rPr>
          <w:rFonts w:cstheme="minorHAnsi"/>
          <w:b/>
          <w:color w:val="2F5496" w:themeColor="accent1" w:themeShade="BF"/>
          <w14:textOutline w14:w="0" w14:cap="flat" w14:cmpd="sng" w14:algn="ctr">
            <w14:noFill/>
            <w14:prstDash w14:val="solid"/>
            <w14:round/>
          </w14:textOutline>
        </w:rPr>
        <w:t>REFERENC</w:t>
      </w:r>
      <w:r w:rsidR="001B5179">
        <w:rPr>
          <w:rFonts w:cstheme="minorHAnsi"/>
          <w:b/>
          <w:color w:val="2F5496" w:themeColor="accent1" w:themeShade="BF"/>
          <w14:textOutline w14:w="0" w14:cap="flat" w14:cmpd="sng" w14:algn="ctr">
            <w14:noFill/>
            <w14:prstDash w14:val="solid"/>
            <w14:round/>
          </w14:textOutline>
        </w:rPr>
        <w:t>ING</w:t>
      </w:r>
    </w:p>
    <w:p w14:paraId="0D2D85FE" w14:textId="77777777" w:rsidR="001B5179" w:rsidRPr="00DC6A3E" w:rsidRDefault="001B5179" w:rsidP="00C95D03">
      <w:pPr>
        <w:rPr>
          <w:rFonts w:cstheme="minorHAnsi"/>
          <w:b/>
          <w14:textOutline w14:w="0" w14:cap="flat" w14:cmpd="sng" w14:algn="ctr">
            <w14:noFill/>
            <w14:prstDash w14:val="solid"/>
            <w14:round/>
          </w14:textOutline>
        </w:rPr>
      </w:pPr>
    </w:p>
    <w:p w14:paraId="74E0CA93" w14:textId="41306BCF" w:rsidR="00DC2F91" w:rsidRDefault="00DC2F91" w:rsidP="00DC2F91">
      <w:pPr>
        <w:ind w:left="360"/>
        <w:rPr>
          <w:rFonts w:ascii="Times New Roman" w:hAnsi="Times New Roman" w:cs="Times New Roman"/>
        </w:rPr>
      </w:pPr>
      <w:r w:rsidRPr="00DC2F91">
        <w:rPr>
          <w:rFonts w:ascii="Times New Roman" w:hAnsi="Times New Roman" w:cs="Times New Roman"/>
        </w:rPr>
        <w:t xml:space="preserve">Cred (no date) </w:t>
      </w:r>
      <w:r w:rsidRPr="00DC2F91">
        <w:rPr>
          <w:rFonts w:ascii="Times New Roman" w:hAnsi="Times New Roman" w:cs="Times New Roman"/>
          <w:i/>
          <w:iCs/>
        </w:rPr>
        <w:t>Dat - The International Disaster Database</w:t>
      </w:r>
      <w:r w:rsidRPr="00DC2F91">
        <w:rPr>
          <w:rFonts w:ascii="Times New Roman" w:hAnsi="Times New Roman" w:cs="Times New Roman"/>
        </w:rPr>
        <w:t xml:space="preserve">, </w:t>
      </w:r>
      <w:r w:rsidRPr="00DC2F91">
        <w:rPr>
          <w:rFonts w:ascii="Times New Roman" w:hAnsi="Times New Roman" w:cs="Times New Roman"/>
          <w:i/>
          <w:iCs/>
        </w:rPr>
        <w:t>EM</w:t>
      </w:r>
      <w:r w:rsidRPr="00DC2F91">
        <w:rPr>
          <w:rFonts w:ascii="Times New Roman" w:hAnsi="Times New Roman" w:cs="Times New Roman"/>
        </w:rPr>
        <w:t xml:space="preserve">. Available at: </w:t>
      </w:r>
      <w:hyperlink r:id="rId9" w:history="1">
        <w:r w:rsidRPr="00C26578">
          <w:rPr>
            <w:rStyle w:val="Hyperlink"/>
            <w:rFonts w:ascii="Times New Roman" w:hAnsi="Times New Roman" w:cs="Times New Roman"/>
          </w:rPr>
          <w:t>https://www.emdat.be/</w:t>
        </w:r>
      </w:hyperlink>
      <w:proofErr w:type="gramStart"/>
      <w:r>
        <w:rPr>
          <w:rFonts w:ascii="Times New Roman" w:hAnsi="Times New Roman" w:cs="Times New Roman"/>
        </w:rPr>
        <w:t xml:space="preserve">  </w:t>
      </w:r>
      <w:r w:rsidRPr="00DC2F91">
        <w:rPr>
          <w:rFonts w:ascii="Times New Roman" w:hAnsi="Times New Roman" w:cs="Times New Roman"/>
        </w:rPr>
        <w:t xml:space="preserve"> (</w:t>
      </w:r>
      <w:proofErr w:type="gramEnd"/>
      <w:r w:rsidRPr="00DC2F91">
        <w:rPr>
          <w:rFonts w:ascii="Times New Roman" w:hAnsi="Times New Roman" w:cs="Times New Roman"/>
        </w:rPr>
        <w:t xml:space="preserve">Accessed: 16 October 2025). </w:t>
      </w:r>
      <w:r w:rsidRPr="00DC6A3E">
        <w:rPr>
          <w:rFonts w:ascii="Times New Roman" w:hAnsi="Times New Roman" w:cs="Times New Roman"/>
        </w:rPr>
        <w:pict w14:anchorId="6C50DAA5">
          <v:rect id="_x0000_i1076" style="width:0;height:1.5pt" o:hralign="center" o:hrstd="t" o:hr="t" fillcolor="#a0a0a0" stroked="f"/>
        </w:pict>
      </w:r>
    </w:p>
    <w:p w14:paraId="62A9AE4E" w14:textId="77777777" w:rsidR="00C95D03" w:rsidRDefault="00C95D03" w:rsidP="00C95D03">
      <w:pPr>
        <w:rPr>
          <w:rFonts w:ascii="Times New Roman" w:hAnsi="Times New Roman" w:cs="Times New Roman"/>
        </w:rPr>
      </w:pPr>
    </w:p>
    <w:p w14:paraId="14EDC867" w14:textId="252789C5" w:rsidR="007F3A39" w:rsidRPr="007F3A39" w:rsidRDefault="007F3A39" w:rsidP="007F3A39">
      <w:pPr>
        <w:rPr>
          <w:rFonts w:cstheme="minorHAnsi"/>
          <w:b/>
          <w:color w:val="2F5496" w:themeColor="accent1" w:themeShade="BF"/>
          <w14:textOutline w14:w="0" w14:cap="flat" w14:cmpd="sng" w14:algn="ctr">
            <w14:noFill/>
            <w14:prstDash w14:val="solid"/>
            <w14:round/>
          </w14:textOutline>
        </w:rPr>
      </w:pPr>
      <w:r>
        <w:rPr>
          <w:rFonts w:cstheme="minorHAnsi"/>
          <w:b/>
          <w:color w:val="2F5496" w:themeColor="accent1" w:themeShade="BF"/>
          <w14:textOutline w14:w="0" w14:cap="flat" w14:cmpd="sng" w14:algn="ctr">
            <w14:noFill/>
            <w14:prstDash w14:val="solid"/>
            <w14:round/>
          </w14:textOutline>
        </w:rPr>
        <w:t>8</w:t>
      </w:r>
      <w:r w:rsidRPr="00DC6A3E">
        <w:rPr>
          <w:rFonts w:cstheme="minorHAnsi"/>
          <w:b/>
          <w:color w:val="2F5496" w:themeColor="accent1" w:themeShade="BF"/>
          <w14:textOutline w14:w="0" w14:cap="flat" w14:cmpd="sng" w14:algn="ctr">
            <w14:noFill/>
            <w14:prstDash w14:val="solid"/>
            <w14:round/>
          </w14:textOutline>
        </w:rPr>
        <w:t xml:space="preserve">. </w:t>
      </w:r>
      <w:r w:rsidRPr="007F3A39">
        <w:rPr>
          <w:rFonts w:cstheme="minorHAnsi"/>
          <w:b/>
          <w:color w:val="2F5496" w:themeColor="accent1" w:themeShade="BF"/>
          <w14:textOutline w14:w="0" w14:cap="flat" w14:cmpd="sng" w14:algn="ctr">
            <w14:noFill/>
            <w14:prstDash w14:val="solid"/>
            <w14:round/>
          </w14:textOutline>
        </w:rPr>
        <w:t>APPENDIX</w:t>
      </w:r>
    </w:p>
    <w:p w14:paraId="2B6A937F" w14:textId="77777777" w:rsidR="00C95D03" w:rsidRPr="007F3A39" w:rsidRDefault="00C95D03" w:rsidP="007F3A39">
      <w:pPr>
        <w:rPr>
          <w:rFonts w:ascii="Times New Roman" w:hAnsi="Times New Roman" w:cs="Times New Roman"/>
        </w:rPr>
      </w:pPr>
    </w:p>
    <w:p w14:paraId="5A43625B" w14:textId="25A3C3E8" w:rsidR="00C95D03" w:rsidRPr="00C95D03" w:rsidRDefault="007F3A39" w:rsidP="00C95D03">
      <w:pPr>
        <w:pStyle w:val="ListParagraph"/>
        <w:rPr>
          <w:rFonts w:ascii="Times New Roman" w:hAnsi="Times New Roman" w:cs="Times New Roman"/>
        </w:rPr>
      </w:pPr>
      <w:r>
        <w:rPr>
          <w:rFonts w:ascii="Times New Roman" w:hAnsi="Times New Roman" w:cs="Times New Roman"/>
        </w:rPr>
        <w:t>TABLE 1</w:t>
      </w:r>
    </w:p>
    <w:tbl>
      <w:tblPr>
        <w:tblpPr w:leftFromText="180" w:rightFromText="180" w:vertAnchor="text" w:horzAnchor="margin" w:tblpXSpec="center" w:tblpY="56"/>
        <w:tblW w:w="6540" w:type="dxa"/>
        <w:tblLook w:val="04A0" w:firstRow="1" w:lastRow="0" w:firstColumn="1" w:lastColumn="0" w:noHBand="0" w:noVBand="1"/>
      </w:tblPr>
      <w:tblGrid>
        <w:gridCol w:w="2520"/>
        <w:gridCol w:w="4020"/>
      </w:tblGrid>
      <w:tr w:rsidR="00FD1579" w:rsidRPr="00FD1579" w14:paraId="2E4076E0" w14:textId="77777777" w:rsidTr="004850A5">
        <w:trPr>
          <w:trHeight w:val="300"/>
        </w:trPr>
        <w:tc>
          <w:tcPr>
            <w:tcW w:w="2520" w:type="dxa"/>
            <w:tcBorders>
              <w:top w:val="single" w:sz="8" w:space="0" w:color="auto"/>
              <w:left w:val="single" w:sz="8" w:space="0" w:color="auto"/>
              <w:bottom w:val="single" w:sz="8" w:space="0" w:color="auto"/>
              <w:right w:val="single" w:sz="4" w:space="0" w:color="auto"/>
            </w:tcBorders>
            <w:shd w:val="clear" w:color="DDEBF7" w:fill="DDEBF7"/>
            <w:noWrap/>
            <w:vAlign w:val="bottom"/>
            <w:hideMark/>
          </w:tcPr>
          <w:p w14:paraId="300EA657" w14:textId="77777777" w:rsidR="00FD1579" w:rsidRPr="00FD1579" w:rsidRDefault="00FD1579" w:rsidP="004850A5">
            <w:pPr>
              <w:spacing w:after="0" w:line="240" w:lineRule="auto"/>
              <w:rPr>
                <w:rFonts w:ascii="Calibri" w:eastAsia="Times New Roman" w:hAnsi="Calibri" w:cs="Calibri"/>
                <w:b/>
                <w:bCs/>
                <w:color w:val="000000"/>
                <w:kern w:val="0"/>
                <w:sz w:val="22"/>
                <w:szCs w:val="22"/>
                <w:lang w:eastAsia="en-IN"/>
                <w14:ligatures w14:val="none"/>
              </w:rPr>
            </w:pPr>
            <w:r w:rsidRPr="00FD1579">
              <w:rPr>
                <w:rFonts w:ascii="Calibri" w:eastAsia="Times New Roman" w:hAnsi="Calibri" w:cs="Calibri"/>
                <w:b/>
                <w:bCs/>
                <w:color w:val="000000"/>
                <w:kern w:val="0"/>
                <w:sz w:val="22"/>
                <w:szCs w:val="22"/>
                <w:lang w:eastAsia="en-IN"/>
                <w14:ligatures w14:val="none"/>
              </w:rPr>
              <w:t>Row Labels</w:t>
            </w:r>
          </w:p>
        </w:tc>
        <w:tc>
          <w:tcPr>
            <w:tcW w:w="4020" w:type="dxa"/>
            <w:tcBorders>
              <w:top w:val="single" w:sz="8" w:space="0" w:color="auto"/>
              <w:left w:val="single" w:sz="4" w:space="0" w:color="auto"/>
              <w:bottom w:val="single" w:sz="8" w:space="0" w:color="auto"/>
              <w:right w:val="single" w:sz="8" w:space="0" w:color="auto"/>
            </w:tcBorders>
            <w:shd w:val="clear" w:color="DDEBF7" w:fill="DDEBF7"/>
            <w:noWrap/>
            <w:vAlign w:val="bottom"/>
            <w:hideMark/>
          </w:tcPr>
          <w:p w14:paraId="3D101D4A" w14:textId="77777777" w:rsidR="00FD1579" w:rsidRPr="00FD1579" w:rsidRDefault="00FD1579" w:rsidP="004850A5">
            <w:pPr>
              <w:spacing w:after="0" w:line="240" w:lineRule="auto"/>
              <w:rPr>
                <w:rFonts w:ascii="Calibri" w:eastAsia="Times New Roman" w:hAnsi="Calibri" w:cs="Calibri"/>
                <w:b/>
                <w:bCs/>
                <w:color w:val="000000"/>
                <w:kern w:val="0"/>
                <w:sz w:val="22"/>
                <w:szCs w:val="22"/>
                <w:lang w:eastAsia="en-IN"/>
                <w14:ligatures w14:val="none"/>
              </w:rPr>
            </w:pPr>
            <w:r w:rsidRPr="00FD1579">
              <w:rPr>
                <w:rFonts w:ascii="Calibri" w:eastAsia="Times New Roman" w:hAnsi="Calibri" w:cs="Calibri"/>
                <w:b/>
                <w:bCs/>
                <w:color w:val="000000"/>
                <w:kern w:val="0"/>
                <w:sz w:val="22"/>
                <w:szCs w:val="22"/>
                <w:lang w:eastAsia="en-IN"/>
                <w14:ligatures w14:val="none"/>
              </w:rPr>
              <w:t>Sum of Total Damage, Adjusted ('000 US$)</w:t>
            </w:r>
          </w:p>
        </w:tc>
      </w:tr>
      <w:tr w:rsidR="00FD1579" w:rsidRPr="00FD1579" w14:paraId="1EAF3C96"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7A1D44CA"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Flood</w:t>
            </w:r>
          </w:p>
        </w:tc>
        <w:tc>
          <w:tcPr>
            <w:tcW w:w="4020" w:type="dxa"/>
            <w:tcBorders>
              <w:top w:val="nil"/>
              <w:left w:val="nil"/>
              <w:bottom w:val="single" w:sz="4" w:space="0" w:color="auto"/>
              <w:right w:val="single" w:sz="8" w:space="0" w:color="auto"/>
            </w:tcBorders>
            <w:noWrap/>
            <w:vAlign w:val="bottom"/>
            <w:hideMark/>
          </w:tcPr>
          <w:p w14:paraId="4FE4FC48"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29,50,49,375.00</w:t>
            </w:r>
          </w:p>
        </w:tc>
      </w:tr>
      <w:tr w:rsidR="00FD1579" w:rsidRPr="00FD1579" w14:paraId="7A5A05A4"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43B40595"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Storm</w:t>
            </w:r>
          </w:p>
        </w:tc>
        <w:tc>
          <w:tcPr>
            <w:tcW w:w="4020" w:type="dxa"/>
            <w:tcBorders>
              <w:top w:val="nil"/>
              <w:left w:val="nil"/>
              <w:bottom w:val="single" w:sz="4" w:space="0" w:color="auto"/>
              <w:right w:val="single" w:sz="8" w:space="0" w:color="auto"/>
            </w:tcBorders>
            <w:noWrap/>
            <w:vAlign w:val="bottom"/>
            <w:hideMark/>
          </w:tcPr>
          <w:p w14:paraId="6C46FCB8"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18,16,02,672.00</w:t>
            </w:r>
          </w:p>
        </w:tc>
      </w:tr>
      <w:tr w:rsidR="00FD1579" w:rsidRPr="00FD1579" w14:paraId="6B09E1F7"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6A976CDF"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Earthquake</w:t>
            </w:r>
          </w:p>
        </w:tc>
        <w:tc>
          <w:tcPr>
            <w:tcW w:w="4020" w:type="dxa"/>
            <w:tcBorders>
              <w:top w:val="nil"/>
              <w:left w:val="nil"/>
              <w:bottom w:val="single" w:sz="4" w:space="0" w:color="auto"/>
              <w:right w:val="single" w:sz="8" w:space="0" w:color="auto"/>
            </w:tcBorders>
            <w:noWrap/>
            <w:vAlign w:val="bottom"/>
            <w:hideMark/>
          </w:tcPr>
          <w:p w14:paraId="4E38906F"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7,94,30,405.00</w:t>
            </w:r>
          </w:p>
        </w:tc>
      </w:tr>
      <w:tr w:rsidR="00FD1579" w:rsidRPr="00FD1579" w14:paraId="133F1360"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752EB34B"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Drought</w:t>
            </w:r>
          </w:p>
        </w:tc>
        <w:tc>
          <w:tcPr>
            <w:tcW w:w="4020" w:type="dxa"/>
            <w:tcBorders>
              <w:top w:val="nil"/>
              <w:left w:val="nil"/>
              <w:bottom w:val="single" w:sz="4" w:space="0" w:color="auto"/>
              <w:right w:val="single" w:sz="8" w:space="0" w:color="auto"/>
            </w:tcBorders>
            <w:noWrap/>
            <w:vAlign w:val="bottom"/>
            <w:hideMark/>
          </w:tcPr>
          <w:p w14:paraId="1BA13A1C"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4,41,70,054.00</w:t>
            </w:r>
          </w:p>
        </w:tc>
      </w:tr>
      <w:tr w:rsidR="00FD1579" w:rsidRPr="00FD1579" w14:paraId="11FFACF2"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75D6FD1F"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Extreme temperature</w:t>
            </w:r>
          </w:p>
        </w:tc>
        <w:tc>
          <w:tcPr>
            <w:tcW w:w="4020" w:type="dxa"/>
            <w:tcBorders>
              <w:top w:val="nil"/>
              <w:left w:val="nil"/>
              <w:bottom w:val="single" w:sz="4" w:space="0" w:color="auto"/>
              <w:right w:val="single" w:sz="8" w:space="0" w:color="auto"/>
            </w:tcBorders>
            <w:noWrap/>
            <w:vAlign w:val="bottom"/>
            <w:hideMark/>
          </w:tcPr>
          <w:p w14:paraId="53B997C1"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3,42,33,228.00</w:t>
            </w:r>
          </w:p>
        </w:tc>
      </w:tr>
      <w:tr w:rsidR="00FD1579" w:rsidRPr="00FD1579" w14:paraId="0EB820D0"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189A6DA0"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Wildfire</w:t>
            </w:r>
          </w:p>
        </w:tc>
        <w:tc>
          <w:tcPr>
            <w:tcW w:w="4020" w:type="dxa"/>
            <w:tcBorders>
              <w:top w:val="nil"/>
              <w:left w:val="nil"/>
              <w:bottom w:val="single" w:sz="4" w:space="0" w:color="auto"/>
              <w:right w:val="single" w:sz="8" w:space="0" w:color="auto"/>
            </w:tcBorders>
            <w:noWrap/>
            <w:vAlign w:val="bottom"/>
            <w:hideMark/>
          </w:tcPr>
          <w:p w14:paraId="776C3EF4"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2,47,44,064.00</w:t>
            </w:r>
          </w:p>
        </w:tc>
      </w:tr>
      <w:tr w:rsidR="00FD1579" w:rsidRPr="00FD1579" w14:paraId="1C4C18CA"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48CF7CF1"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Mass movement (wet)</w:t>
            </w:r>
          </w:p>
        </w:tc>
        <w:tc>
          <w:tcPr>
            <w:tcW w:w="4020" w:type="dxa"/>
            <w:tcBorders>
              <w:top w:val="nil"/>
              <w:left w:val="nil"/>
              <w:bottom w:val="single" w:sz="4" w:space="0" w:color="auto"/>
              <w:right w:val="single" w:sz="8" w:space="0" w:color="auto"/>
            </w:tcBorders>
            <w:noWrap/>
            <w:vAlign w:val="bottom"/>
            <w:hideMark/>
          </w:tcPr>
          <w:p w14:paraId="5AF8F7ED"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26,28,112.00</w:t>
            </w:r>
          </w:p>
        </w:tc>
      </w:tr>
      <w:tr w:rsidR="00FD1579" w:rsidRPr="00FD1579" w14:paraId="1E5C97E2"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2E5FC11F"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Volcanic activity</w:t>
            </w:r>
          </w:p>
        </w:tc>
        <w:tc>
          <w:tcPr>
            <w:tcW w:w="4020" w:type="dxa"/>
            <w:tcBorders>
              <w:top w:val="nil"/>
              <w:left w:val="nil"/>
              <w:bottom w:val="single" w:sz="4" w:space="0" w:color="auto"/>
              <w:right w:val="single" w:sz="8" w:space="0" w:color="auto"/>
            </w:tcBorders>
            <w:noWrap/>
            <w:vAlign w:val="bottom"/>
            <w:hideMark/>
          </w:tcPr>
          <w:p w14:paraId="2A807D88"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1,82,152.00</w:t>
            </w:r>
          </w:p>
        </w:tc>
      </w:tr>
      <w:tr w:rsidR="00FD1579" w:rsidRPr="00FD1579" w14:paraId="020AF761"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613B8BE5"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Impact</w:t>
            </w:r>
          </w:p>
        </w:tc>
        <w:tc>
          <w:tcPr>
            <w:tcW w:w="4020" w:type="dxa"/>
            <w:tcBorders>
              <w:top w:val="nil"/>
              <w:left w:val="nil"/>
              <w:bottom w:val="single" w:sz="4" w:space="0" w:color="auto"/>
              <w:right w:val="single" w:sz="8" w:space="0" w:color="auto"/>
            </w:tcBorders>
            <w:noWrap/>
            <w:vAlign w:val="bottom"/>
            <w:hideMark/>
          </w:tcPr>
          <w:p w14:paraId="4472C561"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44,436.00</w:t>
            </w:r>
          </w:p>
        </w:tc>
      </w:tr>
      <w:tr w:rsidR="00FD1579" w:rsidRPr="00FD1579" w14:paraId="1CAD7FEB"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79C0EF3E"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Mass movement (dry)</w:t>
            </w:r>
          </w:p>
        </w:tc>
        <w:tc>
          <w:tcPr>
            <w:tcW w:w="4020" w:type="dxa"/>
            <w:tcBorders>
              <w:top w:val="nil"/>
              <w:left w:val="nil"/>
              <w:bottom w:val="single" w:sz="4" w:space="0" w:color="auto"/>
              <w:right w:val="single" w:sz="8" w:space="0" w:color="auto"/>
            </w:tcBorders>
            <w:noWrap/>
            <w:vAlign w:val="bottom"/>
            <w:hideMark/>
          </w:tcPr>
          <w:p w14:paraId="79A727C4"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0.00</w:t>
            </w:r>
          </w:p>
        </w:tc>
      </w:tr>
      <w:tr w:rsidR="00FD1579" w:rsidRPr="00FD1579" w14:paraId="0DF4BD23"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47111BA2"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Infestation</w:t>
            </w:r>
          </w:p>
        </w:tc>
        <w:tc>
          <w:tcPr>
            <w:tcW w:w="4020" w:type="dxa"/>
            <w:tcBorders>
              <w:top w:val="nil"/>
              <w:left w:val="nil"/>
              <w:bottom w:val="single" w:sz="4" w:space="0" w:color="auto"/>
              <w:right w:val="single" w:sz="8" w:space="0" w:color="auto"/>
            </w:tcBorders>
            <w:noWrap/>
            <w:vAlign w:val="bottom"/>
            <w:hideMark/>
          </w:tcPr>
          <w:p w14:paraId="765DF7B4"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0.00</w:t>
            </w:r>
          </w:p>
        </w:tc>
      </w:tr>
      <w:tr w:rsidR="00FD1579" w:rsidRPr="00FD1579" w14:paraId="2895A394"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0108AE3A"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Glacial lake outburst flood</w:t>
            </w:r>
          </w:p>
        </w:tc>
        <w:tc>
          <w:tcPr>
            <w:tcW w:w="4020" w:type="dxa"/>
            <w:tcBorders>
              <w:top w:val="nil"/>
              <w:left w:val="nil"/>
              <w:bottom w:val="single" w:sz="4" w:space="0" w:color="auto"/>
              <w:right w:val="single" w:sz="8" w:space="0" w:color="auto"/>
            </w:tcBorders>
            <w:noWrap/>
            <w:vAlign w:val="bottom"/>
            <w:hideMark/>
          </w:tcPr>
          <w:p w14:paraId="451097A0"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0.00</w:t>
            </w:r>
          </w:p>
        </w:tc>
      </w:tr>
      <w:tr w:rsidR="00FD1579" w:rsidRPr="00FD1579" w14:paraId="4E2548E0" w14:textId="77777777" w:rsidTr="004850A5">
        <w:trPr>
          <w:trHeight w:val="290"/>
        </w:trPr>
        <w:tc>
          <w:tcPr>
            <w:tcW w:w="2520" w:type="dxa"/>
            <w:tcBorders>
              <w:top w:val="nil"/>
              <w:left w:val="single" w:sz="8" w:space="0" w:color="auto"/>
              <w:bottom w:val="single" w:sz="4" w:space="0" w:color="auto"/>
              <w:right w:val="single" w:sz="4" w:space="0" w:color="auto"/>
            </w:tcBorders>
            <w:noWrap/>
            <w:vAlign w:val="bottom"/>
            <w:hideMark/>
          </w:tcPr>
          <w:p w14:paraId="0FB12A87" w14:textId="77777777" w:rsidR="00FD1579" w:rsidRPr="00FD1579" w:rsidRDefault="00FD1579" w:rsidP="004850A5">
            <w:pPr>
              <w:spacing w:after="0" w:line="240" w:lineRule="auto"/>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Epidemic</w:t>
            </w:r>
          </w:p>
        </w:tc>
        <w:tc>
          <w:tcPr>
            <w:tcW w:w="4020" w:type="dxa"/>
            <w:tcBorders>
              <w:top w:val="nil"/>
              <w:left w:val="nil"/>
              <w:bottom w:val="single" w:sz="4" w:space="0" w:color="auto"/>
              <w:right w:val="single" w:sz="8" w:space="0" w:color="auto"/>
            </w:tcBorders>
            <w:noWrap/>
            <w:vAlign w:val="bottom"/>
            <w:hideMark/>
          </w:tcPr>
          <w:p w14:paraId="1AB934A4" w14:textId="77777777" w:rsidR="00FD1579" w:rsidRPr="00FD1579" w:rsidRDefault="00FD1579" w:rsidP="004850A5">
            <w:pPr>
              <w:spacing w:after="0" w:line="240" w:lineRule="auto"/>
              <w:jc w:val="right"/>
              <w:rPr>
                <w:rFonts w:ascii="Calibri" w:eastAsia="Times New Roman" w:hAnsi="Calibri" w:cs="Calibri"/>
                <w:color w:val="000000"/>
                <w:kern w:val="0"/>
                <w:sz w:val="22"/>
                <w:szCs w:val="22"/>
                <w:lang w:eastAsia="en-IN"/>
                <w14:ligatures w14:val="none"/>
              </w:rPr>
            </w:pPr>
            <w:r w:rsidRPr="00FD1579">
              <w:rPr>
                <w:rFonts w:ascii="Calibri" w:eastAsia="Times New Roman" w:hAnsi="Calibri" w:cs="Calibri"/>
                <w:color w:val="000000"/>
                <w:kern w:val="0"/>
                <w:sz w:val="22"/>
                <w:szCs w:val="22"/>
                <w:lang w:eastAsia="en-IN"/>
                <w14:ligatures w14:val="none"/>
              </w:rPr>
              <w:t>0.00</w:t>
            </w:r>
          </w:p>
        </w:tc>
      </w:tr>
      <w:tr w:rsidR="00FD1579" w:rsidRPr="00FD1579" w14:paraId="2BB8B394" w14:textId="77777777" w:rsidTr="004850A5">
        <w:trPr>
          <w:trHeight w:val="300"/>
        </w:trPr>
        <w:tc>
          <w:tcPr>
            <w:tcW w:w="2520" w:type="dxa"/>
            <w:tcBorders>
              <w:top w:val="single" w:sz="4" w:space="0" w:color="auto"/>
              <w:left w:val="single" w:sz="8" w:space="0" w:color="auto"/>
              <w:bottom w:val="single" w:sz="8" w:space="0" w:color="auto"/>
              <w:right w:val="single" w:sz="4" w:space="0" w:color="auto"/>
            </w:tcBorders>
            <w:shd w:val="clear" w:color="DDEBF7" w:fill="DDEBF7"/>
            <w:noWrap/>
            <w:vAlign w:val="bottom"/>
            <w:hideMark/>
          </w:tcPr>
          <w:p w14:paraId="0769964A" w14:textId="77777777" w:rsidR="00FD1579" w:rsidRPr="00FD1579" w:rsidRDefault="00FD1579" w:rsidP="004850A5">
            <w:pPr>
              <w:spacing w:after="0" w:line="240" w:lineRule="auto"/>
              <w:rPr>
                <w:rFonts w:ascii="Calibri" w:eastAsia="Times New Roman" w:hAnsi="Calibri" w:cs="Calibri"/>
                <w:b/>
                <w:bCs/>
                <w:color w:val="000000"/>
                <w:kern w:val="0"/>
                <w:sz w:val="22"/>
                <w:szCs w:val="22"/>
                <w:lang w:eastAsia="en-IN"/>
                <w14:ligatures w14:val="none"/>
              </w:rPr>
            </w:pPr>
            <w:r w:rsidRPr="00FD1579">
              <w:rPr>
                <w:rFonts w:ascii="Calibri" w:eastAsia="Times New Roman" w:hAnsi="Calibri" w:cs="Calibri"/>
                <w:b/>
                <w:bCs/>
                <w:color w:val="000000"/>
                <w:kern w:val="0"/>
                <w:sz w:val="22"/>
                <w:szCs w:val="22"/>
                <w:lang w:eastAsia="en-IN"/>
                <w14:ligatures w14:val="none"/>
              </w:rPr>
              <w:t>Grand Total</w:t>
            </w:r>
          </w:p>
        </w:tc>
        <w:tc>
          <w:tcPr>
            <w:tcW w:w="4020" w:type="dxa"/>
            <w:tcBorders>
              <w:top w:val="single" w:sz="4" w:space="0" w:color="auto"/>
              <w:left w:val="single" w:sz="4" w:space="0" w:color="auto"/>
              <w:bottom w:val="single" w:sz="8" w:space="0" w:color="auto"/>
              <w:right w:val="single" w:sz="8" w:space="0" w:color="auto"/>
            </w:tcBorders>
            <w:shd w:val="clear" w:color="DDEBF7" w:fill="DDEBF7"/>
            <w:noWrap/>
            <w:vAlign w:val="bottom"/>
            <w:hideMark/>
          </w:tcPr>
          <w:p w14:paraId="78B75159" w14:textId="77777777" w:rsidR="00FD1579" w:rsidRPr="00FD1579" w:rsidRDefault="00FD1579" w:rsidP="004850A5">
            <w:pPr>
              <w:spacing w:after="0" w:line="240" w:lineRule="auto"/>
              <w:jc w:val="right"/>
              <w:rPr>
                <w:rFonts w:ascii="Calibri" w:eastAsia="Times New Roman" w:hAnsi="Calibri" w:cs="Calibri"/>
                <w:b/>
                <w:bCs/>
                <w:color w:val="000000"/>
                <w:kern w:val="0"/>
                <w:sz w:val="22"/>
                <w:szCs w:val="22"/>
                <w:lang w:eastAsia="en-IN"/>
                <w14:ligatures w14:val="none"/>
              </w:rPr>
            </w:pPr>
            <w:r w:rsidRPr="00FD1579">
              <w:rPr>
                <w:rFonts w:ascii="Calibri" w:eastAsia="Times New Roman" w:hAnsi="Calibri" w:cs="Calibri"/>
                <w:b/>
                <w:bCs/>
                <w:color w:val="000000"/>
                <w:kern w:val="0"/>
                <w:sz w:val="22"/>
                <w:szCs w:val="22"/>
                <w:lang w:eastAsia="en-IN"/>
                <w14:ligatures w14:val="none"/>
              </w:rPr>
              <w:t>66,20,84,498.00</w:t>
            </w:r>
          </w:p>
        </w:tc>
      </w:tr>
    </w:tbl>
    <w:p w14:paraId="0502BA87" w14:textId="587139AA" w:rsidR="00FD2F1A" w:rsidRDefault="00FD2F1A" w:rsidP="002D336A">
      <w:pPr>
        <w:rPr>
          <w:rFonts w:ascii="Times New Roman" w:hAnsi="Times New Roman" w:cs="Times New Roman"/>
        </w:rPr>
      </w:pPr>
    </w:p>
    <w:p w14:paraId="7B40BBC1" w14:textId="77777777" w:rsidR="007F3A39" w:rsidRPr="007F3A39" w:rsidRDefault="007F3A39" w:rsidP="007F3A39">
      <w:pPr>
        <w:rPr>
          <w:rFonts w:ascii="Times New Roman" w:hAnsi="Times New Roman" w:cs="Times New Roman"/>
        </w:rPr>
      </w:pPr>
    </w:p>
    <w:p w14:paraId="45C4F50A" w14:textId="77777777" w:rsidR="007F3A39" w:rsidRPr="007F3A39" w:rsidRDefault="007F3A39" w:rsidP="007F3A39">
      <w:pPr>
        <w:rPr>
          <w:rFonts w:ascii="Times New Roman" w:hAnsi="Times New Roman" w:cs="Times New Roman"/>
        </w:rPr>
      </w:pPr>
    </w:p>
    <w:p w14:paraId="0C6CA17E" w14:textId="77777777" w:rsidR="007F3A39" w:rsidRPr="007F3A39" w:rsidRDefault="007F3A39" w:rsidP="007F3A39">
      <w:pPr>
        <w:rPr>
          <w:rFonts w:ascii="Times New Roman" w:hAnsi="Times New Roman" w:cs="Times New Roman"/>
        </w:rPr>
      </w:pPr>
    </w:p>
    <w:p w14:paraId="3BFF8E74" w14:textId="77777777" w:rsidR="007F3A39" w:rsidRPr="007F3A39" w:rsidRDefault="007F3A39" w:rsidP="007F3A39">
      <w:pPr>
        <w:rPr>
          <w:rFonts w:ascii="Times New Roman" w:hAnsi="Times New Roman" w:cs="Times New Roman"/>
        </w:rPr>
      </w:pPr>
    </w:p>
    <w:p w14:paraId="29ABF008" w14:textId="77777777" w:rsidR="007F3A39" w:rsidRPr="007F3A39" w:rsidRDefault="007F3A39" w:rsidP="007F3A39">
      <w:pPr>
        <w:rPr>
          <w:rFonts w:ascii="Times New Roman" w:hAnsi="Times New Roman" w:cs="Times New Roman"/>
        </w:rPr>
      </w:pPr>
    </w:p>
    <w:p w14:paraId="3BC58DDF" w14:textId="77777777" w:rsidR="007F3A39" w:rsidRPr="007F3A39" w:rsidRDefault="007F3A39" w:rsidP="007F3A39">
      <w:pPr>
        <w:rPr>
          <w:rFonts w:ascii="Times New Roman" w:hAnsi="Times New Roman" w:cs="Times New Roman"/>
        </w:rPr>
      </w:pPr>
    </w:p>
    <w:p w14:paraId="5303E8F8" w14:textId="77777777" w:rsidR="007F3A39" w:rsidRPr="007F3A39" w:rsidRDefault="007F3A39" w:rsidP="007F3A39">
      <w:pPr>
        <w:rPr>
          <w:rFonts w:ascii="Times New Roman" w:hAnsi="Times New Roman" w:cs="Times New Roman"/>
        </w:rPr>
      </w:pPr>
    </w:p>
    <w:p w14:paraId="14687BFF" w14:textId="77777777" w:rsidR="007F3A39" w:rsidRPr="007F3A39" w:rsidRDefault="007F3A39" w:rsidP="007F3A39">
      <w:pPr>
        <w:rPr>
          <w:rFonts w:ascii="Times New Roman" w:hAnsi="Times New Roman" w:cs="Times New Roman"/>
        </w:rPr>
      </w:pPr>
    </w:p>
    <w:p w14:paraId="78324A11" w14:textId="77777777" w:rsidR="007F3A39" w:rsidRDefault="007F3A39" w:rsidP="007F3A39">
      <w:pPr>
        <w:rPr>
          <w:rFonts w:ascii="Times New Roman" w:hAnsi="Times New Roman" w:cs="Times New Roman"/>
        </w:rPr>
      </w:pPr>
    </w:p>
    <w:p w14:paraId="53A61A84" w14:textId="77777777" w:rsidR="007F3A39" w:rsidRDefault="007F3A39" w:rsidP="007F3A39">
      <w:pPr>
        <w:rPr>
          <w:rFonts w:ascii="Times New Roman" w:hAnsi="Times New Roman" w:cs="Times New Roman"/>
        </w:rPr>
      </w:pPr>
    </w:p>
    <w:p w14:paraId="015D31DF" w14:textId="77777777" w:rsidR="007F3A39" w:rsidRDefault="007F3A39" w:rsidP="007F3A39">
      <w:pPr>
        <w:rPr>
          <w:rFonts w:ascii="Times New Roman" w:hAnsi="Times New Roman" w:cs="Times New Roman"/>
        </w:rPr>
      </w:pPr>
    </w:p>
    <w:p w14:paraId="11889139" w14:textId="6F4EF1A1" w:rsidR="007F3A39" w:rsidRPr="007F3A39" w:rsidRDefault="007F3A39" w:rsidP="007F3A39">
      <w:pPr>
        <w:rPr>
          <w:rFonts w:ascii="Times New Roman" w:hAnsi="Times New Roman" w:cs="Times New Roman"/>
        </w:rPr>
      </w:pPr>
      <w:r>
        <w:rPr>
          <w:rFonts w:ascii="Times New Roman" w:hAnsi="Times New Roman" w:cs="Times New Roman"/>
        </w:rPr>
        <w:t>TABLE 2</w:t>
      </w:r>
      <w:r>
        <w:rPr>
          <w:rFonts w:ascii="Times New Roman" w:hAnsi="Times New Roman" w:cs="Times New Roman"/>
        </w:rPr>
        <w:br/>
      </w:r>
      <w:r>
        <w:rPr>
          <w:rFonts w:ascii="Times New Roman" w:hAnsi="Times New Roman" w:cs="Times New Roman"/>
        </w:rPr>
        <w:t xml:space="preserve">                    </w:t>
      </w:r>
    </w:p>
    <w:tbl>
      <w:tblPr>
        <w:tblW w:w="5480" w:type="dxa"/>
        <w:tblLook w:val="04A0" w:firstRow="1" w:lastRow="0" w:firstColumn="1" w:lastColumn="0" w:noHBand="0" w:noVBand="1"/>
      </w:tblPr>
      <w:tblGrid>
        <w:gridCol w:w="1460"/>
        <w:gridCol w:w="4020"/>
      </w:tblGrid>
      <w:tr w:rsidR="007F3A39" w:rsidRPr="007F3A39" w14:paraId="53E6FDE9" w14:textId="77777777" w:rsidTr="007F3A39">
        <w:trPr>
          <w:trHeight w:val="300"/>
        </w:trPr>
        <w:tc>
          <w:tcPr>
            <w:tcW w:w="1460" w:type="dxa"/>
            <w:tcBorders>
              <w:top w:val="single" w:sz="8" w:space="0" w:color="auto"/>
              <w:left w:val="single" w:sz="8" w:space="0" w:color="auto"/>
              <w:bottom w:val="single" w:sz="8" w:space="0" w:color="auto"/>
              <w:right w:val="single" w:sz="4" w:space="0" w:color="auto"/>
            </w:tcBorders>
            <w:shd w:val="clear" w:color="DDEBF7" w:fill="DDEBF7"/>
            <w:noWrap/>
            <w:vAlign w:val="bottom"/>
            <w:hideMark/>
          </w:tcPr>
          <w:p w14:paraId="3F37E2DE" w14:textId="77777777" w:rsidR="007F3A39" w:rsidRPr="007F3A39" w:rsidRDefault="007F3A39" w:rsidP="007F3A39">
            <w:pPr>
              <w:spacing w:after="0" w:line="240" w:lineRule="auto"/>
              <w:rPr>
                <w:rFonts w:ascii="Calibri" w:eastAsia="Times New Roman" w:hAnsi="Calibri" w:cs="Calibri"/>
                <w:b/>
                <w:bCs/>
                <w:color w:val="000000"/>
                <w:kern w:val="0"/>
                <w:sz w:val="22"/>
                <w:szCs w:val="22"/>
                <w:lang w:eastAsia="en-IN"/>
                <w14:ligatures w14:val="none"/>
              </w:rPr>
            </w:pPr>
            <w:r w:rsidRPr="007F3A39">
              <w:rPr>
                <w:rFonts w:ascii="Calibri" w:eastAsia="Times New Roman" w:hAnsi="Calibri" w:cs="Calibri"/>
                <w:b/>
                <w:bCs/>
                <w:color w:val="000000"/>
                <w:kern w:val="0"/>
                <w:sz w:val="22"/>
                <w:szCs w:val="22"/>
                <w:lang w:eastAsia="en-IN"/>
                <w14:ligatures w14:val="none"/>
              </w:rPr>
              <w:t>Row Labels</w:t>
            </w:r>
          </w:p>
        </w:tc>
        <w:tc>
          <w:tcPr>
            <w:tcW w:w="4020" w:type="dxa"/>
            <w:tcBorders>
              <w:top w:val="single" w:sz="8" w:space="0" w:color="auto"/>
              <w:left w:val="single" w:sz="4" w:space="0" w:color="auto"/>
              <w:bottom w:val="single" w:sz="8" w:space="0" w:color="auto"/>
              <w:right w:val="single" w:sz="8" w:space="0" w:color="auto"/>
            </w:tcBorders>
            <w:shd w:val="clear" w:color="DDEBF7" w:fill="DDEBF7"/>
            <w:noWrap/>
            <w:vAlign w:val="bottom"/>
            <w:hideMark/>
          </w:tcPr>
          <w:p w14:paraId="5E072A1A" w14:textId="77777777" w:rsidR="007F3A39" w:rsidRPr="007F3A39" w:rsidRDefault="007F3A39" w:rsidP="007F3A39">
            <w:pPr>
              <w:spacing w:after="0" w:line="240" w:lineRule="auto"/>
              <w:rPr>
                <w:rFonts w:ascii="Calibri" w:eastAsia="Times New Roman" w:hAnsi="Calibri" w:cs="Calibri"/>
                <w:b/>
                <w:bCs/>
                <w:color w:val="000000"/>
                <w:kern w:val="0"/>
                <w:sz w:val="22"/>
                <w:szCs w:val="22"/>
                <w:lang w:eastAsia="en-IN"/>
                <w14:ligatures w14:val="none"/>
              </w:rPr>
            </w:pPr>
            <w:r w:rsidRPr="007F3A39">
              <w:rPr>
                <w:rFonts w:ascii="Calibri" w:eastAsia="Times New Roman" w:hAnsi="Calibri" w:cs="Calibri"/>
                <w:b/>
                <w:bCs/>
                <w:color w:val="000000"/>
                <w:kern w:val="0"/>
                <w:sz w:val="22"/>
                <w:szCs w:val="22"/>
                <w:lang w:eastAsia="en-IN"/>
                <w14:ligatures w14:val="none"/>
              </w:rPr>
              <w:t>Sum of Total Damage, Adjusted ('000 US$)</w:t>
            </w:r>
          </w:p>
        </w:tc>
      </w:tr>
      <w:tr w:rsidR="007F3A39" w:rsidRPr="007F3A39" w14:paraId="597230E6"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5FA7C502"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1990</w:t>
            </w:r>
          </w:p>
        </w:tc>
        <w:tc>
          <w:tcPr>
            <w:tcW w:w="4020" w:type="dxa"/>
            <w:tcBorders>
              <w:top w:val="nil"/>
              <w:left w:val="nil"/>
              <w:bottom w:val="single" w:sz="4" w:space="0" w:color="auto"/>
              <w:right w:val="single" w:sz="8" w:space="0" w:color="auto"/>
            </w:tcBorders>
            <w:noWrap/>
            <w:vAlign w:val="bottom"/>
            <w:hideMark/>
          </w:tcPr>
          <w:p w14:paraId="423DD71C"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5,95,86,293.00</w:t>
            </w:r>
          </w:p>
        </w:tc>
      </w:tr>
      <w:tr w:rsidR="007F3A39" w:rsidRPr="007F3A39" w14:paraId="42B4B16D"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0CCADEB2"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1991</w:t>
            </w:r>
          </w:p>
        </w:tc>
        <w:tc>
          <w:tcPr>
            <w:tcW w:w="4020" w:type="dxa"/>
            <w:tcBorders>
              <w:top w:val="nil"/>
              <w:left w:val="nil"/>
              <w:bottom w:val="single" w:sz="4" w:space="0" w:color="auto"/>
              <w:right w:val="single" w:sz="8" w:space="0" w:color="auto"/>
            </w:tcBorders>
            <w:noWrap/>
            <w:vAlign w:val="bottom"/>
            <w:hideMark/>
          </w:tcPr>
          <w:p w14:paraId="5DCDFECC"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1,29,97,464.00</w:t>
            </w:r>
          </w:p>
        </w:tc>
      </w:tr>
      <w:tr w:rsidR="007F3A39" w:rsidRPr="007F3A39" w14:paraId="46ED5BED"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290769DB"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1992</w:t>
            </w:r>
          </w:p>
        </w:tc>
        <w:tc>
          <w:tcPr>
            <w:tcW w:w="4020" w:type="dxa"/>
            <w:tcBorders>
              <w:top w:val="nil"/>
              <w:left w:val="nil"/>
              <w:bottom w:val="single" w:sz="4" w:space="0" w:color="auto"/>
              <w:right w:val="single" w:sz="8" w:space="0" w:color="auto"/>
            </w:tcBorders>
            <w:noWrap/>
            <w:vAlign w:val="bottom"/>
            <w:hideMark/>
          </w:tcPr>
          <w:p w14:paraId="1C74C66F"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56,39,917.00</w:t>
            </w:r>
          </w:p>
        </w:tc>
      </w:tr>
      <w:tr w:rsidR="007F3A39" w:rsidRPr="007F3A39" w14:paraId="39BB97E5"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1AEC7781"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1993</w:t>
            </w:r>
          </w:p>
        </w:tc>
        <w:tc>
          <w:tcPr>
            <w:tcW w:w="4020" w:type="dxa"/>
            <w:tcBorders>
              <w:top w:val="nil"/>
              <w:left w:val="nil"/>
              <w:bottom w:val="single" w:sz="4" w:space="0" w:color="auto"/>
              <w:right w:val="single" w:sz="8" w:space="0" w:color="auto"/>
            </w:tcBorders>
            <w:noWrap/>
            <w:vAlign w:val="bottom"/>
            <w:hideMark/>
          </w:tcPr>
          <w:p w14:paraId="7CB1529F"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85,02,140.00</w:t>
            </w:r>
          </w:p>
        </w:tc>
      </w:tr>
      <w:tr w:rsidR="007F3A39" w:rsidRPr="007F3A39" w14:paraId="223CBCEF"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CBF0906"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1994</w:t>
            </w:r>
          </w:p>
        </w:tc>
        <w:tc>
          <w:tcPr>
            <w:tcW w:w="4020" w:type="dxa"/>
            <w:tcBorders>
              <w:top w:val="nil"/>
              <w:left w:val="nil"/>
              <w:bottom w:val="single" w:sz="4" w:space="0" w:color="auto"/>
              <w:right w:val="single" w:sz="8" w:space="0" w:color="auto"/>
            </w:tcBorders>
            <w:noWrap/>
            <w:vAlign w:val="bottom"/>
            <w:hideMark/>
          </w:tcPr>
          <w:p w14:paraId="77CA2D67"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2,57,60,056.00</w:t>
            </w:r>
          </w:p>
        </w:tc>
      </w:tr>
      <w:tr w:rsidR="007F3A39" w:rsidRPr="007F3A39" w14:paraId="38EBE8F7"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0F28E1B0"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1995</w:t>
            </w:r>
          </w:p>
        </w:tc>
        <w:tc>
          <w:tcPr>
            <w:tcW w:w="4020" w:type="dxa"/>
            <w:tcBorders>
              <w:top w:val="nil"/>
              <w:left w:val="nil"/>
              <w:bottom w:val="single" w:sz="4" w:space="0" w:color="auto"/>
              <w:right w:val="single" w:sz="8" w:space="0" w:color="auto"/>
            </w:tcBorders>
            <w:noWrap/>
            <w:vAlign w:val="bottom"/>
            <w:hideMark/>
          </w:tcPr>
          <w:p w14:paraId="2E66CDA4"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1,13,99,205.00</w:t>
            </w:r>
          </w:p>
        </w:tc>
      </w:tr>
      <w:tr w:rsidR="007F3A39" w:rsidRPr="007F3A39" w14:paraId="1D1FFA96"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4D552425"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1996</w:t>
            </w:r>
          </w:p>
        </w:tc>
        <w:tc>
          <w:tcPr>
            <w:tcW w:w="4020" w:type="dxa"/>
            <w:tcBorders>
              <w:top w:val="nil"/>
              <w:left w:val="nil"/>
              <w:bottom w:val="single" w:sz="4" w:space="0" w:color="auto"/>
              <w:right w:val="single" w:sz="8" w:space="0" w:color="auto"/>
            </w:tcBorders>
            <w:noWrap/>
            <w:vAlign w:val="bottom"/>
            <w:hideMark/>
          </w:tcPr>
          <w:p w14:paraId="5658862B"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37,48,689.00</w:t>
            </w:r>
          </w:p>
        </w:tc>
      </w:tr>
      <w:tr w:rsidR="007F3A39" w:rsidRPr="007F3A39" w14:paraId="386BFDF2"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EDD1399"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1997</w:t>
            </w:r>
          </w:p>
        </w:tc>
        <w:tc>
          <w:tcPr>
            <w:tcW w:w="4020" w:type="dxa"/>
            <w:tcBorders>
              <w:top w:val="nil"/>
              <w:left w:val="nil"/>
              <w:bottom w:val="single" w:sz="4" w:space="0" w:color="auto"/>
              <w:right w:val="single" w:sz="8" w:space="0" w:color="auto"/>
            </w:tcBorders>
            <w:noWrap/>
            <w:vAlign w:val="bottom"/>
            <w:hideMark/>
          </w:tcPr>
          <w:p w14:paraId="3245BCE2"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2,39,22,304.00</w:t>
            </w:r>
          </w:p>
        </w:tc>
      </w:tr>
      <w:tr w:rsidR="007F3A39" w:rsidRPr="007F3A39" w14:paraId="57278716"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21FA1092"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1998</w:t>
            </w:r>
          </w:p>
        </w:tc>
        <w:tc>
          <w:tcPr>
            <w:tcW w:w="4020" w:type="dxa"/>
            <w:tcBorders>
              <w:top w:val="nil"/>
              <w:left w:val="nil"/>
              <w:bottom w:val="single" w:sz="4" w:space="0" w:color="auto"/>
              <w:right w:val="single" w:sz="8" w:space="0" w:color="auto"/>
            </w:tcBorders>
            <w:noWrap/>
            <w:vAlign w:val="bottom"/>
            <w:hideMark/>
          </w:tcPr>
          <w:p w14:paraId="115A7AD9"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81,22,044.00</w:t>
            </w:r>
          </w:p>
        </w:tc>
      </w:tr>
      <w:tr w:rsidR="007F3A39" w:rsidRPr="007F3A39" w14:paraId="134C2E6D"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22762FEF"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1999</w:t>
            </w:r>
          </w:p>
        </w:tc>
        <w:tc>
          <w:tcPr>
            <w:tcW w:w="4020" w:type="dxa"/>
            <w:tcBorders>
              <w:top w:val="nil"/>
              <w:left w:val="nil"/>
              <w:bottom w:val="single" w:sz="4" w:space="0" w:color="auto"/>
              <w:right w:val="single" w:sz="8" w:space="0" w:color="auto"/>
            </w:tcBorders>
            <w:noWrap/>
            <w:vAlign w:val="bottom"/>
            <w:hideMark/>
          </w:tcPr>
          <w:p w14:paraId="2B19AE9B"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5,36,41,001.00</w:t>
            </w:r>
          </w:p>
        </w:tc>
      </w:tr>
      <w:tr w:rsidR="007F3A39" w:rsidRPr="007F3A39" w14:paraId="719E7364"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C9DD553"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2000</w:t>
            </w:r>
          </w:p>
        </w:tc>
        <w:tc>
          <w:tcPr>
            <w:tcW w:w="4020" w:type="dxa"/>
            <w:tcBorders>
              <w:top w:val="nil"/>
              <w:left w:val="nil"/>
              <w:bottom w:val="single" w:sz="4" w:space="0" w:color="auto"/>
              <w:right w:val="single" w:sz="8" w:space="0" w:color="auto"/>
            </w:tcBorders>
            <w:noWrap/>
            <w:vAlign w:val="bottom"/>
            <w:hideMark/>
          </w:tcPr>
          <w:p w14:paraId="7E0DC729"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3,19,05,145.00</w:t>
            </w:r>
          </w:p>
        </w:tc>
      </w:tr>
      <w:tr w:rsidR="007F3A39" w:rsidRPr="007F3A39" w14:paraId="65DB06C5"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6BDBB23"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2001</w:t>
            </w:r>
          </w:p>
        </w:tc>
        <w:tc>
          <w:tcPr>
            <w:tcW w:w="4020" w:type="dxa"/>
            <w:tcBorders>
              <w:top w:val="nil"/>
              <w:left w:val="nil"/>
              <w:bottom w:val="single" w:sz="4" w:space="0" w:color="auto"/>
              <w:right w:val="single" w:sz="8" w:space="0" w:color="auto"/>
            </w:tcBorders>
            <w:noWrap/>
            <w:vAlign w:val="bottom"/>
            <w:hideMark/>
          </w:tcPr>
          <w:p w14:paraId="17C118A4"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32,80,535.00</w:t>
            </w:r>
          </w:p>
        </w:tc>
      </w:tr>
      <w:tr w:rsidR="007F3A39" w:rsidRPr="007F3A39" w14:paraId="1EF56BC3"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1E9FA071"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2002</w:t>
            </w:r>
          </w:p>
        </w:tc>
        <w:tc>
          <w:tcPr>
            <w:tcW w:w="4020" w:type="dxa"/>
            <w:tcBorders>
              <w:top w:val="nil"/>
              <w:left w:val="nil"/>
              <w:bottom w:val="single" w:sz="4" w:space="0" w:color="auto"/>
              <w:right w:val="single" w:sz="8" w:space="0" w:color="auto"/>
            </w:tcBorders>
            <w:noWrap/>
            <w:vAlign w:val="bottom"/>
            <w:hideMark/>
          </w:tcPr>
          <w:p w14:paraId="6CDABF9A"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4,01,90,101.00</w:t>
            </w:r>
          </w:p>
        </w:tc>
      </w:tr>
      <w:tr w:rsidR="007F3A39" w:rsidRPr="007F3A39" w14:paraId="2B570A6A"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4833D235"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2003</w:t>
            </w:r>
          </w:p>
        </w:tc>
        <w:tc>
          <w:tcPr>
            <w:tcW w:w="4020" w:type="dxa"/>
            <w:tcBorders>
              <w:top w:val="nil"/>
              <w:left w:val="nil"/>
              <w:bottom w:val="single" w:sz="4" w:space="0" w:color="auto"/>
              <w:right w:val="single" w:sz="8" w:space="0" w:color="auto"/>
            </w:tcBorders>
            <w:noWrap/>
            <w:vAlign w:val="bottom"/>
            <w:hideMark/>
          </w:tcPr>
          <w:p w14:paraId="07142834"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3,10,72,472.00</w:t>
            </w:r>
          </w:p>
        </w:tc>
      </w:tr>
      <w:tr w:rsidR="007F3A39" w:rsidRPr="007F3A39" w14:paraId="056CB664"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45374ED6"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2004</w:t>
            </w:r>
          </w:p>
        </w:tc>
        <w:tc>
          <w:tcPr>
            <w:tcW w:w="4020" w:type="dxa"/>
            <w:tcBorders>
              <w:top w:val="nil"/>
              <w:left w:val="nil"/>
              <w:bottom w:val="single" w:sz="4" w:space="0" w:color="auto"/>
              <w:right w:val="single" w:sz="8" w:space="0" w:color="auto"/>
            </w:tcBorders>
            <w:noWrap/>
            <w:vAlign w:val="bottom"/>
            <w:hideMark/>
          </w:tcPr>
          <w:p w14:paraId="75D848C5"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39,74,607.00</w:t>
            </w:r>
          </w:p>
        </w:tc>
      </w:tr>
      <w:tr w:rsidR="007F3A39" w:rsidRPr="007F3A39" w14:paraId="2642638D"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369DC184"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2005</w:t>
            </w:r>
          </w:p>
        </w:tc>
        <w:tc>
          <w:tcPr>
            <w:tcW w:w="4020" w:type="dxa"/>
            <w:tcBorders>
              <w:top w:val="nil"/>
              <w:left w:val="nil"/>
              <w:bottom w:val="single" w:sz="4" w:space="0" w:color="auto"/>
              <w:right w:val="single" w:sz="8" w:space="0" w:color="auto"/>
            </w:tcBorders>
            <w:noWrap/>
            <w:vAlign w:val="bottom"/>
            <w:hideMark/>
          </w:tcPr>
          <w:p w14:paraId="5D15BEB7"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2,35,62,885.00</w:t>
            </w:r>
          </w:p>
        </w:tc>
      </w:tr>
      <w:tr w:rsidR="007F3A39" w:rsidRPr="007F3A39" w14:paraId="1F17E810"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5BF1CF5E"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2006</w:t>
            </w:r>
          </w:p>
        </w:tc>
        <w:tc>
          <w:tcPr>
            <w:tcW w:w="4020" w:type="dxa"/>
            <w:tcBorders>
              <w:top w:val="nil"/>
              <w:left w:val="nil"/>
              <w:bottom w:val="single" w:sz="4" w:space="0" w:color="auto"/>
              <w:right w:val="single" w:sz="8" w:space="0" w:color="auto"/>
            </w:tcBorders>
            <w:noWrap/>
            <w:vAlign w:val="bottom"/>
            <w:hideMark/>
          </w:tcPr>
          <w:p w14:paraId="66AD3D5C"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32,85,620.00</w:t>
            </w:r>
          </w:p>
        </w:tc>
      </w:tr>
      <w:tr w:rsidR="007F3A39" w:rsidRPr="007F3A39" w14:paraId="5009CC22"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732E6807"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2007</w:t>
            </w:r>
          </w:p>
        </w:tc>
        <w:tc>
          <w:tcPr>
            <w:tcW w:w="4020" w:type="dxa"/>
            <w:tcBorders>
              <w:top w:val="nil"/>
              <w:left w:val="nil"/>
              <w:bottom w:val="single" w:sz="4" w:space="0" w:color="auto"/>
              <w:right w:val="single" w:sz="8" w:space="0" w:color="auto"/>
            </w:tcBorders>
            <w:noWrap/>
            <w:vAlign w:val="bottom"/>
            <w:hideMark/>
          </w:tcPr>
          <w:p w14:paraId="5659D9EA"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3,20,19,383.00</w:t>
            </w:r>
          </w:p>
        </w:tc>
      </w:tr>
      <w:tr w:rsidR="007F3A39" w:rsidRPr="007F3A39" w14:paraId="6CFDE417"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22E9244C"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2008</w:t>
            </w:r>
          </w:p>
        </w:tc>
        <w:tc>
          <w:tcPr>
            <w:tcW w:w="4020" w:type="dxa"/>
            <w:tcBorders>
              <w:top w:val="nil"/>
              <w:left w:val="nil"/>
              <w:bottom w:val="single" w:sz="4" w:space="0" w:color="auto"/>
              <w:right w:val="single" w:sz="8" w:space="0" w:color="auto"/>
            </w:tcBorders>
            <w:noWrap/>
            <w:vAlign w:val="bottom"/>
            <w:hideMark/>
          </w:tcPr>
          <w:p w14:paraId="65223952"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68,59,404.00</w:t>
            </w:r>
          </w:p>
        </w:tc>
      </w:tr>
      <w:tr w:rsidR="007F3A39" w:rsidRPr="007F3A39" w14:paraId="59B20DA3"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324365F"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2009</w:t>
            </w:r>
          </w:p>
        </w:tc>
        <w:tc>
          <w:tcPr>
            <w:tcW w:w="4020" w:type="dxa"/>
            <w:tcBorders>
              <w:top w:val="nil"/>
              <w:left w:val="nil"/>
              <w:bottom w:val="single" w:sz="4" w:space="0" w:color="auto"/>
              <w:right w:val="single" w:sz="8" w:space="0" w:color="auto"/>
            </w:tcBorders>
            <w:noWrap/>
            <w:vAlign w:val="bottom"/>
            <w:hideMark/>
          </w:tcPr>
          <w:p w14:paraId="7F46C9A0"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1,49,71,125.00</w:t>
            </w:r>
          </w:p>
        </w:tc>
      </w:tr>
      <w:tr w:rsidR="007F3A39" w:rsidRPr="007F3A39" w14:paraId="5AD982C0"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1EC212A3"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2010</w:t>
            </w:r>
          </w:p>
        </w:tc>
        <w:tc>
          <w:tcPr>
            <w:tcW w:w="4020" w:type="dxa"/>
            <w:tcBorders>
              <w:top w:val="nil"/>
              <w:left w:val="nil"/>
              <w:bottom w:val="single" w:sz="4" w:space="0" w:color="auto"/>
              <w:right w:val="single" w:sz="8" w:space="0" w:color="auto"/>
            </w:tcBorders>
            <w:noWrap/>
            <w:vAlign w:val="bottom"/>
            <w:hideMark/>
          </w:tcPr>
          <w:p w14:paraId="1651CAB0"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2,73,68,555.00</w:t>
            </w:r>
          </w:p>
        </w:tc>
      </w:tr>
      <w:tr w:rsidR="007F3A39" w:rsidRPr="007F3A39" w14:paraId="09951AC4"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579DE28"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2011</w:t>
            </w:r>
          </w:p>
        </w:tc>
        <w:tc>
          <w:tcPr>
            <w:tcW w:w="4020" w:type="dxa"/>
            <w:tcBorders>
              <w:top w:val="nil"/>
              <w:left w:val="nil"/>
              <w:bottom w:val="single" w:sz="4" w:space="0" w:color="auto"/>
              <w:right w:val="single" w:sz="8" w:space="0" w:color="auto"/>
            </w:tcBorders>
            <w:noWrap/>
            <w:vAlign w:val="bottom"/>
            <w:hideMark/>
          </w:tcPr>
          <w:p w14:paraId="0F4C9FA4"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16,63,719.00</w:t>
            </w:r>
          </w:p>
        </w:tc>
      </w:tr>
      <w:tr w:rsidR="007F3A39" w:rsidRPr="007F3A39" w14:paraId="46F53B17"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38308FEB"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2012</w:t>
            </w:r>
          </w:p>
        </w:tc>
        <w:tc>
          <w:tcPr>
            <w:tcW w:w="4020" w:type="dxa"/>
            <w:tcBorders>
              <w:top w:val="nil"/>
              <w:left w:val="nil"/>
              <w:bottom w:val="single" w:sz="4" w:space="0" w:color="auto"/>
              <w:right w:val="single" w:sz="8" w:space="0" w:color="auto"/>
            </w:tcBorders>
            <w:noWrap/>
            <w:vAlign w:val="bottom"/>
            <w:hideMark/>
          </w:tcPr>
          <w:p w14:paraId="3A0E057C"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3,35,63,828.00</w:t>
            </w:r>
          </w:p>
        </w:tc>
      </w:tr>
      <w:tr w:rsidR="007F3A39" w:rsidRPr="007F3A39" w14:paraId="4BE5C60E"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48E8C16A"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2013</w:t>
            </w:r>
          </w:p>
        </w:tc>
        <w:tc>
          <w:tcPr>
            <w:tcW w:w="4020" w:type="dxa"/>
            <w:tcBorders>
              <w:top w:val="nil"/>
              <w:left w:val="nil"/>
              <w:bottom w:val="single" w:sz="4" w:space="0" w:color="auto"/>
              <w:right w:val="single" w:sz="8" w:space="0" w:color="auto"/>
            </w:tcBorders>
            <w:noWrap/>
            <w:vAlign w:val="bottom"/>
            <w:hideMark/>
          </w:tcPr>
          <w:p w14:paraId="2450D41B"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3,20,32,532.00</w:t>
            </w:r>
          </w:p>
        </w:tc>
      </w:tr>
      <w:tr w:rsidR="007F3A39" w:rsidRPr="007F3A39" w14:paraId="2D6DAB88"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48EBF468"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2014</w:t>
            </w:r>
          </w:p>
        </w:tc>
        <w:tc>
          <w:tcPr>
            <w:tcW w:w="4020" w:type="dxa"/>
            <w:tcBorders>
              <w:top w:val="nil"/>
              <w:left w:val="nil"/>
              <w:bottom w:val="single" w:sz="4" w:space="0" w:color="auto"/>
              <w:right w:val="single" w:sz="8" w:space="0" w:color="auto"/>
            </w:tcBorders>
            <w:noWrap/>
            <w:vAlign w:val="bottom"/>
            <w:hideMark/>
          </w:tcPr>
          <w:p w14:paraId="1F0C1426"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89,42,600.00</w:t>
            </w:r>
          </w:p>
        </w:tc>
      </w:tr>
      <w:tr w:rsidR="007F3A39" w:rsidRPr="007F3A39" w14:paraId="2EDB3017"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35A3CF2"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2015</w:t>
            </w:r>
          </w:p>
        </w:tc>
        <w:tc>
          <w:tcPr>
            <w:tcW w:w="4020" w:type="dxa"/>
            <w:tcBorders>
              <w:top w:val="nil"/>
              <w:left w:val="nil"/>
              <w:bottom w:val="single" w:sz="4" w:space="0" w:color="auto"/>
              <w:right w:val="single" w:sz="8" w:space="0" w:color="auto"/>
            </w:tcBorders>
            <w:noWrap/>
            <w:vAlign w:val="bottom"/>
            <w:hideMark/>
          </w:tcPr>
          <w:p w14:paraId="17E10721"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62,18,560.00</w:t>
            </w:r>
          </w:p>
        </w:tc>
      </w:tr>
      <w:tr w:rsidR="007F3A39" w:rsidRPr="007F3A39" w14:paraId="73E994E8"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29D0B78D"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2016</w:t>
            </w:r>
          </w:p>
        </w:tc>
        <w:tc>
          <w:tcPr>
            <w:tcW w:w="4020" w:type="dxa"/>
            <w:tcBorders>
              <w:top w:val="nil"/>
              <w:left w:val="nil"/>
              <w:bottom w:val="single" w:sz="4" w:space="0" w:color="auto"/>
              <w:right w:val="single" w:sz="8" w:space="0" w:color="auto"/>
            </w:tcBorders>
            <w:noWrap/>
            <w:vAlign w:val="bottom"/>
            <w:hideMark/>
          </w:tcPr>
          <w:p w14:paraId="471E63DB"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1,46,10,932.00</w:t>
            </w:r>
          </w:p>
        </w:tc>
      </w:tr>
      <w:tr w:rsidR="007F3A39" w:rsidRPr="007F3A39" w14:paraId="710C72D5"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3028C01"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2017</w:t>
            </w:r>
          </w:p>
        </w:tc>
        <w:tc>
          <w:tcPr>
            <w:tcW w:w="4020" w:type="dxa"/>
            <w:tcBorders>
              <w:top w:val="nil"/>
              <w:left w:val="nil"/>
              <w:bottom w:val="single" w:sz="4" w:space="0" w:color="auto"/>
              <w:right w:val="single" w:sz="8" w:space="0" w:color="auto"/>
            </w:tcBorders>
            <w:noWrap/>
            <w:vAlign w:val="bottom"/>
            <w:hideMark/>
          </w:tcPr>
          <w:p w14:paraId="73C1E8CA"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69,34,386.00</w:t>
            </w:r>
          </w:p>
        </w:tc>
      </w:tr>
      <w:tr w:rsidR="007F3A39" w:rsidRPr="007F3A39" w14:paraId="57CF0ACB"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059E537D"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2018</w:t>
            </w:r>
          </w:p>
        </w:tc>
        <w:tc>
          <w:tcPr>
            <w:tcW w:w="4020" w:type="dxa"/>
            <w:tcBorders>
              <w:top w:val="nil"/>
              <w:left w:val="nil"/>
              <w:bottom w:val="single" w:sz="4" w:space="0" w:color="auto"/>
              <w:right w:val="single" w:sz="8" w:space="0" w:color="auto"/>
            </w:tcBorders>
            <w:noWrap/>
            <w:vAlign w:val="bottom"/>
            <w:hideMark/>
          </w:tcPr>
          <w:p w14:paraId="25F58A80"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40,13,745.00</w:t>
            </w:r>
          </w:p>
        </w:tc>
      </w:tr>
      <w:tr w:rsidR="007F3A39" w:rsidRPr="007F3A39" w14:paraId="738221EF"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3CDDF3B9"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2019</w:t>
            </w:r>
          </w:p>
        </w:tc>
        <w:tc>
          <w:tcPr>
            <w:tcW w:w="4020" w:type="dxa"/>
            <w:tcBorders>
              <w:top w:val="nil"/>
              <w:left w:val="nil"/>
              <w:bottom w:val="single" w:sz="4" w:space="0" w:color="auto"/>
              <w:right w:val="single" w:sz="8" w:space="0" w:color="auto"/>
            </w:tcBorders>
            <w:noWrap/>
            <w:vAlign w:val="bottom"/>
            <w:hideMark/>
          </w:tcPr>
          <w:p w14:paraId="29DBE237"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52,17,159.00</w:t>
            </w:r>
          </w:p>
        </w:tc>
      </w:tr>
      <w:tr w:rsidR="007F3A39" w:rsidRPr="007F3A39" w14:paraId="7B8D9974"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25CB260"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2020</w:t>
            </w:r>
          </w:p>
        </w:tc>
        <w:tc>
          <w:tcPr>
            <w:tcW w:w="4020" w:type="dxa"/>
            <w:tcBorders>
              <w:top w:val="nil"/>
              <w:left w:val="nil"/>
              <w:bottom w:val="single" w:sz="4" w:space="0" w:color="auto"/>
              <w:right w:val="single" w:sz="8" w:space="0" w:color="auto"/>
            </w:tcBorders>
            <w:noWrap/>
            <w:vAlign w:val="bottom"/>
            <w:hideMark/>
          </w:tcPr>
          <w:p w14:paraId="19340417"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1,95,25,029.00</w:t>
            </w:r>
          </w:p>
        </w:tc>
      </w:tr>
      <w:tr w:rsidR="007F3A39" w:rsidRPr="007F3A39" w14:paraId="1633F39F"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0244F2B4"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2021</w:t>
            </w:r>
          </w:p>
        </w:tc>
        <w:tc>
          <w:tcPr>
            <w:tcW w:w="4020" w:type="dxa"/>
            <w:tcBorders>
              <w:top w:val="nil"/>
              <w:left w:val="nil"/>
              <w:bottom w:val="single" w:sz="4" w:space="0" w:color="auto"/>
              <w:right w:val="single" w:sz="8" w:space="0" w:color="auto"/>
            </w:tcBorders>
            <w:noWrap/>
            <w:vAlign w:val="bottom"/>
            <w:hideMark/>
          </w:tcPr>
          <w:p w14:paraId="2A1F84BC"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5,96,12,196.00</w:t>
            </w:r>
          </w:p>
        </w:tc>
      </w:tr>
      <w:tr w:rsidR="007F3A39" w:rsidRPr="007F3A39" w14:paraId="4EF73113"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6215E4A4"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2022</w:t>
            </w:r>
          </w:p>
        </w:tc>
        <w:tc>
          <w:tcPr>
            <w:tcW w:w="4020" w:type="dxa"/>
            <w:tcBorders>
              <w:top w:val="nil"/>
              <w:left w:val="nil"/>
              <w:bottom w:val="single" w:sz="4" w:space="0" w:color="auto"/>
              <w:right w:val="single" w:sz="8" w:space="0" w:color="auto"/>
            </w:tcBorders>
            <w:noWrap/>
            <w:vAlign w:val="bottom"/>
            <w:hideMark/>
          </w:tcPr>
          <w:p w14:paraId="7CF14529"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23,10,871.00</w:t>
            </w:r>
          </w:p>
        </w:tc>
      </w:tr>
      <w:tr w:rsidR="007F3A39" w:rsidRPr="007F3A39" w14:paraId="68E6D4A7"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7C22976A"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2023</w:t>
            </w:r>
          </w:p>
        </w:tc>
        <w:tc>
          <w:tcPr>
            <w:tcW w:w="4020" w:type="dxa"/>
            <w:tcBorders>
              <w:top w:val="nil"/>
              <w:left w:val="nil"/>
              <w:bottom w:val="single" w:sz="4" w:space="0" w:color="auto"/>
              <w:right w:val="single" w:sz="8" w:space="0" w:color="auto"/>
            </w:tcBorders>
            <w:noWrap/>
            <w:vAlign w:val="bottom"/>
            <w:hideMark/>
          </w:tcPr>
          <w:p w14:paraId="5617C4D4"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1,60,39,534.00</w:t>
            </w:r>
          </w:p>
        </w:tc>
      </w:tr>
      <w:tr w:rsidR="007F3A39" w:rsidRPr="007F3A39" w14:paraId="1512F6D2" w14:textId="77777777" w:rsidTr="007F3A39">
        <w:trPr>
          <w:trHeight w:val="290"/>
        </w:trPr>
        <w:tc>
          <w:tcPr>
            <w:tcW w:w="1460" w:type="dxa"/>
            <w:tcBorders>
              <w:top w:val="nil"/>
              <w:left w:val="single" w:sz="8" w:space="0" w:color="auto"/>
              <w:bottom w:val="single" w:sz="4" w:space="0" w:color="auto"/>
              <w:right w:val="single" w:sz="4" w:space="0" w:color="auto"/>
            </w:tcBorders>
            <w:noWrap/>
            <w:vAlign w:val="bottom"/>
            <w:hideMark/>
          </w:tcPr>
          <w:p w14:paraId="7A78EA20" w14:textId="77777777" w:rsidR="007F3A39" w:rsidRPr="007F3A39" w:rsidRDefault="007F3A39" w:rsidP="007F3A39">
            <w:pPr>
              <w:spacing w:after="0" w:line="240" w:lineRule="auto"/>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2024</w:t>
            </w:r>
          </w:p>
        </w:tc>
        <w:tc>
          <w:tcPr>
            <w:tcW w:w="4020" w:type="dxa"/>
            <w:tcBorders>
              <w:top w:val="nil"/>
              <w:left w:val="nil"/>
              <w:bottom w:val="single" w:sz="4" w:space="0" w:color="auto"/>
              <w:right w:val="single" w:sz="8" w:space="0" w:color="auto"/>
            </w:tcBorders>
            <w:noWrap/>
            <w:vAlign w:val="bottom"/>
            <w:hideMark/>
          </w:tcPr>
          <w:p w14:paraId="0BBAB734" w14:textId="77777777" w:rsidR="007F3A39" w:rsidRPr="007F3A39" w:rsidRDefault="007F3A39" w:rsidP="007F3A39">
            <w:pPr>
              <w:spacing w:after="0" w:line="240" w:lineRule="auto"/>
              <w:jc w:val="right"/>
              <w:rPr>
                <w:rFonts w:ascii="Calibri" w:eastAsia="Times New Roman" w:hAnsi="Calibri" w:cs="Calibri"/>
                <w:color w:val="000000"/>
                <w:kern w:val="0"/>
                <w:sz w:val="22"/>
                <w:szCs w:val="22"/>
                <w:lang w:eastAsia="en-IN"/>
                <w14:ligatures w14:val="none"/>
              </w:rPr>
            </w:pPr>
            <w:r w:rsidRPr="007F3A39">
              <w:rPr>
                <w:rFonts w:ascii="Calibri" w:eastAsia="Times New Roman" w:hAnsi="Calibri" w:cs="Calibri"/>
                <w:color w:val="000000"/>
                <w:kern w:val="0"/>
                <w:sz w:val="22"/>
                <w:szCs w:val="22"/>
                <w:lang w:eastAsia="en-IN"/>
                <w14:ligatures w14:val="none"/>
              </w:rPr>
              <w:t>1,95,90,462.00</w:t>
            </w:r>
          </w:p>
        </w:tc>
      </w:tr>
      <w:tr w:rsidR="007F3A39" w:rsidRPr="007F3A39" w14:paraId="12B4E38C" w14:textId="77777777" w:rsidTr="007F3A39">
        <w:trPr>
          <w:trHeight w:val="300"/>
        </w:trPr>
        <w:tc>
          <w:tcPr>
            <w:tcW w:w="1460" w:type="dxa"/>
            <w:tcBorders>
              <w:top w:val="single" w:sz="4" w:space="0" w:color="auto"/>
              <w:left w:val="single" w:sz="8" w:space="0" w:color="auto"/>
              <w:bottom w:val="single" w:sz="8" w:space="0" w:color="auto"/>
              <w:right w:val="single" w:sz="4" w:space="0" w:color="auto"/>
            </w:tcBorders>
            <w:shd w:val="clear" w:color="DDEBF7" w:fill="DDEBF7"/>
            <w:noWrap/>
            <w:vAlign w:val="bottom"/>
            <w:hideMark/>
          </w:tcPr>
          <w:p w14:paraId="1393A138" w14:textId="77777777" w:rsidR="007F3A39" w:rsidRPr="007F3A39" w:rsidRDefault="007F3A39" w:rsidP="007F3A39">
            <w:pPr>
              <w:spacing w:after="0" w:line="240" w:lineRule="auto"/>
              <w:rPr>
                <w:rFonts w:ascii="Calibri" w:eastAsia="Times New Roman" w:hAnsi="Calibri" w:cs="Calibri"/>
                <w:b/>
                <w:bCs/>
                <w:color w:val="000000"/>
                <w:kern w:val="0"/>
                <w:sz w:val="22"/>
                <w:szCs w:val="22"/>
                <w:lang w:eastAsia="en-IN"/>
                <w14:ligatures w14:val="none"/>
              </w:rPr>
            </w:pPr>
            <w:r w:rsidRPr="007F3A39">
              <w:rPr>
                <w:rFonts w:ascii="Calibri" w:eastAsia="Times New Roman" w:hAnsi="Calibri" w:cs="Calibri"/>
                <w:b/>
                <w:bCs/>
                <w:color w:val="000000"/>
                <w:kern w:val="0"/>
                <w:sz w:val="22"/>
                <w:szCs w:val="22"/>
                <w:lang w:eastAsia="en-IN"/>
                <w14:ligatures w14:val="none"/>
              </w:rPr>
              <w:t>Grand Total</w:t>
            </w:r>
          </w:p>
        </w:tc>
        <w:tc>
          <w:tcPr>
            <w:tcW w:w="4020" w:type="dxa"/>
            <w:tcBorders>
              <w:top w:val="single" w:sz="4" w:space="0" w:color="auto"/>
              <w:left w:val="single" w:sz="4" w:space="0" w:color="auto"/>
              <w:bottom w:val="single" w:sz="8" w:space="0" w:color="auto"/>
              <w:right w:val="single" w:sz="8" w:space="0" w:color="auto"/>
            </w:tcBorders>
            <w:shd w:val="clear" w:color="DDEBF7" w:fill="DDEBF7"/>
            <w:noWrap/>
            <w:vAlign w:val="bottom"/>
            <w:hideMark/>
          </w:tcPr>
          <w:p w14:paraId="219CAD66" w14:textId="77777777" w:rsidR="007F3A39" w:rsidRPr="007F3A39" w:rsidRDefault="007F3A39" w:rsidP="007F3A39">
            <w:pPr>
              <w:spacing w:after="0" w:line="240" w:lineRule="auto"/>
              <w:jc w:val="right"/>
              <w:rPr>
                <w:rFonts w:ascii="Calibri" w:eastAsia="Times New Roman" w:hAnsi="Calibri" w:cs="Calibri"/>
                <w:b/>
                <w:bCs/>
                <w:color w:val="000000"/>
                <w:kern w:val="0"/>
                <w:sz w:val="22"/>
                <w:szCs w:val="22"/>
                <w:lang w:eastAsia="en-IN"/>
                <w14:ligatures w14:val="none"/>
              </w:rPr>
            </w:pPr>
            <w:r w:rsidRPr="007F3A39">
              <w:rPr>
                <w:rFonts w:ascii="Calibri" w:eastAsia="Times New Roman" w:hAnsi="Calibri" w:cs="Calibri"/>
                <w:b/>
                <w:bCs/>
                <w:color w:val="000000"/>
                <w:kern w:val="0"/>
                <w:sz w:val="22"/>
                <w:szCs w:val="22"/>
                <w:lang w:eastAsia="en-IN"/>
                <w14:ligatures w14:val="none"/>
              </w:rPr>
              <w:t>66,20,84,498.00</w:t>
            </w:r>
          </w:p>
        </w:tc>
      </w:tr>
    </w:tbl>
    <w:p w14:paraId="2AA2EE43" w14:textId="0AA25AF8" w:rsidR="007F3A39" w:rsidRDefault="007F3A39" w:rsidP="007F3A39">
      <w:pPr>
        <w:rPr>
          <w:rFonts w:ascii="Times New Roman" w:hAnsi="Times New Roman" w:cs="Times New Roman"/>
        </w:rPr>
      </w:pPr>
    </w:p>
    <w:p w14:paraId="562EB7DA" w14:textId="77777777" w:rsidR="00DC2F91" w:rsidRDefault="00DC2F91" w:rsidP="007F3A39">
      <w:pPr>
        <w:rPr>
          <w:rFonts w:ascii="Times New Roman" w:hAnsi="Times New Roman" w:cs="Times New Roman"/>
        </w:rPr>
      </w:pPr>
    </w:p>
    <w:p w14:paraId="6D0CEBB7" w14:textId="77777777" w:rsidR="00DC2F91" w:rsidRDefault="00DC2F91" w:rsidP="007F3A39">
      <w:pPr>
        <w:rPr>
          <w:rFonts w:ascii="Times New Roman" w:hAnsi="Times New Roman" w:cs="Times New Roman"/>
        </w:rPr>
      </w:pPr>
    </w:p>
    <w:p w14:paraId="74D30242" w14:textId="77777777" w:rsidR="00DC2F91" w:rsidRPr="007F3A39" w:rsidRDefault="00DC2F91" w:rsidP="007F3A39">
      <w:pPr>
        <w:rPr>
          <w:rFonts w:ascii="Times New Roman" w:hAnsi="Times New Roman" w:cs="Times New Roman"/>
        </w:rPr>
      </w:pPr>
      <w:r>
        <w:rPr>
          <w:rFonts w:ascii="Times New Roman" w:hAnsi="Times New Roman" w:cs="Times New Roman"/>
        </w:rPr>
        <w:lastRenderedPageBreak/>
        <w:t>TABLE 3</w:t>
      </w:r>
      <w:r>
        <w:rPr>
          <w:rFonts w:ascii="Times New Roman" w:hAnsi="Times New Roman" w:cs="Times New Roman"/>
        </w:rPr>
        <w:br/>
      </w:r>
    </w:p>
    <w:tbl>
      <w:tblPr>
        <w:tblW w:w="10490" w:type="dxa"/>
        <w:tblInd w:w="-719" w:type="dxa"/>
        <w:tblLook w:val="04A0" w:firstRow="1" w:lastRow="0" w:firstColumn="1" w:lastColumn="0" w:noHBand="0" w:noVBand="1"/>
      </w:tblPr>
      <w:tblGrid>
        <w:gridCol w:w="5327"/>
        <w:gridCol w:w="5163"/>
      </w:tblGrid>
      <w:tr w:rsidR="00DC2F91" w:rsidRPr="00DC2F91" w14:paraId="22717752" w14:textId="77777777" w:rsidTr="00DC2F91">
        <w:trPr>
          <w:trHeight w:val="300"/>
        </w:trPr>
        <w:tc>
          <w:tcPr>
            <w:tcW w:w="5327" w:type="dxa"/>
            <w:tcBorders>
              <w:top w:val="single" w:sz="8" w:space="0" w:color="auto"/>
              <w:left w:val="single" w:sz="8" w:space="0" w:color="auto"/>
              <w:bottom w:val="single" w:sz="8" w:space="0" w:color="auto"/>
              <w:right w:val="single" w:sz="4" w:space="0" w:color="auto"/>
            </w:tcBorders>
            <w:shd w:val="clear" w:color="DDEBF7" w:fill="DDEBF7"/>
            <w:noWrap/>
            <w:vAlign w:val="bottom"/>
            <w:hideMark/>
          </w:tcPr>
          <w:p w14:paraId="5E0A9DF4" w14:textId="77777777" w:rsidR="00DC2F91" w:rsidRPr="00DC2F91" w:rsidRDefault="00DC2F91" w:rsidP="00DC2F91">
            <w:pPr>
              <w:spacing w:after="0" w:line="240" w:lineRule="auto"/>
              <w:rPr>
                <w:rFonts w:ascii="Calibri" w:eastAsia="Times New Roman" w:hAnsi="Calibri" w:cs="Calibri"/>
                <w:b/>
                <w:bCs/>
                <w:color w:val="000000"/>
                <w:kern w:val="0"/>
                <w:sz w:val="22"/>
                <w:szCs w:val="22"/>
                <w:lang w:eastAsia="en-IN"/>
                <w14:ligatures w14:val="none"/>
              </w:rPr>
            </w:pPr>
            <w:r w:rsidRPr="00DC2F91">
              <w:rPr>
                <w:rFonts w:ascii="Calibri" w:eastAsia="Times New Roman" w:hAnsi="Calibri" w:cs="Calibri"/>
                <w:b/>
                <w:bCs/>
                <w:color w:val="000000"/>
                <w:kern w:val="0"/>
                <w:sz w:val="22"/>
                <w:szCs w:val="22"/>
                <w:lang w:eastAsia="en-IN"/>
                <w14:ligatures w14:val="none"/>
              </w:rPr>
              <w:t>Row Labels</w:t>
            </w:r>
          </w:p>
        </w:tc>
        <w:tc>
          <w:tcPr>
            <w:tcW w:w="5163" w:type="dxa"/>
            <w:tcBorders>
              <w:top w:val="single" w:sz="8" w:space="0" w:color="auto"/>
              <w:left w:val="single" w:sz="4" w:space="0" w:color="auto"/>
              <w:bottom w:val="single" w:sz="8" w:space="0" w:color="auto"/>
              <w:right w:val="single" w:sz="8" w:space="0" w:color="auto"/>
            </w:tcBorders>
            <w:shd w:val="clear" w:color="DDEBF7" w:fill="DDEBF7"/>
            <w:noWrap/>
            <w:vAlign w:val="bottom"/>
            <w:hideMark/>
          </w:tcPr>
          <w:p w14:paraId="585A7CC5" w14:textId="77777777" w:rsidR="00DC2F91" w:rsidRPr="00DC2F91" w:rsidRDefault="00DC2F91" w:rsidP="00DC2F91">
            <w:pPr>
              <w:spacing w:after="0" w:line="240" w:lineRule="auto"/>
              <w:rPr>
                <w:rFonts w:ascii="Calibri" w:eastAsia="Times New Roman" w:hAnsi="Calibri" w:cs="Calibri"/>
                <w:b/>
                <w:bCs/>
                <w:color w:val="000000"/>
                <w:kern w:val="0"/>
                <w:sz w:val="22"/>
                <w:szCs w:val="22"/>
                <w:lang w:eastAsia="en-IN"/>
                <w14:ligatures w14:val="none"/>
              </w:rPr>
            </w:pPr>
            <w:r w:rsidRPr="00DC2F91">
              <w:rPr>
                <w:rFonts w:ascii="Calibri" w:eastAsia="Times New Roman" w:hAnsi="Calibri" w:cs="Calibri"/>
                <w:b/>
                <w:bCs/>
                <w:color w:val="000000"/>
                <w:kern w:val="0"/>
                <w:sz w:val="22"/>
                <w:szCs w:val="22"/>
                <w:lang w:eastAsia="en-IN"/>
                <w14:ligatures w14:val="none"/>
              </w:rPr>
              <w:t>Sum of Total Damage, Adjusted ('000 US$)</w:t>
            </w:r>
          </w:p>
        </w:tc>
      </w:tr>
      <w:tr w:rsidR="00DC2F91" w:rsidRPr="00DC2F91" w14:paraId="116B64E0"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75FB51E3"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Germany</w:t>
            </w:r>
          </w:p>
        </w:tc>
        <w:tc>
          <w:tcPr>
            <w:tcW w:w="5163" w:type="dxa"/>
            <w:tcBorders>
              <w:top w:val="nil"/>
              <w:left w:val="nil"/>
              <w:bottom w:val="single" w:sz="4" w:space="0" w:color="auto"/>
              <w:right w:val="single" w:sz="8" w:space="0" w:color="auto"/>
            </w:tcBorders>
            <w:noWrap/>
            <w:vAlign w:val="bottom"/>
            <w:hideMark/>
          </w:tcPr>
          <w:p w14:paraId="45816E25"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14,60,78,510.00</w:t>
            </w:r>
          </w:p>
        </w:tc>
      </w:tr>
      <w:tr w:rsidR="00DC2F91" w:rsidRPr="00DC2F91" w14:paraId="4F165DF6"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60099A46"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Italy</w:t>
            </w:r>
          </w:p>
        </w:tc>
        <w:tc>
          <w:tcPr>
            <w:tcW w:w="5163" w:type="dxa"/>
            <w:tcBorders>
              <w:top w:val="nil"/>
              <w:left w:val="nil"/>
              <w:bottom w:val="single" w:sz="4" w:space="0" w:color="auto"/>
              <w:right w:val="single" w:sz="8" w:space="0" w:color="auto"/>
            </w:tcBorders>
            <w:noWrap/>
            <w:vAlign w:val="bottom"/>
            <w:hideMark/>
          </w:tcPr>
          <w:p w14:paraId="6B705268"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12,24,69,820.00</w:t>
            </w:r>
          </w:p>
        </w:tc>
      </w:tr>
      <w:tr w:rsidR="00DC2F91" w:rsidRPr="00DC2F91" w14:paraId="7041860B"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281F7BB6"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France</w:t>
            </w:r>
          </w:p>
        </w:tc>
        <w:tc>
          <w:tcPr>
            <w:tcW w:w="5163" w:type="dxa"/>
            <w:tcBorders>
              <w:top w:val="nil"/>
              <w:left w:val="nil"/>
              <w:bottom w:val="single" w:sz="4" w:space="0" w:color="auto"/>
              <w:right w:val="single" w:sz="8" w:space="0" w:color="auto"/>
            </w:tcBorders>
            <w:noWrap/>
            <w:vAlign w:val="bottom"/>
            <w:hideMark/>
          </w:tcPr>
          <w:p w14:paraId="5AD9CAAF"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7,92,85,104.00</w:t>
            </w:r>
          </w:p>
        </w:tc>
      </w:tr>
      <w:tr w:rsidR="00DC2F91" w:rsidRPr="00DC2F91" w14:paraId="45BAE3AF"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1CC05879"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United Kingdom of Great Britain and Northern Ireland</w:t>
            </w:r>
          </w:p>
        </w:tc>
        <w:tc>
          <w:tcPr>
            <w:tcW w:w="5163" w:type="dxa"/>
            <w:tcBorders>
              <w:top w:val="nil"/>
              <w:left w:val="nil"/>
              <w:bottom w:val="single" w:sz="4" w:space="0" w:color="auto"/>
              <w:right w:val="single" w:sz="8" w:space="0" w:color="auto"/>
            </w:tcBorders>
            <w:noWrap/>
            <w:vAlign w:val="bottom"/>
            <w:hideMark/>
          </w:tcPr>
          <w:p w14:paraId="1A0ED2D5"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6,29,24,864.00</w:t>
            </w:r>
          </w:p>
        </w:tc>
      </w:tr>
      <w:tr w:rsidR="00DC2F91" w:rsidRPr="00DC2F91" w14:paraId="05AE41E4"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2DBD9428"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Spain</w:t>
            </w:r>
          </w:p>
        </w:tc>
        <w:tc>
          <w:tcPr>
            <w:tcW w:w="5163" w:type="dxa"/>
            <w:tcBorders>
              <w:top w:val="nil"/>
              <w:left w:val="nil"/>
              <w:bottom w:val="single" w:sz="4" w:space="0" w:color="auto"/>
              <w:right w:val="single" w:sz="8" w:space="0" w:color="auto"/>
            </w:tcBorders>
            <w:noWrap/>
            <w:vAlign w:val="bottom"/>
            <w:hideMark/>
          </w:tcPr>
          <w:p w14:paraId="5CE9855E"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5,18,62,441.00</w:t>
            </w:r>
          </w:p>
        </w:tc>
      </w:tr>
      <w:tr w:rsidR="00DC2F91" w:rsidRPr="00DC2F91" w14:paraId="2974EAFA"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09227A09"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Greece</w:t>
            </w:r>
          </w:p>
        </w:tc>
        <w:tc>
          <w:tcPr>
            <w:tcW w:w="5163" w:type="dxa"/>
            <w:tcBorders>
              <w:top w:val="nil"/>
              <w:left w:val="nil"/>
              <w:bottom w:val="single" w:sz="4" w:space="0" w:color="auto"/>
              <w:right w:val="single" w:sz="8" w:space="0" w:color="auto"/>
            </w:tcBorders>
            <w:noWrap/>
            <w:vAlign w:val="bottom"/>
            <w:hideMark/>
          </w:tcPr>
          <w:p w14:paraId="0AB05336"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2,20,31,590.00</w:t>
            </w:r>
          </w:p>
        </w:tc>
      </w:tr>
      <w:tr w:rsidR="00DC2F91" w:rsidRPr="00DC2F91" w14:paraId="730EF2CE"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056740AE"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Russian Federation</w:t>
            </w:r>
          </w:p>
        </w:tc>
        <w:tc>
          <w:tcPr>
            <w:tcW w:w="5163" w:type="dxa"/>
            <w:tcBorders>
              <w:top w:val="nil"/>
              <w:left w:val="nil"/>
              <w:bottom w:val="single" w:sz="4" w:space="0" w:color="auto"/>
              <w:right w:val="single" w:sz="8" w:space="0" w:color="auto"/>
            </w:tcBorders>
            <w:noWrap/>
            <w:vAlign w:val="bottom"/>
            <w:hideMark/>
          </w:tcPr>
          <w:p w14:paraId="65290E1A"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1,79,82,046.00</w:t>
            </w:r>
          </w:p>
        </w:tc>
      </w:tr>
      <w:tr w:rsidR="00DC2F91" w:rsidRPr="00DC2F91" w14:paraId="76B6DDEA"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1F85B03D"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Croatia</w:t>
            </w:r>
          </w:p>
        </w:tc>
        <w:tc>
          <w:tcPr>
            <w:tcW w:w="5163" w:type="dxa"/>
            <w:tcBorders>
              <w:top w:val="nil"/>
              <w:left w:val="nil"/>
              <w:bottom w:val="single" w:sz="4" w:space="0" w:color="auto"/>
              <w:right w:val="single" w:sz="8" w:space="0" w:color="auto"/>
            </w:tcBorders>
            <w:noWrap/>
            <w:vAlign w:val="bottom"/>
            <w:hideMark/>
          </w:tcPr>
          <w:p w14:paraId="66C6E11C"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1,71,72,332.00</w:t>
            </w:r>
          </w:p>
        </w:tc>
      </w:tr>
      <w:tr w:rsidR="00DC2F91" w:rsidRPr="00DC2F91" w14:paraId="5E70C91A"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606C45AE"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Czechia</w:t>
            </w:r>
          </w:p>
        </w:tc>
        <w:tc>
          <w:tcPr>
            <w:tcW w:w="5163" w:type="dxa"/>
            <w:tcBorders>
              <w:top w:val="nil"/>
              <w:left w:val="nil"/>
              <w:bottom w:val="single" w:sz="4" w:space="0" w:color="auto"/>
              <w:right w:val="single" w:sz="8" w:space="0" w:color="auto"/>
            </w:tcBorders>
            <w:noWrap/>
            <w:vAlign w:val="bottom"/>
            <w:hideMark/>
          </w:tcPr>
          <w:p w14:paraId="34B9FECD"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1,41,42,254.00</w:t>
            </w:r>
          </w:p>
        </w:tc>
      </w:tr>
      <w:tr w:rsidR="00DC2F91" w:rsidRPr="00DC2F91" w14:paraId="43CC5C00" w14:textId="77777777" w:rsidTr="00DC2F91">
        <w:trPr>
          <w:trHeight w:val="290"/>
        </w:trPr>
        <w:tc>
          <w:tcPr>
            <w:tcW w:w="5327" w:type="dxa"/>
            <w:tcBorders>
              <w:top w:val="nil"/>
              <w:left w:val="single" w:sz="8" w:space="0" w:color="auto"/>
              <w:bottom w:val="single" w:sz="4" w:space="0" w:color="auto"/>
              <w:right w:val="single" w:sz="4" w:space="0" w:color="auto"/>
            </w:tcBorders>
            <w:noWrap/>
            <w:vAlign w:val="bottom"/>
            <w:hideMark/>
          </w:tcPr>
          <w:p w14:paraId="27DFC0FD" w14:textId="77777777" w:rsidR="00DC2F91" w:rsidRPr="00DC2F91" w:rsidRDefault="00DC2F91" w:rsidP="00DC2F91">
            <w:pPr>
              <w:spacing w:after="0" w:line="240" w:lineRule="auto"/>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Switzerland</w:t>
            </w:r>
          </w:p>
        </w:tc>
        <w:tc>
          <w:tcPr>
            <w:tcW w:w="5163" w:type="dxa"/>
            <w:tcBorders>
              <w:top w:val="nil"/>
              <w:left w:val="nil"/>
              <w:bottom w:val="single" w:sz="4" w:space="0" w:color="auto"/>
              <w:right w:val="single" w:sz="8" w:space="0" w:color="auto"/>
            </w:tcBorders>
            <w:noWrap/>
            <w:vAlign w:val="bottom"/>
            <w:hideMark/>
          </w:tcPr>
          <w:p w14:paraId="4DFB7BE2" w14:textId="77777777" w:rsidR="00DC2F91" w:rsidRPr="00DC2F91" w:rsidRDefault="00DC2F91" w:rsidP="00DC2F91">
            <w:pPr>
              <w:spacing w:after="0" w:line="240" w:lineRule="auto"/>
              <w:jc w:val="right"/>
              <w:rPr>
                <w:rFonts w:ascii="Calibri" w:eastAsia="Times New Roman" w:hAnsi="Calibri" w:cs="Calibri"/>
                <w:color w:val="000000"/>
                <w:kern w:val="0"/>
                <w:sz w:val="22"/>
                <w:szCs w:val="22"/>
                <w:lang w:eastAsia="en-IN"/>
                <w14:ligatures w14:val="none"/>
              </w:rPr>
            </w:pPr>
            <w:r w:rsidRPr="00DC2F91">
              <w:rPr>
                <w:rFonts w:ascii="Calibri" w:eastAsia="Times New Roman" w:hAnsi="Calibri" w:cs="Calibri"/>
                <w:color w:val="000000"/>
                <w:kern w:val="0"/>
                <w:sz w:val="22"/>
                <w:szCs w:val="22"/>
                <w:lang w:eastAsia="en-IN"/>
                <w14:ligatures w14:val="none"/>
              </w:rPr>
              <w:t>1,37,92,328.00</w:t>
            </w:r>
          </w:p>
        </w:tc>
      </w:tr>
      <w:tr w:rsidR="00DC2F91" w:rsidRPr="00DC2F91" w14:paraId="1CB4C8B5" w14:textId="77777777" w:rsidTr="00DC2F91">
        <w:trPr>
          <w:trHeight w:val="300"/>
        </w:trPr>
        <w:tc>
          <w:tcPr>
            <w:tcW w:w="5327" w:type="dxa"/>
            <w:tcBorders>
              <w:top w:val="single" w:sz="4" w:space="0" w:color="auto"/>
              <w:left w:val="single" w:sz="8" w:space="0" w:color="auto"/>
              <w:bottom w:val="single" w:sz="8" w:space="0" w:color="auto"/>
              <w:right w:val="single" w:sz="4" w:space="0" w:color="auto"/>
            </w:tcBorders>
            <w:shd w:val="clear" w:color="DDEBF7" w:fill="DDEBF7"/>
            <w:noWrap/>
            <w:vAlign w:val="bottom"/>
            <w:hideMark/>
          </w:tcPr>
          <w:p w14:paraId="11F2501B" w14:textId="77777777" w:rsidR="00DC2F91" w:rsidRPr="00DC2F91" w:rsidRDefault="00DC2F91" w:rsidP="00DC2F91">
            <w:pPr>
              <w:spacing w:after="0" w:line="240" w:lineRule="auto"/>
              <w:rPr>
                <w:rFonts w:ascii="Calibri" w:eastAsia="Times New Roman" w:hAnsi="Calibri" w:cs="Calibri"/>
                <w:b/>
                <w:bCs/>
                <w:color w:val="000000"/>
                <w:kern w:val="0"/>
                <w:sz w:val="22"/>
                <w:szCs w:val="22"/>
                <w:lang w:eastAsia="en-IN"/>
                <w14:ligatures w14:val="none"/>
              </w:rPr>
            </w:pPr>
            <w:r w:rsidRPr="00DC2F91">
              <w:rPr>
                <w:rFonts w:ascii="Calibri" w:eastAsia="Times New Roman" w:hAnsi="Calibri" w:cs="Calibri"/>
                <w:b/>
                <w:bCs/>
                <w:color w:val="000000"/>
                <w:kern w:val="0"/>
                <w:sz w:val="22"/>
                <w:szCs w:val="22"/>
                <w:lang w:eastAsia="en-IN"/>
                <w14:ligatures w14:val="none"/>
              </w:rPr>
              <w:t>Grand Total</w:t>
            </w:r>
          </w:p>
        </w:tc>
        <w:tc>
          <w:tcPr>
            <w:tcW w:w="5163" w:type="dxa"/>
            <w:tcBorders>
              <w:top w:val="single" w:sz="4" w:space="0" w:color="auto"/>
              <w:left w:val="single" w:sz="4" w:space="0" w:color="auto"/>
              <w:bottom w:val="single" w:sz="8" w:space="0" w:color="auto"/>
              <w:right w:val="single" w:sz="8" w:space="0" w:color="auto"/>
            </w:tcBorders>
            <w:shd w:val="clear" w:color="DDEBF7" w:fill="DDEBF7"/>
            <w:noWrap/>
            <w:vAlign w:val="bottom"/>
            <w:hideMark/>
          </w:tcPr>
          <w:p w14:paraId="17F7E910" w14:textId="77777777" w:rsidR="00DC2F91" w:rsidRPr="00DC2F91" w:rsidRDefault="00DC2F91" w:rsidP="00DC2F91">
            <w:pPr>
              <w:spacing w:after="0" w:line="240" w:lineRule="auto"/>
              <w:jc w:val="right"/>
              <w:rPr>
                <w:rFonts w:ascii="Calibri" w:eastAsia="Times New Roman" w:hAnsi="Calibri" w:cs="Calibri"/>
                <w:b/>
                <w:bCs/>
                <w:color w:val="000000"/>
                <w:kern w:val="0"/>
                <w:sz w:val="22"/>
                <w:szCs w:val="22"/>
                <w:lang w:eastAsia="en-IN"/>
                <w14:ligatures w14:val="none"/>
              </w:rPr>
            </w:pPr>
            <w:r w:rsidRPr="00DC2F91">
              <w:rPr>
                <w:rFonts w:ascii="Calibri" w:eastAsia="Times New Roman" w:hAnsi="Calibri" w:cs="Calibri"/>
                <w:b/>
                <w:bCs/>
                <w:color w:val="000000"/>
                <w:kern w:val="0"/>
                <w:sz w:val="22"/>
                <w:szCs w:val="22"/>
                <w:lang w:eastAsia="en-IN"/>
                <w14:ligatures w14:val="none"/>
              </w:rPr>
              <w:t>54,77,41,289.00</w:t>
            </w:r>
          </w:p>
        </w:tc>
      </w:tr>
    </w:tbl>
    <w:p w14:paraId="1629D7DB" w14:textId="77777777" w:rsidR="00DC2F91" w:rsidRDefault="00DC2F91" w:rsidP="00DC2F91">
      <w:pPr>
        <w:rPr>
          <w:rFonts w:ascii="Times New Roman" w:hAnsi="Times New Roman" w:cs="Times New Roman"/>
        </w:rPr>
      </w:pPr>
      <w:r w:rsidRPr="00DC6A3E">
        <w:rPr>
          <w:rFonts w:ascii="Times New Roman" w:hAnsi="Times New Roman" w:cs="Times New Roman"/>
        </w:rPr>
        <w:pict w14:anchorId="6EC85320">
          <v:rect id="_x0000_i1077" style="width:0;height:1.5pt" o:hralign="center" o:hrstd="t" o:hr="t" fillcolor="#a0a0a0" stroked="f"/>
        </w:pict>
      </w:r>
    </w:p>
    <w:p w14:paraId="7234B08E" w14:textId="77777777" w:rsidR="00DC2F91" w:rsidRDefault="00DC2F91" w:rsidP="00DC2F91">
      <w:pPr>
        <w:rPr>
          <w:rFonts w:ascii="Times New Roman" w:hAnsi="Times New Roman" w:cs="Times New Roman"/>
        </w:rPr>
      </w:pPr>
      <w:r w:rsidRPr="00DC6A3E">
        <w:rPr>
          <w:rFonts w:ascii="Times New Roman" w:hAnsi="Times New Roman" w:cs="Times New Roman"/>
        </w:rPr>
        <w:pict w14:anchorId="5E4AAF51">
          <v:rect id="_x0000_i1078" style="width:0;height:1.5pt" o:hralign="center" o:hrstd="t" o:hr="t" fillcolor="#a0a0a0" stroked="f"/>
        </w:pict>
      </w:r>
    </w:p>
    <w:p w14:paraId="746562A2" w14:textId="15D3AE50" w:rsidR="00DC2F91" w:rsidRPr="007F3A39" w:rsidRDefault="00DC2F91" w:rsidP="007F3A39">
      <w:pPr>
        <w:rPr>
          <w:rFonts w:ascii="Times New Roman" w:hAnsi="Times New Roman" w:cs="Times New Roman"/>
        </w:rPr>
      </w:pPr>
    </w:p>
    <w:sectPr w:rsidR="00DC2F91" w:rsidRPr="007F3A39" w:rsidSect="001B517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06D9D"/>
    <w:multiLevelType w:val="multilevel"/>
    <w:tmpl w:val="C96C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E169F"/>
    <w:multiLevelType w:val="hybridMultilevel"/>
    <w:tmpl w:val="2C007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4396F"/>
    <w:multiLevelType w:val="hybridMultilevel"/>
    <w:tmpl w:val="2092FE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A8063B2"/>
    <w:multiLevelType w:val="hybridMultilevel"/>
    <w:tmpl w:val="BF4EB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D3648F"/>
    <w:multiLevelType w:val="hybridMultilevel"/>
    <w:tmpl w:val="27D20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1D50A4"/>
    <w:multiLevelType w:val="multilevel"/>
    <w:tmpl w:val="E7D69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D1614"/>
    <w:multiLevelType w:val="multilevel"/>
    <w:tmpl w:val="3DF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11618"/>
    <w:multiLevelType w:val="multilevel"/>
    <w:tmpl w:val="B0F4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B2300"/>
    <w:multiLevelType w:val="multilevel"/>
    <w:tmpl w:val="E9F0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20DB0"/>
    <w:multiLevelType w:val="hybridMultilevel"/>
    <w:tmpl w:val="83F82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790E76"/>
    <w:multiLevelType w:val="hybridMultilevel"/>
    <w:tmpl w:val="123CF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3A1A28"/>
    <w:multiLevelType w:val="hybridMultilevel"/>
    <w:tmpl w:val="7138F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592808"/>
    <w:multiLevelType w:val="hybridMultilevel"/>
    <w:tmpl w:val="E20476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6852324">
    <w:abstractNumId w:val="6"/>
  </w:num>
  <w:num w:numId="2" w16cid:durableId="127627318">
    <w:abstractNumId w:val="8"/>
  </w:num>
  <w:num w:numId="3" w16cid:durableId="2005084767">
    <w:abstractNumId w:val="5"/>
  </w:num>
  <w:num w:numId="4" w16cid:durableId="974216932">
    <w:abstractNumId w:val="7"/>
  </w:num>
  <w:num w:numId="5" w16cid:durableId="2088452407">
    <w:abstractNumId w:val="0"/>
  </w:num>
  <w:num w:numId="6" w16cid:durableId="380637178">
    <w:abstractNumId w:val="4"/>
  </w:num>
  <w:num w:numId="7" w16cid:durableId="1725717789">
    <w:abstractNumId w:val="11"/>
  </w:num>
  <w:num w:numId="8" w16cid:durableId="456605273">
    <w:abstractNumId w:val="3"/>
  </w:num>
  <w:num w:numId="9" w16cid:durableId="988746979">
    <w:abstractNumId w:val="1"/>
  </w:num>
  <w:num w:numId="10" w16cid:durableId="910194142">
    <w:abstractNumId w:val="2"/>
  </w:num>
  <w:num w:numId="11" w16cid:durableId="1437672476">
    <w:abstractNumId w:val="12"/>
  </w:num>
  <w:num w:numId="12" w16cid:durableId="1706756255">
    <w:abstractNumId w:val="10"/>
  </w:num>
  <w:num w:numId="13" w16cid:durableId="14034052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30"/>
    <w:rsid w:val="00076A38"/>
    <w:rsid w:val="001B5179"/>
    <w:rsid w:val="001B577D"/>
    <w:rsid w:val="00211F36"/>
    <w:rsid w:val="002D336A"/>
    <w:rsid w:val="004678B8"/>
    <w:rsid w:val="00491A49"/>
    <w:rsid w:val="004D018F"/>
    <w:rsid w:val="007F3A39"/>
    <w:rsid w:val="00A36A3C"/>
    <w:rsid w:val="00AA1F0E"/>
    <w:rsid w:val="00AD2430"/>
    <w:rsid w:val="00B215F5"/>
    <w:rsid w:val="00C3238B"/>
    <w:rsid w:val="00C95D03"/>
    <w:rsid w:val="00DC2F91"/>
    <w:rsid w:val="00DC6A3E"/>
    <w:rsid w:val="00F02C81"/>
    <w:rsid w:val="00FD1579"/>
    <w:rsid w:val="00FD2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21C8"/>
  <w15:chartTrackingRefBased/>
  <w15:docId w15:val="{0B55675C-D91C-497F-84D9-04B8E96F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4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24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24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4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24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24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4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4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24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430"/>
    <w:rPr>
      <w:rFonts w:eastAsiaTheme="majorEastAsia" w:cstheme="majorBidi"/>
      <w:color w:val="272727" w:themeColor="text1" w:themeTint="D8"/>
    </w:rPr>
  </w:style>
  <w:style w:type="paragraph" w:styleId="Title">
    <w:name w:val="Title"/>
    <w:basedOn w:val="Normal"/>
    <w:next w:val="Normal"/>
    <w:link w:val="TitleChar"/>
    <w:uiPriority w:val="10"/>
    <w:qFormat/>
    <w:rsid w:val="00AD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430"/>
    <w:pPr>
      <w:spacing w:before="160"/>
      <w:jc w:val="center"/>
    </w:pPr>
    <w:rPr>
      <w:i/>
      <w:iCs/>
      <w:color w:val="404040" w:themeColor="text1" w:themeTint="BF"/>
    </w:rPr>
  </w:style>
  <w:style w:type="character" w:customStyle="1" w:styleId="QuoteChar">
    <w:name w:val="Quote Char"/>
    <w:basedOn w:val="DefaultParagraphFont"/>
    <w:link w:val="Quote"/>
    <w:uiPriority w:val="29"/>
    <w:rsid w:val="00AD2430"/>
    <w:rPr>
      <w:i/>
      <w:iCs/>
      <w:color w:val="404040" w:themeColor="text1" w:themeTint="BF"/>
    </w:rPr>
  </w:style>
  <w:style w:type="paragraph" w:styleId="ListParagraph">
    <w:name w:val="List Paragraph"/>
    <w:basedOn w:val="Normal"/>
    <w:uiPriority w:val="34"/>
    <w:qFormat/>
    <w:rsid w:val="00AD2430"/>
    <w:pPr>
      <w:ind w:left="720"/>
      <w:contextualSpacing/>
    </w:pPr>
  </w:style>
  <w:style w:type="character" w:styleId="IntenseEmphasis">
    <w:name w:val="Intense Emphasis"/>
    <w:basedOn w:val="DefaultParagraphFont"/>
    <w:uiPriority w:val="21"/>
    <w:qFormat/>
    <w:rsid w:val="00AD2430"/>
    <w:rPr>
      <w:i/>
      <w:iCs/>
      <w:color w:val="2F5496" w:themeColor="accent1" w:themeShade="BF"/>
    </w:rPr>
  </w:style>
  <w:style w:type="paragraph" w:styleId="IntenseQuote">
    <w:name w:val="Intense Quote"/>
    <w:basedOn w:val="Normal"/>
    <w:next w:val="Normal"/>
    <w:link w:val="IntenseQuoteChar"/>
    <w:uiPriority w:val="30"/>
    <w:qFormat/>
    <w:rsid w:val="00AD24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430"/>
    <w:rPr>
      <w:i/>
      <w:iCs/>
      <w:color w:val="2F5496" w:themeColor="accent1" w:themeShade="BF"/>
    </w:rPr>
  </w:style>
  <w:style w:type="character" w:styleId="IntenseReference">
    <w:name w:val="Intense Reference"/>
    <w:basedOn w:val="DefaultParagraphFont"/>
    <w:uiPriority w:val="32"/>
    <w:qFormat/>
    <w:rsid w:val="00AD2430"/>
    <w:rPr>
      <w:b/>
      <w:bCs/>
      <w:smallCaps/>
      <w:color w:val="2F5496" w:themeColor="accent1" w:themeShade="BF"/>
      <w:spacing w:val="5"/>
    </w:rPr>
  </w:style>
  <w:style w:type="character" w:styleId="Hyperlink">
    <w:name w:val="Hyperlink"/>
    <w:basedOn w:val="DefaultParagraphFont"/>
    <w:uiPriority w:val="99"/>
    <w:unhideWhenUsed/>
    <w:rsid w:val="00DC2F91"/>
    <w:rPr>
      <w:color w:val="0563C1" w:themeColor="hyperlink"/>
      <w:u w:val="single"/>
    </w:rPr>
  </w:style>
  <w:style w:type="character" w:styleId="UnresolvedMention">
    <w:name w:val="Unresolved Mention"/>
    <w:basedOn w:val="DefaultParagraphFont"/>
    <w:uiPriority w:val="99"/>
    <w:semiHidden/>
    <w:unhideWhenUsed/>
    <w:rsid w:val="00DC2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mda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7</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Dogra</dc:creator>
  <cp:keywords/>
  <dc:description/>
  <cp:lastModifiedBy>Devansh Dogra</cp:lastModifiedBy>
  <cp:revision>8</cp:revision>
  <dcterms:created xsi:type="dcterms:W3CDTF">2025-10-10T16:46:00Z</dcterms:created>
  <dcterms:modified xsi:type="dcterms:W3CDTF">2025-10-16T20:10:00Z</dcterms:modified>
</cp:coreProperties>
</file>