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720"/>
              <w:left w:type="dxa" w:w="400"/>
              <w:bottom w:type="dxa" w:w="720"/>
              <w:right w:type="dxa" w:w="400"/>
            </w:tcMar>
          </w:tcPr>
          <w:p>
            <w:pPr>
              <w:spacing w:after="160"/>
              <w:jc w:val="center"/>
            </w:pPr>
            <w:r>
              <w:rPr>
                <w:rFonts w:ascii="Arial" w:cs="Arial" w:eastAsia="Arial" w:hAnsi="Arial"/>
                <w:b/>
                <w:bCs/>
                <w:color w:val="FFFFFF"/>
                <w:sz w:val="52"/>
                <w:szCs w:val="52"/>
              </w:rPr>
              <w:t xml:space="preserve">INCOME TAX ERP</w:t>
            </w:r>
          </w:p>
          <w:p>
            <w:pPr>
              <w:spacing w:after="160"/>
              <w:jc w:val="center"/>
            </w:pPr>
            <w:r>
              <w:rPr>
                <w:rFonts w:ascii="Arial" w:cs="Arial" w:eastAsia="Arial" w:hAnsi="Arial"/>
                <w:b/>
                <w:bCs/>
                <w:color w:val="B8D4F0"/>
                <w:sz w:val="32"/>
                <w:szCs w:val="32"/>
              </w:rPr>
              <w:t xml:space="preserve">ITR Field Guide &amp; Calculation Reference</w:t>
            </w:r>
          </w:p>
          <w:p>
            <w:pPr>
              <w:spacing w:after="120"/>
              <w:jc w:val="center"/>
            </w:pPr>
            <w:r>
              <w:rPr>
                <w:rFonts w:ascii="Arial" w:cs="Arial" w:eastAsia="Arial" w:hAnsi="Arial"/>
                <w:color w:val="9BC3E8"/>
                <w:sz w:val="26"/>
                <w:szCs w:val="26"/>
              </w:rPr>
              <w:t xml:space="preserve">ITR-1 | ITR-2 | ITR-3 | ITR-4</w:t>
            </w:r>
          </w:p>
          <w:p>
            <w:pPr>
              <w:spacing w:after="80"/>
              <w:jc w:val="center"/>
            </w:pPr>
            <w:r>
              <w:rPr>
                <w:rFonts w:ascii="Arial" w:cs="Arial" w:eastAsia="Arial" w:hAnsi="Arial"/>
                <w:color w:val="7AADE0"/>
                <w:sz w:val="22"/>
                <w:szCs w:val="22"/>
              </w:rPr>
              <w:t xml:space="preserve">Assessment Year 2025-26 (FY 2024-25)  &amp;  Assessment Year 2026-27 (FY 2025-26)</w:t>
            </w:r>
          </w:p>
          <w:p>
            <w:pPr>
              <w:jc w:val="center"/>
            </w:pPr>
            <w:r>
              <w:rPr>
                <w:rFonts w:ascii="Arial" w:cs="Arial" w:eastAsia="Arial" w:hAnsi="Arial"/>
                <w:i/>
                <w:iCs/>
                <w:color w:val="6099CC"/>
                <w:sz w:val="18"/>
                <w:szCs w:val="18"/>
              </w:rPr>
              <w:t xml:space="preserve">Every field, every formula, every edge case — 200% accurate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30"/>
                <w:szCs w:val="30"/>
              </w:rPr>
              <w:t xml:space="preserve">SECTION 1 — TAX RATE REFERENCE TABLES</w:t>
            </w:r>
          </w:p>
        </w:tc>
      </w:tr>
    </w:tbl>
    <w:p>
      <w:pPr>
        <w:spacing w:after="80" w:before="0"/>
      </w:pPr>
      <w:r>
        <w:t xml:space="preserve"/>
      </w:r>
    </w:p>
    <w:p>
      <w:pPr>
        <w:pStyle w:val="Heading1"/>
        <w:spacing w:after="120" w:before="400"/>
      </w:pPr>
      <w:r>
        <w:rPr>
          <w:rFonts w:ascii="Arial" w:cs="Arial" w:eastAsia="Arial" w:hAnsi="Arial"/>
          <w:b/>
          <w:bCs/>
          <w:color w:val="1F3864"/>
          <w:sz w:val="32"/>
          <w:szCs w:val="32"/>
        </w:rPr>
        <w:t xml:space="preserve">1. Tax Rate Reference — Both Assessment Years</w:t>
      </w:r>
    </w:p>
    <w:p>
      <w:pPr>
        <w:spacing w:after="80" w:before="60"/>
      </w:pPr>
      <w:r>
        <w:rPr>
          <w:rFonts w:ascii="Arial" w:cs="Arial" w:eastAsia="Arial" w:hAnsi="Arial"/>
          <w:sz w:val="20"/>
          <w:szCs w:val="20"/>
        </w:rPr>
        <w:t xml:space="preserve">This section is the master reference for all tax slab calculations in the ERP computation engine. All ITR computation modules must reference these tables. Both the Old Tax Regime and the New Tax Regime (default from AY 2024-25) are covered.</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1.1 Old Tax Regime — AY 2025-26 &amp; AY 2026-27</w:t>
      </w:r>
    </w:p>
    <w:p>
      <w:pPr>
        <w:spacing w:after="80" w:before="60"/>
      </w:pPr>
      <w:r>
        <w:rPr>
          <w:rFonts w:ascii="Arial" w:cs="Arial" w:eastAsia="Arial" w:hAnsi="Arial"/>
          <w:sz w:val="20"/>
          <w:szCs w:val="20"/>
        </w:rPr>
        <w:t xml:space="preserve">The old regime slabs are unchanged between AY 2025-26 and AY 2026-27. No changes in Budget 2025 affected old regime slabs.</w:t>
      </w:r>
    </w:p>
    <w:p>
      <w:pPr>
        <w:spacing w:after="80" w:before="0"/>
      </w:pPr>
      <w:r>
        <w:t xml:space="preserve"/>
      </w:r>
    </w:p>
    <w:p>
      <w:pPr>
        <w:pStyle w:val="Heading3"/>
        <w:spacing w:after="80" w:before="220"/>
      </w:pPr>
      <w:r>
        <w:rPr>
          <w:rFonts w:ascii="Arial" w:cs="Arial" w:eastAsia="Arial" w:hAnsi="Arial"/>
          <w:b/>
          <w:bCs/>
          <w:color w:val="833C00"/>
          <w:sz w:val="22"/>
          <w:szCs w:val="22"/>
        </w:rPr>
        <w:t xml:space="preserve">Individual below 60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Income Slab</w:t>
            </w:r>
          </w:p>
        </w:tc>
        <w:tc>
          <w:tcPr>
            <w:tcW w:type="dxa" w:w="2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Tax Rate</w:t>
            </w:r>
          </w:p>
        </w:tc>
        <w:tc>
          <w:tcPr>
            <w:tcW w:type="dxa" w:w="28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Maximum Tax in Slab</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₹2,50,000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NIL</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₹2,50,001 to ₹5,00,000</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5%</w:t>
            </w:r>
          </w:p>
        </w:tc>
        <w:tc>
          <w:tcPr>
            <w:tcW w:type="dxa" w:w="2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₹12,500</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₹5,00,001 to ₹10,00,000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₹1,00,000</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Above ₹10,00,000</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30%</w:t>
            </w:r>
          </w:p>
        </w:tc>
        <w:tc>
          <w:tcPr>
            <w:tcW w:type="dxa" w:w="2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On balance</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Senior Citizen (60 years or more but less than 80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Income Slab</w:t>
            </w:r>
          </w:p>
        </w:tc>
        <w:tc>
          <w:tcPr>
            <w:tcW w:type="dxa" w:w="2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Tax Rate</w:t>
            </w:r>
          </w:p>
        </w:tc>
        <w:tc>
          <w:tcPr>
            <w:tcW w:type="dxa" w:w="28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Maximum Tax in Slab</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₹3,00,000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NIL</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₹3,00,001 to ₹5,00,000</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5%</w:t>
            </w:r>
          </w:p>
        </w:tc>
        <w:tc>
          <w:tcPr>
            <w:tcW w:type="dxa" w:w="2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₹10,000</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₹5,00,001 to ₹10,00,000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₹1,00,000</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Above ₹10,00,000</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30%</w:t>
            </w:r>
          </w:p>
        </w:tc>
        <w:tc>
          <w:tcPr>
            <w:tcW w:type="dxa" w:w="2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On balance</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Super Senior Citizen (80 years and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Income Slab</w:t>
            </w:r>
          </w:p>
        </w:tc>
        <w:tc>
          <w:tcPr>
            <w:tcW w:type="dxa" w:w="2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Tax Rate</w:t>
            </w:r>
          </w:p>
        </w:tc>
        <w:tc>
          <w:tcPr>
            <w:tcW w:type="dxa" w:w="28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Maximum Tax in Slab</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₹5,00,000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NIL</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₹5,00,001 to ₹10,00,000</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20%</w:t>
            </w:r>
          </w:p>
        </w:tc>
        <w:tc>
          <w:tcPr>
            <w:tcW w:type="dxa" w:w="2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₹1,00,000</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Above ₹10,00,000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30%</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On balance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AGE DETERMINATION: Age is calculated as on the first day of the Financial Year (April 1) for the relevant FY. For AY 2025-26 (FY 2024-25), age is as on April 1, 2024. For AY 2026-27 (FY 2025-26), age is as on April 1, 2025.</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1.2 New Tax Regime (Section 115BAC) — AY 2025-26</w:t>
      </w:r>
    </w:p>
    <w:p>
      <w:pPr>
        <w:spacing w:after="80" w:before="60"/>
      </w:pPr>
      <w:r>
        <w:rPr>
          <w:rFonts w:ascii="Arial" w:cs="Arial" w:eastAsia="Arial" w:hAnsi="Arial"/>
          <w:sz w:val="20"/>
          <w:szCs w:val="20"/>
        </w:rPr>
        <w:t xml:space="preserve">The new tax regime is the DEFAULT regime from AY 2024-25. Taxpayers must explicitly OPT OUT to use the old regime. No age-based distinction in new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Income Slab</w:t>
            </w:r>
          </w:p>
        </w:tc>
        <w:tc>
          <w:tcPr>
            <w:tcW w:type="dxa" w:w="2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Tax Rate</w:t>
            </w:r>
          </w:p>
        </w:tc>
        <w:tc>
          <w:tcPr>
            <w:tcW w:type="dxa" w:w="28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Tax on Slab (Cumulative)</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₹3,00,000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NIL</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₹0</w:t>
            </w:r>
          </w:p>
        </w:tc>
      </w:tr>
      <w:tr>
        <w:tc>
          <w:tcPr>
            <w:tcW w:type="dxa" w:w="40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₹3,00,001 to ₹7,00,000</w:t>
            </w:r>
          </w:p>
        </w:tc>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5%</w:t>
            </w:r>
          </w:p>
        </w:tc>
        <w:tc>
          <w:tcPr>
            <w:tcW w:type="dxa" w:w="28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₹20,000</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₹7,00,001 to ₹10,00,000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10%</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₹50,000</w:t>
            </w:r>
          </w:p>
        </w:tc>
      </w:tr>
      <w:tr>
        <w:tc>
          <w:tcPr>
            <w:tcW w:type="dxa" w:w="40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₹10,00,001 to ₹12,00,000</w:t>
            </w:r>
          </w:p>
        </w:tc>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15%</w:t>
            </w:r>
          </w:p>
        </w:tc>
        <w:tc>
          <w:tcPr>
            <w:tcW w:type="dxa" w:w="28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₹80,000</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₹12,00,001 to ₹15,00,000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₹1,40,000</w:t>
            </w:r>
          </w:p>
        </w:tc>
      </w:tr>
      <w:tr>
        <w:tc>
          <w:tcPr>
            <w:tcW w:type="dxa" w:w="40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Above ₹15,00,000</w:t>
            </w:r>
          </w:p>
        </w:tc>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30%</w:t>
            </w:r>
          </w:p>
        </w:tc>
        <w:tc>
          <w:tcPr>
            <w:tcW w:type="dxa" w:w="28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On balance above ₹15L</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Rebate u/s 87A — New Regime — AY 2025-26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If total income ≤ ₹7,00,000 under new regime: The tax payable is fully rebated (reduced to NIL). Maximum rebate = ₹25,000. The rebate applies to income tax only — NOT on surcharge or cess. EDGE CASE: If total income is say ₹7,10,000, the rebate does NOT apply at all and full tax on ₹7,10,000 is payable. This is a cliff — no marginal relief under 87A itself.</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1.3 New Tax Regime (Section 115BAC) — AY 2026-27</w:t>
      </w:r>
    </w:p>
    <w:p>
      <w:pPr>
        <w:spacing w:after="80" w:before="60"/>
      </w:pPr>
      <w:r>
        <w:rPr>
          <w:rFonts w:ascii="Arial" w:cs="Arial" w:eastAsia="Arial" w:hAnsi="Arial"/>
          <w:sz w:val="20"/>
          <w:szCs w:val="20"/>
        </w:rPr>
        <w:t xml:space="preserve">Budget 2025 (Finance Act 2025) significantly revised the new regime slabs effective from AY 2026-27. This is a major change and must be implemented separately in the computation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Income Slab</w:t>
            </w:r>
          </w:p>
        </w:tc>
        <w:tc>
          <w:tcPr>
            <w:tcW w:type="dxa" w:w="2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Tax Rate</w:t>
            </w:r>
          </w:p>
        </w:tc>
        <w:tc>
          <w:tcPr>
            <w:tcW w:type="dxa" w:w="28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Tax on Slab (Cumulative)</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₹4,00,000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NIL</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₹0</w:t>
            </w:r>
          </w:p>
        </w:tc>
      </w:tr>
      <w:tr>
        <w:tc>
          <w:tcPr>
            <w:tcW w:type="dxa" w:w="40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₹4,00,001 to ₹8,00,000</w:t>
            </w:r>
          </w:p>
        </w:tc>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5%</w:t>
            </w:r>
          </w:p>
        </w:tc>
        <w:tc>
          <w:tcPr>
            <w:tcW w:type="dxa" w:w="28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₹20,000</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₹8,00,001 to ₹12,00,000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10%</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₹60,000</w:t>
            </w:r>
          </w:p>
        </w:tc>
      </w:tr>
      <w:tr>
        <w:tc>
          <w:tcPr>
            <w:tcW w:type="dxa" w:w="40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₹12,00,001 to ₹16,00,000</w:t>
            </w:r>
          </w:p>
        </w:tc>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15%</w:t>
            </w:r>
          </w:p>
        </w:tc>
        <w:tc>
          <w:tcPr>
            <w:tcW w:type="dxa" w:w="28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₹1,20,000</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₹16,00,001 to ₹20,00,000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₹2,00,000</w:t>
            </w:r>
          </w:p>
        </w:tc>
      </w:tr>
      <w:tr>
        <w:tc>
          <w:tcPr>
            <w:tcW w:type="dxa" w:w="40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₹20,00,001 to ₹24,00,000</w:t>
            </w:r>
          </w:p>
        </w:tc>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25%</w:t>
            </w:r>
          </w:p>
        </w:tc>
        <w:tc>
          <w:tcPr>
            <w:tcW w:type="dxa" w:w="28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₹3,00,000</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Above ₹24,00,000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30%</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On balance above ₹24L</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Rebate u/s 87A — New Regime — AY 2026-27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If total income ≤ ₹12,00,000 under new regime: Tax is NIL (rebate up to ₹60,000). CRITICAL EDGE CASE: If income is ₹12,10,000, NO REBATE — full tax on ₹12,10,000 is payable (approx ₹61,500). This causes marginal relief to be effectively required. SPECIAL INCOME: Capital gains taxable at special rates (STCG u/s 111A, LTCG u/s 112A) are EXCLUDED from the ₹12 lakh threshold calculation for rebate. The rebate applies only to income other than special rate income first.</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Rebate u/s 87A — Old Regime — Both 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Old regime 87A: If total income ≤ ₹5,00,000: Tax rebate = actual tax payable (max ₹12,500). Applicable for both AY 2025-26 and AY 2026-27.</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1.4 Surcharge — Both 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Total Income Range</w:t>
            </w:r>
          </w:p>
        </w:tc>
        <w:tc>
          <w:tcPr>
            <w:tcW w:type="dxa" w:w="27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Surcharge % (Old Regime)</w:t>
            </w:r>
          </w:p>
        </w:tc>
        <w:tc>
          <w:tcPr>
            <w:tcW w:type="dxa" w:w="27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Surcharge % (New Regime)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Up to ₹50,00,000</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NIL</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NIL</w:t>
            </w:r>
          </w:p>
        </w:tc>
      </w:tr>
      <w:tr>
        <w:tc>
          <w:tcPr>
            <w:tcW w:type="dxa" w:w="38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₹50,00,001 to ₹1,00,00,000</w:t>
            </w:r>
          </w:p>
        </w:tc>
        <w:tc>
          <w:tcPr>
            <w:tcW w:type="dxa" w:w="278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10%</w:t>
            </w:r>
          </w:p>
        </w:tc>
        <w:tc>
          <w:tcPr>
            <w:tcW w:type="dxa" w:w="278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10%</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₹1,00,00,001 to ₹2,00,00,000</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15%</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15%</w:t>
            </w:r>
          </w:p>
        </w:tc>
      </w:tr>
      <w:tr>
        <w:tc>
          <w:tcPr>
            <w:tcW w:type="dxa" w:w="38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₹2,00,00,001 to ₹5,00,00,000</w:t>
            </w:r>
          </w:p>
        </w:tc>
        <w:tc>
          <w:tcPr>
            <w:tcW w:type="dxa" w:w="278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25%</w:t>
            </w:r>
          </w:p>
        </w:tc>
        <w:tc>
          <w:tcPr>
            <w:tcW w:type="dxa" w:w="278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25%</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Above ₹5,00,00,000</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37%</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25% (CAPPED — Budget 2023)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MARGINAL RELIEF ON SURCHARGE: When income crosses the surcharge threshold (e.g. ₹50 lakhs), the additional tax + surcharge must not exceed the additional income above the threshold. Apply marginal relief to cap the effective tax rate. Example: Income = ₹50,10,000. Without relief: surcharge of 10% on tax. Marginal relief = max(0, Tax with surcharge − [Tax on ₹50,00,000 + (₹50,10,000 − ₹50,00,000)]). The ERP must compute marginal relief at each surcharge threshold: ₹50L, ₹1Cr, ₹2Cr, ₹5Cr.</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1.5 Health and Education Cess — Both AYs</w:t>
      </w:r>
    </w:p>
    <w:p>
      <w:pPr>
        <w:spacing w:after="80" w:before="60"/>
      </w:pPr>
      <w:r>
        <w:rPr>
          <w:rFonts w:ascii="Arial" w:cs="Arial" w:eastAsia="Arial" w:hAnsi="Arial"/>
          <w:sz w:val="20"/>
          <w:szCs w:val="20"/>
        </w:rPr>
        <w:t xml:space="preserve">4% of (Income Tax + Surcharge). Applicable uniformly in all cases — there is no exemption or rebate on cess. Cess is computed AFTER applying 87A rebate and AFTER computing surcharge.</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1.6 Standard Deduction from Salary — Both 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Regime</w:t>
            </w:r>
          </w:p>
        </w:tc>
        <w:tc>
          <w:tcPr>
            <w:tcW w:type="dxa" w:w="2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AY 2025-26</w:t>
            </w:r>
          </w:p>
        </w:tc>
        <w:tc>
          <w:tcPr>
            <w:tcW w:type="dxa" w:w="2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AY 2026-27</w:t>
            </w:r>
          </w:p>
        </w:tc>
        <w:tc>
          <w:tcPr>
            <w:tcW w:type="dxa" w:w="25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Note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New Regime (Salaried)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₹75,000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₹75,000</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Increased from ₹50,000 by Budget 2024 — effective from AY 2025-26</w:t>
            </w:r>
          </w:p>
        </w:tc>
      </w:tr>
      <w:tr>
        <w:tc>
          <w:tcPr>
            <w:tcW w:type="dxa" w:w="2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Old Regime (Salaried)</w:t>
            </w:r>
          </w:p>
        </w:tc>
        <w:tc>
          <w:tcPr>
            <w:tcW w:type="dxa" w:w="2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₹50,000</w:t>
            </w:r>
          </w:p>
        </w:tc>
        <w:tc>
          <w:tcPr>
            <w:tcW w:type="dxa" w:w="2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₹50,000</w:t>
            </w:r>
          </w:p>
        </w:tc>
        <w:tc>
          <w:tcPr>
            <w:tcW w:type="dxa" w:w="25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Unchanged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New Regime (Family Pension)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₹25,000 or 1/3 of pension (whichever lower)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₹25,000 or 1/3 (whichever lower)</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Introduced for new regime from AY 2025-26</w:t>
            </w:r>
          </w:p>
        </w:tc>
      </w:tr>
      <w:tr>
        <w:tc>
          <w:tcPr>
            <w:tcW w:type="dxa" w:w="2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Old Regime (Family Pension)</w:t>
            </w:r>
          </w:p>
        </w:tc>
        <w:tc>
          <w:tcPr>
            <w:tcW w:type="dxa" w:w="2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₹15,000 or 1/3 (whichever lower)</w:t>
            </w:r>
          </w:p>
        </w:tc>
        <w:tc>
          <w:tcPr>
            <w:tcW w:type="dxa" w:w="2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₹15,000 or 1/3 (whichever lower)</w:t>
            </w:r>
          </w:p>
        </w:tc>
        <w:tc>
          <w:tcPr>
            <w:tcW w:type="dxa" w:w="25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Unchanged</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1.7 Key Budget Changes Affecting AY 2025-26 (Budget 2024) and AY 2026-27 (Budget 2025)</w:t>
      </w:r>
    </w:p>
    <w:p>
      <w:pPr>
        <w:pStyle w:val="Heading3"/>
        <w:spacing w:after="80" w:before="220"/>
      </w:pPr>
      <w:r>
        <w:rPr>
          <w:rFonts w:ascii="Arial" w:cs="Arial" w:eastAsia="Arial" w:hAnsi="Arial"/>
          <w:b/>
          <w:bCs/>
          <w:color w:val="833C00"/>
          <w:sz w:val="22"/>
          <w:szCs w:val="22"/>
        </w:rPr>
        <w:t xml:space="preserve">Budget 2024 Changes — Effective AY 2025-26 (FY 2024-25)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Change</w:t>
            </w:r>
          </w:p>
        </w:tc>
        <w:tc>
          <w:tcPr>
            <w:tcW w:type="dxa" w:w="2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Before</w:t>
            </w:r>
          </w:p>
        </w:tc>
        <w:tc>
          <w:tcPr>
            <w:tcW w:type="dxa" w:w="2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From AY 2025-26</w:t>
            </w:r>
          </w:p>
        </w:tc>
        <w:tc>
          <w:tcPr>
            <w:tcW w:type="dxa" w:w="21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Applicable Date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STCG on listed equity/equity MF (Sec 111A)</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15%</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 (from July 23, 2024)</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July 23, 2024</w:t>
            </w:r>
          </w:p>
        </w:tc>
      </w:tr>
      <w:tr>
        <w:tc>
          <w:tcPr>
            <w:tcW w:type="dxa" w:w="28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LTCG on listed equity/equity MF (Sec 112A)</w:t>
            </w:r>
          </w:p>
        </w:tc>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10% above ₹1,00,000</w:t>
            </w:r>
          </w:p>
        </w:tc>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12.5% above ₹1,25,000</w:t>
            </w:r>
          </w:p>
        </w:tc>
        <w:tc>
          <w:tcPr>
            <w:tcW w:type="dxa" w:w="21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July 23, 2024</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LTCG on property/other assets (Sec 112)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 with indexation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12.5% without indexation (default) OR old rate (choice for pre-Jul 23 assets)</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July 23, 2024</w:t>
            </w:r>
          </w:p>
        </w:tc>
      </w:tr>
      <w:tr>
        <w:tc>
          <w:tcPr>
            <w:tcW w:type="dxa" w:w="28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LTCG holding period — bonds, debentures</w:t>
            </w:r>
          </w:p>
        </w:tc>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36 months</w:t>
            </w:r>
          </w:p>
        </w:tc>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24 months</w:t>
            </w:r>
          </w:p>
        </w:tc>
        <w:tc>
          <w:tcPr>
            <w:tcW w:type="dxa" w:w="21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July 23, 2024</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Standard deduction — new regime salaried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₹50,000</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₹75,000</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AY 2025-26</w:t>
            </w:r>
          </w:p>
        </w:tc>
      </w:tr>
      <w:tr>
        <w:tc>
          <w:tcPr>
            <w:tcW w:type="dxa" w:w="28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New regime — family pension deduction</w:t>
            </w:r>
          </w:p>
        </w:tc>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Not available</w:t>
            </w:r>
          </w:p>
        </w:tc>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₹25,000 or 1/3 (lower)</w:t>
            </w:r>
          </w:p>
        </w:tc>
        <w:tc>
          <w:tcPr>
            <w:tcW w:type="dxa" w:w="21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AY 2025-26</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New regime 87A rebate threshold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₹7,00,000</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₹7,00,000 (unchanged)</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Angel tax (Sec 56(2)(viib))</w:t>
            </w:r>
          </w:p>
        </w:tc>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Applicable</w:t>
            </w:r>
          </w:p>
        </w:tc>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Abolished</w:t>
            </w:r>
          </w:p>
        </w:tc>
        <w:tc>
          <w:tcPr>
            <w:tcW w:type="dxa" w:w="21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AY 2025-26</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STT on futures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0.0125%</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0.02%</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July 23, 2024</w:t>
            </w:r>
          </w:p>
        </w:tc>
      </w:tr>
      <w:tr>
        <w:tc>
          <w:tcPr>
            <w:tcW w:type="dxa" w:w="28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STT on options</w:t>
            </w:r>
          </w:p>
        </w:tc>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0.0625%</w:t>
            </w:r>
          </w:p>
        </w:tc>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0.1%</w:t>
            </w:r>
          </w:p>
        </w:tc>
        <w:tc>
          <w:tcPr>
            <w:tcW w:type="dxa" w:w="21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July 23, 2024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CRITICAL FOR AY 2025-26 STCG CALCULATION: Since the STCG rate on equity changed from 15% to 20% on July 23, 2024, for FY 2024-25 returns, the ERP must split equity STCG into two buckets: (a) sales before July 23, 2024 → 15%, and (b) sales on or after July 23, 2024 → 20%. Similarly, LTCG on equity above ₹1,00,000 for sales before July 23, 2024 is at 10%; sales on/after July 23, 2024 → 12.5% above ₹1,25,000 threshold. The ₹1,25,000 exemption is aggregate across the whole year regardless of split.</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Budget 2025 Changes — Effective AY 2026-27 (FY 2025-26)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Change</w:t>
            </w:r>
          </w:p>
        </w:tc>
        <w:tc>
          <w:tcPr>
            <w:tcW w:type="dxa" w:w="27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AY 2025-26</w:t>
            </w:r>
          </w:p>
        </w:tc>
        <w:tc>
          <w:tcPr>
            <w:tcW w:type="dxa" w:w="27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AY 2026-27</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New regime slabs</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3L-7L-10L-12L-15L</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4L-8L-12L-16L-20L-24L</w:t>
            </w:r>
          </w:p>
        </w:tc>
      </w:tr>
      <w:tr>
        <w:tc>
          <w:tcPr>
            <w:tcW w:type="dxa" w:w="3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New regime 87A rebate threshold</w:t>
            </w:r>
          </w:p>
        </w:tc>
        <w:tc>
          <w:tcPr>
            <w:tcW w:type="dxa" w:w="278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₹7,00,000 (max ₹25,000)</w:t>
            </w:r>
          </w:p>
        </w:tc>
        <w:tc>
          <w:tcPr>
            <w:tcW w:type="dxa" w:w="278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₹12,00,000 (max ₹60,000)</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STCG equity 111A</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 (unchanged)</w:t>
            </w:r>
          </w:p>
        </w:tc>
      </w:tr>
      <w:tr>
        <w:tc>
          <w:tcPr>
            <w:tcW w:type="dxa" w:w="3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LTCG equity 112A above threshold</w:t>
            </w:r>
          </w:p>
        </w:tc>
        <w:tc>
          <w:tcPr>
            <w:tcW w:type="dxa" w:w="278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12.5% above ₹1,25,000</w:t>
            </w:r>
          </w:p>
        </w:tc>
        <w:tc>
          <w:tcPr>
            <w:tcW w:type="dxa" w:w="278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12.5% above ₹1,25,000 (unchanged)</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TDS threshold — salary (Sec 192)</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₹2,50,000 / ₹3,00,000</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₹4,00,000 (new regime basic exemption raised)</w:t>
            </w:r>
          </w:p>
        </w:tc>
      </w:tr>
      <w:tr>
        <w:tc>
          <w:tcPr>
            <w:tcW w:type="dxa" w:w="3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Old regime slabs</w:t>
            </w:r>
          </w:p>
        </w:tc>
        <w:tc>
          <w:tcPr>
            <w:tcW w:type="dxa" w:w="278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Unchanged</w:t>
            </w:r>
          </w:p>
        </w:tc>
        <w:tc>
          <w:tcPr>
            <w:tcW w:type="dxa" w:w="278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Unchanged</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LTCG property (Sec 112)</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12.5% without indexation (default)</w:t>
            </w:r>
          </w:p>
        </w:tc>
        <w:tc>
          <w:tcPr>
            <w:tcW w:type="dxa" w:w="2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12.5% without indexation (unchanged)</w:t>
            </w:r>
          </w:p>
        </w:tc>
      </w:tr>
      <w:tr>
        <w:tc>
          <w:tcPr>
            <w:tcW w:type="dxa" w:w="3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Section 87A applicability on STCG/LTCG (special rate)</w:t>
            </w:r>
          </w:p>
        </w:tc>
        <w:tc>
          <w:tcPr>
            <w:tcW w:type="dxa" w:w="278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Not available</w:t>
            </w:r>
          </w:p>
        </w:tc>
        <w:tc>
          <w:tcPr>
            <w:tcW w:type="dxa" w:w="278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Not available (unchanged)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40"/>
              <w:bottom w:type="dxa" w:w="160"/>
              <w:right w:type="dxa" w:w="240"/>
            </w:tcMar>
          </w:tcPr>
          <w:p>
            <w:r>
              <w:rPr>
                <w:rFonts w:ascii="Arial" w:cs="Arial" w:eastAsia="Arial" w:hAnsi="Arial"/>
                <w:b/>
                <w:bCs/>
                <w:color w:val="FFFFFF"/>
                <w:sz w:val="30"/>
                <w:szCs w:val="30"/>
              </w:rPr>
              <w:t xml:space="preserve">SECTION 2 — INTEREST &amp; FEE CALCULATIONS (234A, 234B, 234C, 234F)</w:t>
            </w:r>
          </w:p>
        </w:tc>
      </w:tr>
    </w:tbl>
    <w:p>
      <w:pPr>
        <w:spacing w:after="80" w:before="0"/>
      </w:pPr>
      <w:r>
        <w:t xml:space="preserve"/>
      </w:r>
    </w:p>
    <w:p>
      <w:pPr>
        <w:pStyle w:val="Heading1"/>
        <w:spacing w:after="120" w:before="400"/>
      </w:pPr>
      <w:r>
        <w:rPr>
          <w:rFonts w:ascii="Arial" w:cs="Arial" w:eastAsia="Arial" w:hAnsi="Arial"/>
          <w:b/>
          <w:bCs/>
          <w:color w:val="1F3864"/>
          <w:sz w:val="32"/>
          <w:szCs w:val="32"/>
        </w:rPr>
        <w:t xml:space="preserve">2. Interest Calculations — Complete Reference</w:t>
      </w:r>
    </w:p>
    <w:p>
      <w:pPr>
        <w:spacing w:after="80" w:before="60"/>
      </w:pPr>
      <w:r>
        <w:rPr>
          <w:rFonts w:ascii="Arial" w:cs="Arial" w:eastAsia="Arial" w:hAnsi="Arial"/>
          <w:sz w:val="20"/>
          <w:szCs w:val="20"/>
        </w:rPr>
        <w:t xml:space="preserve">Interest under sections 234A, 234B, 234C and fee under 234F are critical components of the tax computation. The ERP must compute these precisely for each client.</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2.1 Section 234A — Late Filing Interest</w:t>
      </w:r>
    </w:p>
    <w:p>
      <w:pPr>
        <w:pStyle w:val="Heading3"/>
        <w:spacing w:after="80" w:before="220"/>
      </w:pPr>
      <w:r>
        <w:rPr>
          <w:rFonts w:ascii="Arial" w:cs="Arial" w:eastAsia="Arial" w:hAnsi="Arial"/>
          <w:b/>
          <w:bCs/>
          <w:color w:val="833C00"/>
          <w:sz w:val="22"/>
          <w:szCs w:val="22"/>
        </w:rPr>
        <w:t xml:space="preserve">Applicability</w:t>
      </w:r>
    </w:p>
    <w:p>
      <w:pPr>
        <w:spacing w:after="80" w:before="60"/>
      </w:pPr>
      <w:r>
        <w:rPr>
          <w:rFonts w:ascii="Arial" w:cs="Arial" w:eastAsia="Arial" w:hAnsi="Arial"/>
          <w:sz w:val="20"/>
          <w:szCs w:val="20"/>
        </w:rPr>
        <w:t xml:space="preserve">Applies when ITR is filed after the due date. Due date for non-audit individuals: 31st July of the assessment year. For audit cases: 31st October.</w:t>
      </w:r>
    </w:p>
    <w:p>
      <w:pPr>
        <w:pStyle w:val="Heading3"/>
        <w:spacing w:after="80" w:before="220"/>
      </w:pPr>
      <w:r>
        <w:rPr>
          <w:rFonts w:ascii="Arial" w:cs="Arial" w:eastAsia="Arial" w:hAnsi="Arial"/>
          <w:b/>
          <w:bCs/>
          <w:color w:val="833C00"/>
          <w:sz w:val="22"/>
          <w:szCs w:val="22"/>
        </w:rPr>
        <w:t xml:space="preserve">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Interest u/s 234A = Tax payable (after TDS/TCS/Advance Tax) × 1% × Number of months (or part thereof) from the due date of filing to actual date of filing (or date of assessment, whichever is earlier). Minimum: 1 month. Even a delay of 1 day counts as 1 full month.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Parameter</w:t>
            </w:r>
          </w:p>
        </w:tc>
        <w:tc>
          <w:tcPr>
            <w:tcW w:type="dxa" w:w="6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Details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Rate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 per month or part of month</w:t>
            </w:r>
          </w:p>
        </w:tc>
      </w:tr>
      <w:tr>
        <w:tc>
          <w:tcPr>
            <w:tcW w:type="dxa" w:w="30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Base</w:t>
            </w:r>
          </w:p>
        </w:tc>
        <w:tc>
          <w:tcPr>
            <w:tcW w:type="dxa" w:w="63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payable after deducting TDS, TCS, and Advance Tax paid (Net tax payable before 234A itself)</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Period Start</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Day AFTER the due date (August 1 for 31 July filers)</w:t>
            </w:r>
          </w:p>
        </w:tc>
      </w:tr>
      <w:tr>
        <w:tc>
          <w:tcPr>
            <w:tcW w:type="dxa" w:w="30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Period End</w:t>
            </w:r>
          </w:p>
        </w:tc>
        <w:tc>
          <w:tcPr>
            <w:tcW w:type="dxa" w:w="63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Date of actual filing OR date of assessment completion (whichever is earlier)</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Minimum Period</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 month — any part of a month counted as full month</w:t>
            </w:r>
          </w:p>
        </w:tc>
      </w:tr>
      <w:tr>
        <w:tc>
          <w:tcPr>
            <w:tcW w:type="dxa" w:w="30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If tax payable = 0</w:t>
            </w:r>
          </w:p>
        </w:tc>
        <w:tc>
          <w:tcPr>
            <w:tcW w:type="dxa" w:w="63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234A interest = 0 (no interest if there is no outstanding tax)</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Penal interest?</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 — it is a civil charge, not penal interest</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Example — 234A</w:t>
      </w:r>
    </w:p>
    <w:p>
      <w:pPr>
        <w:spacing w:after="80" w:before="60"/>
      </w:pPr>
      <w:r>
        <w:rPr>
          <w:rFonts w:ascii="Arial" w:cs="Arial" w:eastAsia="Arial" w:hAnsi="Arial"/>
          <w:sz w:val="20"/>
          <w:szCs w:val="20"/>
        </w:rPr>
        <w:t xml:space="preserve">Tax payable (net) = ₹25,000. Due date: 31st July 2025. Actual filing: 15th October 2025.</w:t>
      </w:r>
    </w:p>
    <w:p>
      <w:pPr>
        <w:spacing w:after="80" w:before="60"/>
      </w:pPr>
      <w:r>
        <w:rPr>
          <w:rFonts w:ascii="Arial" w:cs="Arial" w:eastAsia="Arial" w:hAnsi="Arial"/>
          <w:sz w:val="20"/>
          <w:szCs w:val="20"/>
        </w:rPr>
        <w:t xml:space="preserve">Months of delay = August (full) + September (full) + October (partial = 1 full) = 3 months.</w:t>
      </w:r>
    </w:p>
    <w:p>
      <w:pPr>
        <w:spacing w:after="80" w:before="60"/>
      </w:pPr>
      <w:r>
        <w:rPr>
          <w:rFonts w:ascii="Arial" w:cs="Arial" w:eastAsia="Arial" w:hAnsi="Arial"/>
          <w:sz w:val="20"/>
          <w:szCs w:val="20"/>
        </w:rPr>
        <w:t xml:space="preserve">234A Interest = ₹25,000 × 1% × 3 = ₹750.</w:t>
      </w:r>
    </w:p>
    <w:p>
      <w:pPr>
        <w:spacing w:after="80" w:before="0"/>
      </w:pPr>
      <w:r>
        <w:t xml:space="preserve"/>
      </w:r>
    </w:p>
    <w:p>
      <w:pPr>
        <w:pStyle w:val="Heading3"/>
        <w:spacing w:after="80" w:before="220"/>
      </w:pPr>
      <w:r>
        <w:rPr>
          <w:rFonts w:ascii="Arial" w:cs="Arial" w:eastAsia="Arial" w:hAnsi="Arial"/>
          <w:b/>
          <w:bCs/>
          <w:color w:val="833C00"/>
          <w:sz w:val="22"/>
          <w:szCs w:val="22"/>
        </w:rPr>
        <w:t xml:space="preserve">Edge Cases — 234A</w:t>
      </w:r>
    </w:p>
    <w:p>
      <w:pPr>
        <w:pStyle w:val="ListParagraph"/>
        <w:numPr>
          <w:ilvl w:val="0"/>
          <w:numId w:val="2"/>
        </w:numPr>
        <w:spacing w:after="30" w:before="30"/>
      </w:pPr>
      <w:r>
        <w:rPr>
          <w:rFonts w:ascii="Arial" w:cs="Arial" w:eastAsia="Arial" w:hAnsi="Arial"/>
          <w:sz w:val="19"/>
          <w:szCs w:val="19"/>
        </w:rPr>
        <w:t xml:space="preserve">If net tax payable after TDS/advance tax is zero or negative: 234A = NIL (no interest even if filed late)</w:t>
      </w:r>
    </w:p>
    <w:p>
      <w:pPr>
        <w:pStyle w:val="ListParagraph"/>
        <w:numPr>
          <w:ilvl w:val="0"/>
          <w:numId w:val="2"/>
        </w:numPr>
        <w:spacing w:after="30" w:before="30"/>
      </w:pPr>
      <w:r>
        <w:rPr>
          <w:rFonts w:ascii="Arial" w:cs="Arial" w:eastAsia="Arial" w:hAnsi="Arial"/>
          <w:sz w:val="19"/>
          <w:szCs w:val="19"/>
        </w:rPr>
        <w:t xml:space="preserve">If return not filed at all: Interest continues to accrue up to date of assessment (Best Judgment Assessment u/s 144)</w:t>
      </w:r>
    </w:p>
    <w:p>
      <w:pPr>
        <w:pStyle w:val="ListParagraph"/>
        <w:numPr>
          <w:ilvl w:val="0"/>
          <w:numId w:val="2"/>
        </w:numPr>
        <w:spacing w:after="30" w:before="30"/>
      </w:pPr>
      <w:r>
        <w:rPr>
          <w:rFonts w:ascii="Arial" w:cs="Arial" w:eastAsia="Arial" w:hAnsi="Arial"/>
          <w:sz w:val="19"/>
          <w:szCs w:val="19"/>
        </w:rPr>
        <w:t xml:space="preserve">If return filed before due date (advance filing): 234A = NIL</w:t>
      </w:r>
    </w:p>
    <w:p>
      <w:pPr>
        <w:pStyle w:val="ListParagraph"/>
        <w:numPr>
          <w:ilvl w:val="0"/>
          <w:numId w:val="2"/>
        </w:numPr>
        <w:spacing w:after="30" w:before="30"/>
      </w:pPr>
      <w:r>
        <w:rPr>
          <w:rFonts w:ascii="Arial" w:cs="Arial" w:eastAsia="Arial" w:hAnsi="Arial"/>
          <w:sz w:val="19"/>
          <w:szCs w:val="19"/>
        </w:rPr>
        <w:t xml:space="preserve">For cases where return was filed and later revised: 234A on original return only; revised return filing date is not relevant for 234A</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2.2 Section 234B — Default in Payment of Advance Tax</w:t>
      </w:r>
    </w:p>
    <w:p>
      <w:pPr>
        <w:pStyle w:val="Heading3"/>
        <w:spacing w:after="80" w:before="220"/>
      </w:pPr>
      <w:r>
        <w:rPr>
          <w:rFonts w:ascii="Arial" w:cs="Arial" w:eastAsia="Arial" w:hAnsi="Arial"/>
          <w:b/>
          <w:bCs/>
          <w:color w:val="833C00"/>
          <w:sz w:val="22"/>
          <w:szCs w:val="22"/>
        </w:rPr>
        <w:t xml:space="preserve">Applicability</w:t>
      </w:r>
    </w:p>
    <w:p>
      <w:pPr>
        <w:spacing w:after="80" w:before="60"/>
      </w:pPr>
      <w:r>
        <w:rPr>
          <w:rFonts w:ascii="Arial" w:cs="Arial" w:eastAsia="Arial" w:hAnsi="Arial"/>
          <w:sz w:val="20"/>
          <w:szCs w:val="20"/>
        </w:rPr>
        <w:t xml:space="preserve">Applies when advance tax paid during the FY is less than 90% of the assessed tax liability.</w:t>
      </w:r>
    </w:p>
    <w:p>
      <w:pPr>
        <w:pStyle w:val="Heading3"/>
        <w:spacing w:after="80" w:before="220"/>
      </w:pPr>
      <w:r>
        <w:rPr>
          <w:rFonts w:ascii="Arial" w:cs="Arial" w:eastAsia="Arial" w:hAnsi="Arial"/>
          <w:b/>
          <w:bCs/>
          <w:color w:val="833C00"/>
          <w:sz w:val="22"/>
          <w:szCs w:val="22"/>
        </w:rPr>
        <w:t xml:space="preserve">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Interest u/s 234B = (Assessed Tax − Advance Tax paid) × 1% × Number of months from April 1 of the AY to date of actual payment of tax (or date of regular assessment, whichever is earlier). Assessed Tax = Total tax liability − TDS/TCS credit (TDS/TCS reduces advance tax requirement).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Parameter</w:t>
            </w:r>
          </w:p>
        </w:tc>
        <w:tc>
          <w:tcPr>
            <w:tcW w:type="dxa" w:w="65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Details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Rate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 per month or part thereof</w:t>
            </w:r>
          </w:p>
        </w:tc>
      </w:tr>
      <w:tr>
        <w:tc>
          <w:tcPr>
            <w:tcW w:type="dxa" w:w="28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Trigger Condition</w:t>
            </w:r>
          </w:p>
        </w:tc>
        <w:tc>
          <w:tcPr>
            <w:tcW w:type="dxa" w:w="65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Advance tax paid &lt; 90% of assessed tax (after TDS/TCS credit)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Base Amount</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Assessed Tax − Advance Tax paid. If TDS deducted, it reduces the shortfall.</w:t>
            </w:r>
          </w:p>
        </w:tc>
      </w:tr>
      <w:tr>
        <w:tc>
          <w:tcPr>
            <w:tcW w:type="dxa" w:w="28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Period Start</w:t>
            </w:r>
          </w:p>
        </w:tc>
        <w:tc>
          <w:tcPr>
            <w:tcW w:type="dxa" w:w="65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April 1 of the Assessment Year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Period End</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Date of actual payment / date of filing (for self-assessment) / date of regular assessment</w:t>
            </w:r>
          </w:p>
        </w:tc>
      </w:tr>
      <w:tr>
        <w:tc>
          <w:tcPr>
            <w:tcW w:type="dxa" w:w="28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Assessed Tax Definition</w:t>
            </w:r>
          </w:p>
        </w:tc>
        <w:tc>
          <w:tcPr>
            <w:tcW w:type="dxa" w:w="65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Final tax payable computed in return (income tax + surcharge + cess) reduced by TDS/TCS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Advance Tax Threshold</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If estimated total tax &lt; ₹10,000: NO advance tax required, 234B does NOT apply</w:t>
            </w:r>
          </w:p>
        </w:tc>
      </w:tr>
      <w:tr>
        <w:tc>
          <w:tcPr>
            <w:tcW w:type="dxa" w:w="28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Who is Exempt</w:t>
            </w:r>
          </w:p>
        </w:tc>
        <w:tc>
          <w:tcPr>
            <w:tcW w:type="dxa" w:w="65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Senior citizens (60+) with NO business/profession income are FULLY EXEMPT from advance tax (and 234B)</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Example — 234B</w:t>
      </w:r>
    </w:p>
    <w:p>
      <w:pPr>
        <w:spacing w:after="80" w:before="60"/>
      </w:pPr>
      <w:r>
        <w:rPr>
          <w:rFonts w:ascii="Arial" w:cs="Arial" w:eastAsia="Arial" w:hAnsi="Arial"/>
          <w:sz w:val="20"/>
          <w:szCs w:val="20"/>
        </w:rPr>
        <w:t xml:space="preserve">Assessed tax = ₹80,000. Advance tax paid = ₹50,000. TDS deducted = ₹20,000.</w:t>
      </w:r>
    </w:p>
    <w:p>
      <w:pPr>
        <w:spacing w:after="80" w:before="60"/>
      </w:pPr>
      <w:r>
        <w:rPr>
          <w:rFonts w:ascii="Arial" w:cs="Arial" w:eastAsia="Arial" w:hAnsi="Arial"/>
          <w:sz w:val="20"/>
          <w:szCs w:val="20"/>
        </w:rPr>
        <w:t xml:space="preserve">Advance tax shortfall trigger check: 90% of ₹80,000 = ₹72,000. Advance tax + TDS = ₹50,000 + ₹20,000 = ₹70,000 &lt; ₹72,000. → 234B applies.</w:t>
      </w:r>
    </w:p>
    <w:p>
      <w:pPr>
        <w:spacing w:after="80" w:before="60"/>
      </w:pPr>
      <w:r>
        <w:rPr>
          <w:rFonts w:ascii="Arial" w:cs="Arial" w:eastAsia="Arial" w:hAnsi="Arial"/>
          <w:sz w:val="20"/>
          <w:szCs w:val="20"/>
        </w:rPr>
        <w:t xml:space="preserve">Base for 234B = ₹80,000 − ₹50,000 − ₹20,000 = ₹10,000 (net shortfall). Period: April 1, 2025 to date of filing (say August 31, 2025) = 5 months. 234B = ₹10,000 × 1% × 5 = ₹500.</w:t>
      </w:r>
    </w:p>
    <w:p>
      <w:pPr>
        <w:spacing w:after="80" w:before="0"/>
      </w:pPr>
      <w:r>
        <w:t xml:space="preserve"/>
      </w:r>
    </w:p>
    <w:p>
      <w:pPr>
        <w:pStyle w:val="Heading3"/>
        <w:spacing w:after="80" w:before="220"/>
      </w:pPr>
      <w:r>
        <w:rPr>
          <w:rFonts w:ascii="Arial" w:cs="Arial" w:eastAsia="Arial" w:hAnsi="Arial"/>
          <w:b/>
          <w:bCs/>
          <w:color w:val="833C00"/>
          <w:sz w:val="22"/>
          <w:szCs w:val="22"/>
        </w:rPr>
        <w:t xml:space="preserve">Edge Cases — 234B</w:t>
      </w:r>
    </w:p>
    <w:p>
      <w:pPr>
        <w:pStyle w:val="ListParagraph"/>
        <w:numPr>
          <w:ilvl w:val="0"/>
          <w:numId w:val="2"/>
        </w:numPr>
        <w:spacing w:after="30" w:before="30"/>
      </w:pPr>
      <w:r>
        <w:rPr>
          <w:rFonts w:ascii="Arial" w:cs="Arial" w:eastAsia="Arial" w:hAnsi="Arial"/>
          <w:sz w:val="19"/>
          <w:szCs w:val="19"/>
        </w:rPr>
        <w:t xml:space="preserve">If total tax liability &lt; ₹10,000: ENTIRE advance tax obligation waived — 234B does not apply</w:t>
      </w:r>
    </w:p>
    <w:p>
      <w:pPr>
        <w:pStyle w:val="ListParagraph"/>
        <w:numPr>
          <w:ilvl w:val="0"/>
          <w:numId w:val="2"/>
        </w:numPr>
        <w:spacing w:after="30" w:before="30"/>
      </w:pPr>
      <w:r>
        <w:rPr>
          <w:rFonts w:ascii="Arial" w:cs="Arial" w:eastAsia="Arial" w:hAnsi="Arial"/>
          <w:sz w:val="19"/>
          <w:szCs w:val="19"/>
        </w:rPr>
        <w:t xml:space="preserve">Senior citizens (60+) without business income: Completely exempt from advance tax and 234B</w:t>
      </w:r>
    </w:p>
    <w:p>
      <w:pPr>
        <w:pStyle w:val="ListParagraph"/>
        <w:numPr>
          <w:ilvl w:val="0"/>
          <w:numId w:val="2"/>
        </w:numPr>
        <w:spacing w:after="30" w:before="30"/>
      </w:pPr>
      <w:r>
        <w:rPr>
          <w:rFonts w:ascii="Arial" w:cs="Arial" w:eastAsia="Arial" w:hAnsi="Arial"/>
          <w:sz w:val="19"/>
          <w:szCs w:val="19"/>
        </w:rPr>
        <w:t xml:space="preserve">If advance tax paid &gt; 90% of assessed tax: 234B is NIL</w:t>
      </w:r>
    </w:p>
    <w:p>
      <w:pPr>
        <w:pStyle w:val="ListParagraph"/>
        <w:numPr>
          <w:ilvl w:val="0"/>
          <w:numId w:val="2"/>
        </w:numPr>
        <w:spacing w:after="30" w:before="30"/>
      </w:pPr>
      <w:r>
        <w:rPr>
          <w:rFonts w:ascii="Arial" w:cs="Arial" w:eastAsia="Arial" w:hAnsi="Arial"/>
          <w:sz w:val="19"/>
          <w:szCs w:val="19"/>
        </w:rPr>
        <w:t xml:space="preserve">TDS deducted counts as advance tax paid for the purposes of the 90% threshold check</w:t>
      </w:r>
    </w:p>
    <w:p>
      <w:pPr>
        <w:pStyle w:val="ListParagraph"/>
        <w:numPr>
          <w:ilvl w:val="0"/>
          <w:numId w:val="2"/>
        </w:numPr>
        <w:spacing w:after="30" w:before="30"/>
      </w:pPr>
      <w:r>
        <w:rPr>
          <w:rFonts w:ascii="Arial" w:cs="Arial" w:eastAsia="Arial" w:hAnsi="Arial"/>
          <w:sz w:val="19"/>
          <w:szCs w:val="19"/>
        </w:rPr>
        <w:t xml:space="preserve">ESOP cases where tax is deferred: Special rules apply for tax on ESOPs deferred to date of sale</w:t>
      </w:r>
    </w:p>
    <w:p>
      <w:pPr>
        <w:pStyle w:val="ListParagraph"/>
        <w:numPr>
          <w:ilvl w:val="0"/>
          <w:numId w:val="2"/>
        </w:numPr>
        <w:spacing w:after="30" w:before="30"/>
      </w:pPr>
      <w:r>
        <w:rPr>
          <w:rFonts w:ascii="Arial" w:cs="Arial" w:eastAsia="Arial" w:hAnsi="Arial"/>
          <w:sz w:val="19"/>
          <w:szCs w:val="19"/>
        </w:rPr>
        <w:t xml:space="preserve">If assessed tax is lower than returned income tax (after scrutiny addition): 234B computed on original return's demand; reassessment may create additional 234B</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2.3 Section 234C — Deferment of Advance Tax</w:t>
      </w:r>
    </w:p>
    <w:p>
      <w:pPr>
        <w:pStyle w:val="Heading3"/>
        <w:spacing w:after="80" w:before="220"/>
      </w:pPr>
      <w:r>
        <w:rPr>
          <w:rFonts w:ascii="Arial" w:cs="Arial" w:eastAsia="Arial" w:hAnsi="Arial"/>
          <w:b/>
          <w:bCs/>
          <w:color w:val="833C00"/>
          <w:sz w:val="22"/>
          <w:szCs w:val="22"/>
        </w:rPr>
        <w:t xml:space="preserve">Applicability</w:t>
      </w:r>
    </w:p>
    <w:p>
      <w:pPr>
        <w:spacing w:after="80" w:before="60"/>
      </w:pPr>
      <w:r>
        <w:rPr>
          <w:rFonts w:ascii="Arial" w:cs="Arial" w:eastAsia="Arial" w:hAnsi="Arial"/>
          <w:sz w:val="20"/>
          <w:szCs w:val="20"/>
        </w:rPr>
        <w:t xml:space="preserve">Applies when advance tax installments paid during the year fall short of the prescribed percentages of the assessed tax.</w:t>
      </w:r>
    </w:p>
    <w:p>
      <w:pPr>
        <w:pStyle w:val="Heading3"/>
        <w:spacing w:after="80" w:before="220"/>
      </w:pPr>
      <w:r>
        <w:rPr>
          <w:rFonts w:ascii="Arial" w:cs="Arial" w:eastAsia="Arial" w:hAnsi="Arial"/>
          <w:b/>
          <w:bCs/>
          <w:color w:val="833C00"/>
          <w:sz w:val="22"/>
          <w:szCs w:val="22"/>
        </w:rPr>
        <w:t xml:space="preserve">Advance Tax Installment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Due Date</w:t>
            </w:r>
          </w:p>
        </w:tc>
        <w:tc>
          <w:tcPr>
            <w:tcW w:type="dxa" w:w="2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Cumulative Advance Tax % Required</w:t>
            </w:r>
          </w:p>
        </w:tc>
        <w:tc>
          <w:tcPr>
            <w:tcW w:type="dxa" w:w="37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If Paid Short — Interest Period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15th June (FY)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15% of total advance tax payable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 months (June to August)</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15th September (FY)</w:t>
            </w:r>
          </w:p>
        </w:tc>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45% cumulative</w:t>
            </w:r>
          </w:p>
        </w:tc>
        <w:tc>
          <w:tcPr>
            <w:tcW w:type="dxa" w:w="37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3 months (Sep to Nov)</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15th December (FY)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75% cumulative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 months (Dec to Feb)</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15th March (FY)</w:t>
            </w:r>
          </w:p>
        </w:tc>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100% cumulative</w:t>
            </w:r>
          </w:p>
        </w:tc>
        <w:tc>
          <w:tcPr>
            <w:tcW w:type="dxa" w:w="37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1 month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234C Formula per installment: Shortfall at installment date × 1% × specified months. Shortfall = Required cumulative % of assessed tax − Actual cumulative advance tax paid up to that date. For March installment, interest period is 1 month (not 3). Assessed tax for 234C = Income tax + Surcharge + Cess − TDS/TCS deducted during the year.</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Comprehensive 234C Example</w:t>
      </w:r>
    </w:p>
    <w:p>
      <w:pPr>
        <w:spacing w:after="80" w:before="60"/>
      </w:pPr>
      <w:r>
        <w:rPr>
          <w:rFonts w:ascii="Arial" w:cs="Arial" w:eastAsia="Arial" w:hAnsi="Arial"/>
          <w:sz w:val="20"/>
          <w:szCs w:val="20"/>
        </w:rPr>
        <w:t xml:space="preserve">Assessed tax = ₹1,00,000. TDS = ₹10,000. Advance tax payable = ₹90,000.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560"/>
        <w:gridCol w:w="800"/>
        <w:gridCol w:w="800"/>
        <w:gridCol w:w="2200"/>
      </w:tblGrid>
      <w:tr>
        <w:trPr>
          <w:tblHeader/>
        </w:trPr>
        <w:tc>
          <w:tcPr>
            <w:tcW w:type="dxa" w:w="1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Installment</w:t>
            </w:r>
          </w:p>
        </w:tc>
        <w:tc>
          <w:tcPr>
            <w:tcW w:type="dxa" w:w="2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Required Cumulative</w:t>
            </w:r>
          </w:p>
        </w:tc>
        <w:tc>
          <w:tcPr>
            <w:tcW w:type="dxa" w:w="2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Actual Paid Cumulative</w:t>
            </w:r>
          </w:p>
        </w:tc>
        <w:tc>
          <w:tcPr>
            <w:tcW w:type="dxa" w:w="15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Shortfall</w:t>
            </w:r>
          </w:p>
        </w:tc>
        <w:tc>
          <w:tcPr>
            <w:tcW w:type="dxa" w:w="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Interest @ 1%</w:t>
            </w:r>
          </w:p>
        </w:tc>
        <w:tc>
          <w:tcPr>
            <w:tcW w:type="dxa" w:w="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Months</w:t>
            </w:r>
          </w:p>
        </w:tc>
        <w:tc>
          <w:tcPr>
            <w:tcW w:type="dxa" w:w="2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234C Amount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June 15</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₹13,500 (15% of ₹90,000)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₹10,000</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₹3,500</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₹105</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Sep 15</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₹40,500 (45% of ₹90,000)</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₹35,000</w:t>
            </w:r>
          </w:p>
        </w:tc>
        <w:tc>
          <w:tcPr>
            <w:tcW w:type="dxa" w:w="1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₹5,500</w:t>
            </w:r>
          </w:p>
        </w:tc>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w:t>
            </w:r>
          </w:p>
        </w:tc>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3</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₹165</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Dec 15</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₹67,500 (75% of ₹90,000)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₹60,000</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₹7,500</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₹225</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Mar 15</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₹90,000 (100%)</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₹90,000</w:t>
            </w:r>
          </w:p>
        </w:tc>
        <w:tc>
          <w:tcPr>
            <w:tcW w:type="dxa" w:w="1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₹0</w:t>
            </w:r>
          </w:p>
        </w:tc>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w:t>
            </w:r>
          </w:p>
        </w:tc>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₹0</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234C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₹495</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Edge Cases — 234C</w:t>
      </w:r>
    </w:p>
    <w:p>
      <w:pPr>
        <w:pStyle w:val="ListParagraph"/>
        <w:numPr>
          <w:ilvl w:val="0"/>
          <w:numId w:val="2"/>
        </w:numPr>
        <w:spacing w:after="30" w:before="30"/>
      </w:pPr>
      <w:r>
        <w:rPr>
          <w:rFonts w:ascii="Arial" w:cs="Arial" w:eastAsia="Arial" w:hAnsi="Arial"/>
          <w:sz w:val="19"/>
          <w:szCs w:val="19"/>
        </w:rPr>
        <w:t xml:space="preserve">If total tax liability &lt; ₹10,000: No advance tax required, no 234C</w:t>
      </w:r>
    </w:p>
    <w:p>
      <w:pPr>
        <w:pStyle w:val="ListParagraph"/>
        <w:numPr>
          <w:ilvl w:val="0"/>
          <w:numId w:val="2"/>
        </w:numPr>
        <w:spacing w:after="30" w:before="30"/>
      </w:pPr>
      <w:r>
        <w:rPr>
          <w:rFonts w:ascii="Arial" w:cs="Arial" w:eastAsia="Arial" w:hAnsi="Arial"/>
          <w:sz w:val="19"/>
          <w:szCs w:val="19"/>
        </w:rPr>
        <w:t xml:space="preserve">Senior citizens (60+) without business income: Completely exempt from advance tax and 234C</w:t>
      </w:r>
    </w:p>
    <w:p>
      <w:pPr>
        <w:pStyle w:val="ListParagraph"/>
        <w:numPr>
          <w:ilvl w:val="0"/>
          <w:numId w:val="2"/>
        </w:numPr>
        <w:spacing w:after="30" w:before="30"/>
      </w:pPr>
      <w:r>
        <w:rPr>
          <w:rFonts w:ascii="Arial" w:cs="Arial" w:eastAsia="Arial" w:hAnsi="Arial"/>
          <w:sz w:val="19"/>
          <w:szCs w:val="19"/>
        </w:rPr>
        <w:t xml:space="preserve">Salaried employees relying entirely on TDS: If TDS covers 90%+ of tax liability, 234C = NIL</w:t>
      </w:r>
    </w:p>
    <w:p>
      <w:pPr>
        <w:pStyle w:val="ListParagraph"/>
        <w:numPr>
          <w:ilvl w:val="0"/>
          <w:numId w:val="2"/>
        </w:numPr>
        <w:spacing w:after="30" w:before="30"/>
      </w:pPr>
      <w:r>
        <w:rPr>
          <w:rFonts w:ascii="Arial" w:cs="Arial" w:eastAsia="Arial" w:hAnsi="Arial"/>
          <w:sz w:val="19"/>
          <w:szCs w:val="19"/>
        </w:rPr>
        <w:t xml:space="preserve">Windfall income (lottery, capital gains, business profit from new venture) after March 15: If such income arises AFTER December 15 and pays 100% advance tax on it by March 15, no 234C on that income. For income arising after March 15, advance tax can be paid by filing date without 234C.</w:t>
      </w:r>
    </w:p>
    <w:p>
      <w:pPr>
        <w:pStyle w:val="ListParagraph"/>
        <w:numPr>
          <w:ilvl w:val="0"/>
          <w:numId w:val="2"/>
        </w:numPr>
        <w:spacing w:after="30" w:before="30"/>
      </w:pPr>
      <w:r>
        <w:rPr>
          <w:rFonts w:ascii="Arial" w:cs="Arial" w:eastAsia="Arial" w:hAnsi="Arial"/>
          <w:sz w:val="19"/>
          <w:szCs w:val="19"/>
        </w:rPr>
        <w:t xml:space="preserve">Presumptive income (44AD/44ADA): ONE installment only — all advance tax must be paid by March 15 (100%). No quarterly installments. If less than 100% paid by March 15: 234C applies for 1 month.</w:t>
      </w:r>
    </w:p>
    <w:p>
      <w:pPr>
        <w:pStyle w:val="ListParagraph"/>
        <w:numPr>
          <w:ilvl w:val="0"/>
          <w:numId w:val="2"/>
        </w:numPr>
        <w:spacing w:after="30" w:before="30"/>
      </w:pPr>
      <w:r>
        <w:rPr>
          <w:rFonts w:ascii="Arial" w:cs="Arial" w:eastAsia="Arial" w:hAnsi="Arial"/>
          <w:sz w:val="19"/>
          <w:szCs w:val="19"/>
        </w:rPr>
        <w:t xml:space="preserve">New business/profession started in December: No 234C for June/Sep installments if business started after those dates</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2.4 Section 234F — Late Filing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80"/>
        <w:gridCol w:w="2280"/>
      </w:tblGrid>
      <w:tr>
        <w:trPr>
          <w:tblHeader/>
        </w:trPr>
        <w:tc>
          <w:tcPr>
            <w:tcW w:type="dxa" w:w="4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Filing Date</w:t>
            </w:r>
          </w:p>
        </w:tc>
        <w:tc>
          <w:tcPr>
            <w:tcW w:type="dxa" w:w="28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Fee (if income &gt; ₹5 lakh)</w:t>
            </w:r>
          </w:p>
        </w:tc>
        <w:tc>
          <w:tcPr>
            <w:tcW w:type="dxa" w:w="22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Fee (if income ≤ ₹5 lakh)</w:t>
            </w:r>
          </w:p>
        </w:tc>
      </w:tr>
      <w:tr>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On or before due date (31 July / 31 Oct)</w:t>
            </w:r>
          </w:p>
        </w:tc>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NIL</w:t>
            </w:r>
          </w:p>
        </w:tc>
        <w:tc>
          <w:tcPr>
            <w:tcW w:type="dxa" w:w="2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NIL</w:t>
            </w:r>
          </w:p>
        </w:tc>
      </w:tr>
      <w:tr>
        <w:tc>
          <w:tcPr>
            <w:tcW w:type="dxa" w:w="420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After due date but on or before 31st December of AY</w:t>
            </w:r>
          </w:p>
        </w:tc>
        <w:tc>
          <w:tcPr>
            <w:tcW w:type="dxa" w:w="288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₹5,000</w:t>
            </w:r>
          </w:p>
        </w:tc>
        <w:tc>
          <w:tcPr>
            <w:tcW w:type="dxa" w:w="228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₹1,000</w:t>
            </w:r>
          </w:p>
        </w:tc>
      </w:tr>
      <w:tr>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After 31st December of AY</w:t>
            </w:r>
          </w:p>
        </w:tc>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₹10,000</w:t>
            </w:r>
          </w:p>
        </w:tc>
        <w:tc>
          <w:tcPr>
            <w:tcW w:type="dxa" w:w="2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₹1,000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234F is a fee, not interest. It is added to the tax demand. If income does not exceed the basic exemption limit: NO 234F even if filed late (i.e., if no ITR was required but filed voluntarily — 234F still applies if required to file). Note: For AY 2025-26, late fee cap of ₹1,000 applies when total income ≤ ₹5,00,000. The ₹5 lakh threshold is total income before deductions under Chapter VI-A.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5623" w:val="clear"/>
            <w:tcMar>
              <w:top w:type="dxa" w:w="160"/>
              <w:left w:type="dxa" w:w="240"/>
              <w:bottom w:type="dxa" w:w="160"/>
              <w:right w:type="dxa" w:w="240"/>
            </w:tcMar>
          </w:tcPr>
          <w:p>
            <w:r>
              <w:rPr>
                <w:rFonts w:ascii="Arial" w:cs="Arial" w:eastAsia="Arial" w:hAnsi="Arial"/>
                <w:b/>
                <w:bCs/>
                <w:color w:val="FFFFFF"/>
                <w:sz w:val="30"/>
                <w:szCs w:val="30"/>
              </w:rPr>
              <w:t xml:space="preserve">SECTION 3 — ITR-1 (SAHAJ)</w:t>
            </w:r>
          </w:p>
        </w:tc>
      </w:tr>
    </w:tbl>
    <w:p>
      <w:pPr>
        <w:spacing w:after="80" w:before="0"/>
      </w:pPr>
      <w:r>
        <w:t xml:space="preserve"/>
      </w:r>
    </w:p>
    <w:p>
      <w:pPr>
        <w:pStyle w:val="Heading1"/>
        <w:spacing w:after="120" w:before="400"/>
      </w:pPr>
      <w:r>
        <w:rPr>
          <w:rFonts w:ascii="Arial" w:cs="Arial" w:eastAsia="Arial" w:hAnsi="Arial"/>
          <w:b/>
          <w:bCs/>
          <w:color w:val="1F3864"/>
          <w:sz w:val="32"/>
          <w:szCs w:val="32"/>
        </w:rPr>
        <w:t xml:space="preserve">3. ITR-1 (Sahaj) — Complete Field Guide</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3.1 Eligibility — Who Can File ITR-1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Criteria</w:t>
            </w:r>
          </w:p>
        </w:tc>
        <w:tc>
          <w:tcPr>
            <w:tcW w:type="dxa" w:w="45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ITR-1 Eligible?</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Resident Individual ONLY (not HUF)</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ELIGIBLE</w:t>
            </w:r>
          </w:p>
        </w:tc>
      </w:tr>
      <w:tr>
        <w:tc>
          <w:tcPr>
            <w:tcW w:type="dxa" w:w="4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income up to ₹50,00,000</w:t>
            </w:r>
          </w:p>
        </w:tc>
        <w:tc>
          <w:tcPr>
            <w:tcW w:type="dxa" w:w="45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 ELIGIBLE</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from Salary or Pension</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ELIGIBLE</w:t>
            </w:r>
          </w:p>
        </w:tc>
      </w:tr>
      <w:tr>
        <w:tc>
          <w:tcPr>
            <w:tcW w:type="dxa" w:w="4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from ONE house property (excluding cases with loss carried forward)</w:t>
            </w:r>
          </w:p>
        </w:tc>
        <w:tc>
          <w:tcPr>
            <w:tcW w:type="dxa" w:w="45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 ELIGIBLE</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from other sources: Interest (bank, FD, RD, P2P), Dividend, Casual income</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ELIGIBLE</w:t>
            </w:r>
          </w:p>
        </w:tc>
      </w:tr>
      <w:tr>
        <w:tc>
          <w:tcPr>
            <w:tcW w:type="dxa" w:w="4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Agricultural income up to ₹5,000</w:t>
            </w:r>
          </w:p>
        </w:tc>
        <w:tc>
          <w:tcPr>
            <w:tcW w:type="dxa" w:w="45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 ELIGIBLE</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Resident but ordinarily resident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ELIGIBLE</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3.2 Who CANNOT File ITR-1 (Use ITR-2 or ITR-3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Disqualifying Condition</w:t>
            </w:r>
          </w:p>
        </w:tc>
        <w:tc>
          <w:tcPr>
            <w:tcW w:type="dxa" w:w="45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Correct Form</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More than one house property</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r>
        <w:tc>
          <w:tcPr>
            <w:tcW w:type="dxa" w:w="480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Capital gains of any kind (STCG or LTCG)</w:t>
            </w:r>
          </w:p>
        </w:tc>
        <w:tc>
          <w:tcPr>
            <w:tcW w:type="dxa" w:w="456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Business or professional income (including freelance)</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ITR-3 or ITR-4</w:t>
            </w:r>
          </w:p>
        </w:tc>
      </w:tr>
      <w:tr>
        <w:tc>
          <w:tcPr>
            <w:tcW w:type="dxa" w:w="480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Foreign assets or foreign income</w:t>
            </w:r>
          </w:p>
        </w:tc>
        <w:tc>
          <w:tcPr>
            <w:tcW w:type="dxa" w:w="456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Agricultural income &gt; ₹5,000</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r>
        <w:tc>
          <w:tcPr>
            <w:tcW w:type="dxa" w:w="480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income &gt; ₹50 lakhs</w:t>
            </w:r>
          </w:p>
        </w:tc>
        <w:tc>
          <w:tcPr>
            <w:tcW w:type="dxa" w:w="456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Director in a company (any listed/unlisted)</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r>
        <w:tc>
          <w:tcPr>
            <w:tcW w:type="dxa" w:w="480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Held unlisted equity shares at any time during the year</w:t>
            </w:r>
          </w:p>
        </w:tc>
        <w:tc>
          <w:tcPr>
            <w:tcW w:type="dxa" w:w="456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TDS deducted u/s 194N (cash withdrawal from bank &gt; ₹1 crore)</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r>
        <w:tc>
          <w:tcPr>
            <w:tcW w:type="dxa" w:w="480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tax deferred on ESOP (Section 191(2))</w:t>
            </w:r>
          </w:p>
        </w:tc>
        <w:tc>
          <w:tcPr>
            <w:tcW w:type="dxa" w:w="456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Non-resident or RNOR</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r>
        <w:tc>
          <w:tcPr>
            <w:tcW w:type="dxa" w:w="480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Claiming relief under Section 90/90A/91 (foreign tax credit)</w:t>
            </w:r>
          </w:p>
        </w:tc>
        <w:tc>
          <w:tcPr>
            <w:tcW w:type="dxa" w:w="456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Losses under any head that are to be carried forward</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r>
        <w:tc>
          <w:tcPr>
            <w:tcW w:type="dxa" w:w="480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Brought forward losses from previous years</w:t>
            </w:r>
          </w:p>
        </w:tc>
        <w:tc>
          <w:tcPr>
            <w:tcW w:type="dxa" w:w="4560"/>
            <w:tcBorders>
              <w:top w:val="single" w:color="CCCCCC" w:sz="4"/>
              <w:left w:val="single" w:color="CCCCCC" w:sz="4"/>
              <w:bottom w:val="single" w:color="CCCCCC" w:sz="4"/>
              <w:right w:val="single" w:color="CCCCCC" w:sz="4"/>
            </w:tcBorders>
            <w:shd w:fill="FFE7E7"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to be clubbed from spouse/minor where clubbed income is from capital gains/business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ITR-2</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3.3 ITR-1 — Part-by-Part Field Reference</w:t>
      </w:r>
    </w:p>
    <w:p>
      <w:pPr>
        <w:spacing w:after="80" w:before="0"/>
      </w:pPr>
      <w:r>
        <w:t xml:space="preserve"/>
      </w:r>
    </w:p>
    <w:p>
      <w:pPr>
        <w:pStyle w:val="Heading3"/>
        <w:spacing w:after="80" w:before="220"/>
      </w:pPr>
      <w:r>
        <w:rPr>
          <w:rFonts w:ascii="Arial" w:cs="Arial" w:eastAsia="Arial" w:hAnsi="Arial"/>
          <w:b/>
          <w:bCs/>
          <w:color w:val="833C00"/>
          <w:sz w:val="22"/>
          <w:szCs w:val="22"/>
        </w:rPr>
        <w:t xml:space="preserve">Part A — General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1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Data Type</w:t>
            </w:r>
          </w:p>
        </w:tc>
        <w:tc>
          <w:tcPr>
            <w:tcW w:type="dxa" w:w="4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Source / Validation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First Name, Middle Name, Last Name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Text</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As per PAN card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PAN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10 char alphanumeric</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Validated against ITD API</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Date of Birth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DD/MM/YYYY</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Determines senior citizen status — April 1 rule</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Aadhaar Number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12 digits</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Mandatory for resident filers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Aadhaar Enrollment ID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28 digits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Alternative if Aadhaar not assigned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Mobile Number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10 digits</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OTP verification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Email Address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Text</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Communication</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Address — Flat/Door, Street, Town, State, PIN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Text</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Jurisdiction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Employer Category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Enum</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Govt / PSU / Pensioners / Others / Not Applicable</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Assessment Year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YYYY-YY</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Auto-set by system</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Whether return is original or revised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Radio</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Original / Revised / Defective</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If revised — Original return Acknowledgement No.</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Text</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Mandatory if revised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Filing Type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Enum</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11 (filed voluntarily) / 12 (filed under notice u/s 142(1)/148)</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Whether optout of new tax regime?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Yes/No</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If Yes → old regime; If No → new regime (default)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Due Date of Filing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Date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31 July / 31 Oct — auto-computed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Date of Filing</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DD/MM/YYYY</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Actual filing date — auto-set on submission</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Part B — Gross Total Income (ITR-1)</w:t>
      </w:r>
    </w:p>
    <w:p>
      <w:pPr>
        <w:spacing w:after="80" w:before="0"/>
      </w:pPr>
      <w:r>
        <w:t xml:space="preserve"/>
      </w:r>
    </w:p>
    <w:p>
      <w:pPr>
        <w:spacing w:after="60" w:before="160"/>
      </w:pPr>
      <w:r>
        <w:rPr>
          <w:rFonts w:ascii="Arial" w:cs="Arial" w:eastAsia="Arial" w:hAnsi="Arial"/>
          <w:b/>
          <w:bCs/>
          <w:color w:val="1F6B75"/>
          <w:sz w:val="20"/>
          <w:szCs w:val="20"/>
        </w:rPr>
        <w:t xml:space="preserve">B1 — Income from Salary / Pension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 No.</w:t>
            </w:r>
          </w:p>
        </w:tc>
        <w:tc>
          <w:tcPr>
            <w:tcW w:type="dxa" w:w="3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46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Formula / Source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B1(a)</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Salary as per Form 16 (u/s 17(1))</w:t>
            </w:r>
          </w:p>
        </w:tc>
        <w:tc>
          <w:tcPr>
            <w:tcW w:type="dxa" w:w="4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Gross salary from Form 16 Part B, Sl. No. 1</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B1(b)</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Perquisites (u/s 17(2))</w:t>
            </w:r>
          </w:p>
        </w:tc>
        <w:tc>
          <w:tcPr>
            <w:tcW w:type="dxa" w:w="4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From Form 16 — perquisites value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B1(c)</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Profits in lieu of salary (u/s 17(3))</w:t>
            </w:r>
          </w:p>
        </w:tc>
        <w:tc>
          <w:tcPr>
            <w:tcW w:type="dxa" w:w="4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Terminal benefits, gratuity excess, etc.</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B1(d)</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Gross Salary = B1(a) + B1(b) + B1(c)</w:t>
            </w:r>
          </w:p>
        </w:tc>
        <w:tc>
          <w:tcPr>
            <w:tcW w:type="dxa" w:w="4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B1(e)</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Exempt allowances u/s 10 (HRA, LTA, etc.)</w:t>
            </w:r>
          </w:p>
        </w:tc>
        <w:tc>
          <w:tcPr>
            <w:tcW w:type="dxa" w:w="4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Sum of all exempt allowances</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B1(f)</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chargeable under 'Salaries' = B1(d) − B1(e)</w:t>
            </w:r>
          </w:p>
        </w:tc>
        <w:tc>
          <w:tcPr>
            <w:tcW w:type="dxa" w:w="4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B1(g)</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Standard deduction u/s 16(ia)</w:t>
            </w:r>
          </w:p>
        </w:tc>
        <w:tc>
          <w:tcPr>
            <w:tcW w:type="dxa" w:w="4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₹50,000 (old) / ₹75,000 (new regime, AY 2025-26+)</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B1(h)</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Entertainment allowance deduction u/s 16(ii)</w:t>
            </w:r>
          </w:p>
        </w:tc>
        <w:tc>
          <w:tcPr>
            <w:tcW w:type="dxa" w:w="4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Only for Govt employees — 1/5 of salary or ₹5,000, whichever lower</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B1(i)</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Professional Tax u/s 16(iii)</w:t>
            </w:r>
          </w:p>
        </w:tc>
        <w:tc>
          <w:tcPr>
            <w:tcW w:type="dxa" w:w="4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Actual professional tax paid — max ₹2,500</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B1(j)</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from Salaries = B1(f) − B1(g) − B1(h) − B1(i)</w:t>
            </w:r>
          </w:p>
        </w:tc>
        <w:tc>
          <w:tcPr>
            <w:tcW w:type="dxa" w:w="4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 — This is the final salary income figure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HRA EXEMPTION CALCULATION (u/s 10(13A)): Exempt HRA = MINIMUM OF: (i) Actual HRA received, (ii) 50% of salary [40% for non-metro cities] where Salary = Basic + DA forming part of retirement benefits, (iii) Actual rent paid minus 10% of salary. Cities qualifying for 50%: Delhi, Mumbai, Kolkata, Chennai. All others: 40%. If rent paid &lt; 10% of salary → NO HRA exemption at all.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LEAVE TRAVEL ALLOWANCE (LTA) u/s 10(5): Exempt only for actual travel within India (economy class airfare or AC first class rail). Only 2 journeys in a block of 4 years. Current block: 2022-2025. No exemption for road travel unless no rail/air connectivity. Exemption = actual fare for shortest route.</w:t>
            </w:r>
          </w:p>
        </w:tc>
      </w:tr>
    </w:tbl>
    <w:p>
      <w:pPr>
        <w:spacing w:after="80" w:before="0"/>
      </w:pPr>
      <w:r>
        <w:t xml:space="preserve"/>
      </w:r>
    </w:p>
    <w:p>
      <w:pPr>
        <w:spacing w:after="60" w:before="160"/>
      </w:pPr>
      <w:r>
        <w:rPr>
          <w:rFonts w:ascii="Arial" w:cs="Arial" w:eastAsia="Arial" w:hAnsi="Arial"/>
          <w:b/>
          <w:bCs/>
          <w:color w:val="1F6B75"/>
          <w:sz w:val="20"/>
          <w:szCs w:val="20"/>
        </w:rPr>
        <w:t xml:space="preserve">B2 — Income from House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 No.</w:t>
            </w:r>
          </w:p>
        </w:tc>
        <w:tc>
          <w:tcPr>
            <w:tcW w:type="dxa" w:w="3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49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Formula / Source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B2(a)</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Gross Annual Value (GAV) — for self-occupied: NIL</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Actual rent received for let out; NIL for SOP</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B2(b)</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Municipal taxes paid by owner during the year</w:t>
            </w:r>
          </w:p>
        </w:tc>
        <w:tc>
          <w:tcPr>
            <w:tcW w:type="dxa" w:w="4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Actual taxes paid (not accrued)</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B2(c)</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Net Annual Value (NAV) = B2(a) − B2(b)</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B2(d)</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30% standard deduction u/s 24(a)</w:t>
            </w:r>
          </w:p>
        </w:tc>
        <w:tc>
          <w:tcPr>
            <w:tcW w:type="dxa" w:w="4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30% of NAV — applicable only if NAV &gt; 0 (not for SOP)</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B2(e)</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on housing loan u/s 24(b)</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See below for limits</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B2(f)</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from House Property = B2(c) − B2(d) − B2(e)</w:t>
            </w:r>
          </w:p>
        </w:tc>
        <w:tc>
          <w:tcPr>
            <w:tcW w:type="dxa" w:w="4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 — Can be NEGATIVE (loss)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INTEREST ON HOUSING LOAN LIMITS u/s 24(b): SELF-OCCUPIED: Max deduction ₹2,00,000 per year for loan taken for purchase/construction COMPLETED within 5 years. If construction not completed in 5 years: Max ₹30,000 only. LET-OUT PROPERTY: No limit on interest deduction from HP income. However, loss from HP can only be set off against other heads up to ₹2,00,000 in the same year; remaining loss carried forward for 8 years. PRE-CONSTRUCTION INTEREST: 1/5th of total pre-construction interest deductible each year for 5 years starting from year of completion.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SET-OFF RESTRICTION FOR HP LOSS: Loss under House Property can be set off against income under any other head (salary, other sources) but MAXIMUM ₹2,00,000 in a year. Unabsorbed HP loss carried forward for 8 assessment years. Carried forward HP loss can only be set off against HP income in subsequent years — NOT against salary or other sources.</w:t>
            </w:r>
          </w:p>
        </w:tc>
      </w:tr>
    </w:tbl>
    <w:p>
      <w:pPr>
        <w:spacing w:after="80" w:before="0"/>
      </w:pPr>
      <w:r>
        <w:t xml:space="preserve"/>
      </w:r>
    </w:p>
    <w:p>
      <w:pPr>
        <w:spacing w:after="60" w:before="160"/>
      </w:pPr>
      <w:r>
        <w:rPr>
          <w:rFonts w:ascii="Arial" w:cs="Arial" w:eastAsia="Arial" w:hAnsi="Arial"/>
          <w:b/>
          <w:bCs/>
          <w:color w:val="1F6B75"/>
          <w:sz w:val="20"/>
          <w:szCs w:val="20"/>
        </w:rPr>
        <w:t xml:space="preserve">B3 — Income from Other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Sub-field</w:t>
            </w:r>
          </w:p>
        </w:tc>
        <w:tc>
          <w:tcPr>
            <w:tcW w:type="dxa" w:w="3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Income Type</w:t>
            </w:r>
          </w:p>
        </w:tc>
        <w:tc>
          <w:tcPr>
            <w:tcW w:type="dxa" w:w="55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Tax Treatment in ITR-1</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B3(a)</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from Savings Account (banks, post office, co-op)</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Taxable at slab rate; eligible for 80TTA/80TTB deduction</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B3(b)</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from Deposits (FD, RD, NSC interest accrued)</w:t>
            </w:r>
          </w:p>
        </w:tc>
        <w:tc>
          <w:tcPr>
            <w:tcW w:type="dxa" w:w="5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Taxable at slab rate; NO 80TTA benefit</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B3(c)</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from Income Tax Refund</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Taxable at slab rate</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B3(d)</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Family Pension</w:t>
            </w:r>
          </w:p>
        </w:tc>
        <w:tc>
          <w:tcPr>
            <w:tcW w:type="dxa" w:w="5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1/3 of pension or ₹15,000 (old regime) / ₹25,000 (new, AY 2025-26+) standard deduction; net is taxable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B3(e)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Dividend income</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Taxable at slab rate (gross dividend; no 57(i) deduction available in new regime)</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B3(f)</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Any other income (aggregate)</w:t>
            </w:r>
          </w:p>
        </w:tc>
        <w:tc>
          <w:tcPr>
            <w:tcW w:type="dxa" w:w="5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Taxable at slab rate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B3(g)</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Other Sources = Sum of above</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SAVINGS ACCOUNT INTEREST — 80TTA vs 80TTB: For individuals BELOW 60: Deduction u/s 80TTA = up to ₹10,000 on interest from savings accounts only (NOT FD/RD). For SENIOR CITIZENS (60+): Deduction u/s 80TTB = up to ₹50,000 on ALL bank/post office interest (savings + FD + RD). 80TTA and 80TTB are MUTUALLY EXCLUSIVE — a senior citizen cannot claim 80TTA, only 80TTB. BOTH deductions are available in OLD REGIME ONLY. NOT available in new regime.</w:t>
            </w:r>
          </w:p>
        </w:tc>
      </w:tr>
    </w:tbl>
    <w:p>
      <w:pPr>
        <w:spacing w:after="80" w:before="0"/>
      </w:pPr>
      <w:r>
        <w:t xml:space="preserve"/>
      </w:r>
    </w:p>
    <w:p>
      <w:pPr>
        <w:spacing w:after="60" w:before="160"/>
      </w:pPr>
      <w:r>
        <w:rPr>
          <w:rFonts w:ascii="Arial" w:cs="Arial" w:eastAsia="Arial" w:hAnsi="Arial"/>
          <w:b/>
          <w:bCs/>
          <w:color w:val="1F6B75"/>
          <w:sz w:val="20"/>
          <w:szCs w:val="20"/>
        </w:rPr>
        <w:t xml:space="preserve">B4 — Gross Total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 No.</w:t>
            </w:r>
          </w:p>
        </w:tc>
        <w:tc>
          <w:tcPr>
            <w:tcW w:type="dxa" w:w="3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49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Formula</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B4</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Gross Total Income</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B1(j) + B2(f) + B3(g) = GTI</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If HP income is negative (loss)</w:t>
            </w:r>
          </w:p>
        </w:tc>
        <w:tc>
          <w:tcPr>
            <w:tcW w:type="dxa" w:w="4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Set off subject to ₹2,00,000 cap; reduce from salary/OS income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GTI cannot be negative</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If HP loss &gt; ₹2,00,000, excess carries forward but GTI floors at 0</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Part C — Deductions and Taxable Total Income</w:t>
      </w:r>
    </w:p>
    <w:p>
      <w:pPr>
        <w:spacing w:after="80" w:before="0"/>
      </w:pPr>
      <w:r>
        <w:t xml:space="preserve"/>
      </w:r>
    </w:p>
    <w:p>
      <w:pPr>
        <w:spacing w:after="60" w:before="160"/>
      </w:pPr>
      <w:r>
        <w:rPr>
          <w:rFonts w:ascii="Arial" w:cs="Arial" w:eastAsia="Arial" w:hAnsi="Arial"/>
          <w:b/>
          <w:bCs/>
          <w:color w:val="1F6B75"/>
          <w:sz w:val="20"/>
          <w:szCs w:val="20"/>
        </w:rPr>
        <w:t xml:space="preserve">Chapter VI-A Deductions — Available in Old Regime (most not available in new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2500"/>
        <w:gridCol w:w="1560"/>
      </w:tblGrid>
      <w:tr>
        <w:trPr>
          <w:tblHeader/>
        </w:trPr>
        <w:tc>
          <w:tcPr>
            <w:tcW w:type="dxa" w:w="1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Section</w:t>
            </w:r>
          </w:p>
        </w:tc>
        <w:tc>
          <w:tcPr>
            <w:tcW w:type="dxa" w:w="3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Deduction</w:t>
            </w:r>
          </w:p>
        </w:tc>
        <w:tc>
          <w:tcPr>
            <w:tcW w:type="dxa" w:w="2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Limit</w:t>
            </w:r>
          </w:p>
        </w:tc>
        <w:tc>
          <w:tcPr>
            <w:tcW w:type="dxa" w:w="15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Available in New Regime?</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80C</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LIC, PPF, ELSS, EPF, Sukanya, NSC, Home loan principal, tuition fees, etc.</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₹1,50,000</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80CCC</w:t>
            </w:r>
          </w:p>
        </w:tc>
        <w:tc>
          <w:tcPr>
            <w:tcW w:type="dxa" w:w="38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Pension fund premium (part of 80C)</w:t>
            </w:r>
          </w:p>
        </w:tc>
        <w:tc>
          <w:tcPr>
            <w:tcW w:type="dxa" w:w="2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₹1,50,000 (combined with 80C)</w:t>
            </w:r>
          </w:p>
        </w:tc>
        <w:tc>
          <w:tcPr>
            <w:tcW w:type="dxa" w:w="156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80CCD(1)</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NPS employee contribution (part of 80C limit)</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₹1,50,000 (within 80C)</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80CCD(1B)</w:t>
            </w:r>
          </w:p>
        </w:tc>
        <w:tc>
          <w:tcPr>
            <w:tcW w:type="dxa" w:w="38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Additional NPS contribution over 80C</w:t>
            </w:r>
          </w:p>
        </w:tc>
        <w:tc>
          <w:tcPr>
            <w:tcW w:type="dxa" w:w="2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₹50,000 extra</w:t>
            </w:r>
          </w:p>
        </w:tc>
        <w:tc>
          <w:tcPr>
            <w:tcW w:type="dxa" w:w="156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NO (except employer's contribution)</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80CCD(2)</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Employer's NPS contribution</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10% of salary (Govt: 14%)</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YES — available in new regime</w:t>
            </w:r>
          </w:p>
        </w:tc>
      </w:tr>
      <w:tr>
        <w:tc>
          <w:tcPr>
            <w:tcW w:type="dxa" w:w="1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80D</w:t>
            </w:r>
          </w:p>
        </w:tc>
        <w:tc>
          <w:tcPr>
            <w:tcW w:type="dxa" w:w="38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Medical insurance premium</w:t>
            </w:r>
          </w:p>
        </w:tc>
        <w:tc>
          <w:tcPr>
            <w:tcW w:type="dxa" w:w="2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₹25,000 self/family (₹50,000 if senior citizen); ₹25,000 parents (₹50,000 if senior)</w:t>
            </w:r>
          </w:p>
        </w:tc>
        <w:tc>
          <w:tcPr>
            <w:tcW w:type="dxa" w:w="156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80DD</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Disabled dependent: fixed deduction</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₹75,000 (40-80% disability) / ₹1,25,000 (80%+)</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80DDB</w:t>
            </w:r>
          </w:p>
        </w:tc>
        <w:tc>
          <w:tcPr>
            <w:tcW w:type="dxa" w:w="38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Medical treatment of specified disease</w:t>
            </w:r>
          </w:p>
        </w:tc>
        <w:tc>
          <w:tcPr>
            <w:tcW w:type="dxa" w:w="2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₹40,000 (₹1,00,000 if senior citizen)</w:t>
            </w:r>
          </w:p>
        </w:tc>
        <w:tc>
          <w:tcPr>
            <w:tcW w:type="dxa" w:w="156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80E</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on education loan</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Actual interest for 8 years — no cap</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80EE</w:t>
            </w:r>
          </w:p>
        </w:tc>
        <w:tc>
          <w:tcPr>
            <w:tcW w:type="dxa" w:w="38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on housing loan (first-time buyer, loan &lt; ₹35L, property &lt; ₹50L)</w:t>
            </w:r>
          </w:p>
        </w:tc>
        <w:tc>
          <w:tcPr>
            <w:tcW w:type="dxa" w:w="2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₹50,000 extra over 24(b)</w:t>
            </w:r>
          </w:p>
        </w:tc>
        <w:tc>
          <w:tcPr>
            <w:tcW w:type="dxa" w:w="156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80EEA</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on housing loan (affordable housing, stamp duty value ≤ ₹45L)</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₹1,50,000 additional</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80EEB</w:t>
            </w:r>
          </w:p>
        </w:tc>
        <w:tc>
          <w:tcPr>
            <w:tcW w:type="dxa" w:w="38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on electric vehicle loan</w:t>
            </w:r>
          </w:p>
        </w:tc>
        <w:tc>
          <w:tcPr>
            <w:tcW w:type="dxa" w:w="2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₹1,50,000</w:t>
            </w:r>
          </w:p>
        </w:tc>
        <w:tc>
          <w:tcPr>
            <w:tcW w:type="dxa" w:w="156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80G</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Donations to approved funds/institutions</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50% or 100% of qualifying amount; with/without 10% income limit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80GG</w:t>
            </w:r>
          </w:p>
        </w:tc>
        <w:tc>
          <w:tcPr>
            <w:tcW w:type="dxa" w:w="38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Rent paid (no HRA in salary)</w:t>
            </w:r>
          </w:p>
        </w:tc>
        <w:tc>
          <w:tcPr>
            <w:tcW w:type="dxa" w:w="2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Least of: actual rent − 10% of income; ₹5,000/month; 25% of total income</w:t>
            </w:r>
          </w:p>
        </w:tc>
        <w:tc>
          <w:tcPr>
            <w:tcW w:type="dxa" w:w="156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80GGC</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Donation to political party</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Actual — 100%; not via cash</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80TTA</w:t>
            </w:r>
          </w:p>
        </w:tc>
        <w:tc>
          <w:tcPr>
            <w:tcW w:type="dxa" w:w="38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Savings account interest (below 60)</w:t>
            </w:r>
          </w:p>
        </w:tc>
        <w:tc>
          <w:tcPr>
            <w:tcW w:type="dxa" w:w="2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₹10,000</w:t>
            </w:r>
          </w:p>
        </w:tc>
        <w:tc>
          <w:tcPr>
            <w:tcW w:type="dxa" w:w="156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80TTB</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income — all types (senior citizens)</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₹50,000</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r>
        <w:tc>
          <w:tcPr>
            <w:tcW w:type="dxa" w:w="1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80U</w:t>
            </w:r>
          </w:p>
        </w:tc>
        <w:tc>
          <w:tcPr>
            <w:tcW w:type="dxa" w:w="38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Self disabled assessee</w:t>
            </w:r>
          </w:p>
        </w:tc>
        <w:tc>
          <w:tcPr>
            <w:tcW w:type="dxa" w:w="25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₹75,000 (40-80%) / ₹1,25,000 (80%+)</w:t>
            </w:r>
          </w:p>
        </w:tc>
        <w:tc>
          <w:tcPr>
            <w:tcW w:type="dxa" w:w="156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NO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80C DETAILS: The aggregate limit for 80C + 80CCC + 80CCD(1) combined is ₹1,50,000. 80CCD(1B) is an ADDITIONAL ₹50,000 over and above this ₹1,50,000. Employer's NPS contribution u/s 80CCD(2) is OVER AND ABOVE all these limits and is available in NEW REGIME too. Common mistake: counting EPF as 80C — employee's EPF contribution is covered under 80C. Employer's EPF contribution is exempt u/s 10(12) up to ₹7.5 lakh.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80G CALCULATION DETAILS: Step 1: Identify category — 100% without limit (PM National Relief Fund etc.), 100% with 10% limit, 50% without limit, 50% with 10% limit. Step 2: Apply 10% income limit (where applicable) — 10% of Adjusted Gross Total Income (GTI before 80G deduction, reduced by long-term capital gains, short-term capital gains u/s 111A, income from non-residents). Step 3: Qualifying amount = eligible donation. Step 4: Deduction = applicable % of qualifying amount. Cash donations &gt; ₹2,000 are DISQUALIFIED.</w:t>
            </w:r>
          </w:p>
        </w:tc>
      </w:tr>
    </w:tbl>
    <w:p>
      <w:pPr>
        <w:spacing w:after="80" w:before="0"/>
      </w:pPr>
      <w:r>
        <w:t xml:space="preserve"/>
      </w:r>
    </w:p>
    <w:p>
      <w:pPr>
        <w:spacing w:after="60" w:before="160"/>
      </w:pPr>
      <w:r>
        <w:rPr>
          <w:rFonts w:ascii="Arial" w:cs="Arial" w:eastAsia="Arial" w:hAnsi="Arial"/>
          <w:b/>
          <w:bCs/>
          <w:color w:val="1F6B75"/>
          <w:sz w:val="20"/>
          <w:szCs w:val="20"/>
        </w:rPr>
        <w:t xml:space="preserve">ITR-1 Deduction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58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Formula</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Chapter VI-A Deductions (old regime)</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Sum of all applicable deductions (floored at 0; cannot exceed GTI)</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Taxable Total Income (old regime)</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GTI − Total Chapter VI-A Deductions</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Taxable Total Income (new regime)</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GTI (almost no deductions; only 80CCD(2) employer NPS and a few others)</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Round off</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Round to nearest ₹10 u/s 288A</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Basic exemption cushion</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If income &lt; basic exemption (₹2.5L/3L/5L old; ₹3L/₹4L new for AY 26-27): no tax</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Part D — Tax Computation</w:t>
      </w:r>
    </w:p>
    <w:p>
      <w:pPr>
        <w:spacing w:after="80" w:before="0"/>
      </w:pPr>
      <w:r>
        <w:t xml:space="preserve"/>
      </w:r>
    </w:p>
    <w:p>
      <w:pPr>
        <w:spacing w:after="60" w:before="160"/>
      </w:pPr>
      <w:r>
        <w:rPr>
          <w:rFonts w:ascii="Arial" w:cs="Arial" w:eastAsia="Arial" w:hAnsi="Arial"/>
          <w:b/>
          <w:bCs/>
          <w:color w:val="1F6B75"/>
          <w:sz w:val="20"/>
          <w:szCs w:val="20"/>
        </w:rPr>
        <w:t xml:space="preserve">D1 — Tax on Total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 No.</w:t>
            </w:r>
          </w:p>
        </w:tc>
        <w:tc>
          <w:tcPr>
            <w:tcW w:type="dxa" w:w="3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54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Formula</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on Total Income (old regime) or new regime slabs</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Apply applicable slab table from Section 1 of this document</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Rebate u/s 87A</w:t>
            </w:r>
          </w:p>
        </w:tc>
        <w:tc>
          <w:tcPr>
            <w:tcW w:type="dxa" w:w="5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Old regime: if TI ≤ 5L: min(tax, 12500). New regime AY 25-26: if TI ≤ 7L: min(tax, 25000). New regime AY 26-27: if TI ≤ 12L: min(tax, 60000)</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D3</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after rebate = D1 − D2</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 — cannot go below 0</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D4</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Surcharge (as per Section 1.4)</w:t>
            </w:r>
          </w:p>
        </w:tc>
        <w:tc>
          <w:tcPr>
            <w:tcW w:type="dxa" w:w="5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Apply surcharge rates; compute marginal relief</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D5</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Health and Education Cess = (D3 + D4) × 4%</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D6</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Tax Liability = D3 + D4 + D5</w:t>
            </w:r>
          </w:p>
        </w:tc>
        <w:tc>
          <w:tcPr>
            <w:tcW w:type="dxa" w:w="5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D7</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Relief u/s 89 (salary arrears relief)</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From Form 10E — filed separately before ITR</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D8</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payable after relief = D6 − D7</w:t>
            </w:r>
          </w:p>
        </w:tc>
        <w:tc>
          <w:tcPr>
            <w:tcW w:type="dxa" w:w="5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D9</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TDS u/s 192 (salary TDS — from Form 16)</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From Schedule TDS1</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D10</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TDS on other income (bank, etc. — Form 26AS)</w:t>
            </w:r>
          </w:p>
        </w:tc>
        <w:tc>
          <w:tcPr>
            <w:tcW w:type="dxa" w:w="5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From Schedule TDS2</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D11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TCS (Tax Collected at Source)</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From Schedule TCS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D12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Advance Tax paid</w:t>
            </w:r>
          </w:p>
        </w:tc>
        <w:tc>
          <w:tcPr>
            <w:tcW w:type="dxa" w:w="5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From Schedule IT — challan-wise entry</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D13</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Payable / (Refund) = D8 − D9 − D10 − D11 − D12</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D14</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u/s 234A</w:t>
            </w:r>
          </w:p>
        </w:tc>
        <w:tc>
          <w:tcPr>
            <w:tcW w:type="dxa" w:w="5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As per Section 2.1 above — only if D13 &gt; 0</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D15</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u/s 234B</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As per Section 2.2 above — only if D13 &gt; 0</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D16</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u/s 234C</w:t>
            </w:r>
          </w:p>
        </w:tc>
        <w:tc>
          <w:tcPr>
            <w:tcW w:type="dxa" w:w="5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As per Section 2.3 above — only if D13 &gt; 0</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D17</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Late filing fee u/s 234F</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As per Section 2.4 above — only if filed late</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D18</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Demand / (Refund) = D13 + D14 + D15 + D16 + D17</w:t>
            </w:r>
          </w:p>
        </w:tc>
        <w:tc>
          <w:tcPr>
            <w:tcW w:type="dxa" w:w="5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 — FINAL FIGURE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ROUNDING RULES: Tax on total income is computed on income rounded to nearest ₹10 (u/s 288A). Tax itself is rounded to nearest ₹10 (u/s 288B). Total demand/refund rounded to nearest ₹1.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RELIEF U/S 89 — SALARY ARREARS: When a salary or gratuity or VRS compensation is received in arrears (relating to past years), relief u/s 89 reduces the tax burden. The assessee must file Form 10E electronically BEFORE filing the ITR. The relief is computed as: [Tax on total income including arrears] − [Tax that would have been payable if arrears had been received in the respective past years]. The difference is the relief. If Form 10E is not filed, the claim cannot be made. The ERP should alert the advocate if 89 relief is being claimed without Form 10E.</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Schedule TDS1 — TDS on Salary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Details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Employer Name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Name of employer (from Form 16)</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TAN of Employer</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10-character TAN — mandatory for cross-verification with 26AS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Deducted (as per Form 16)</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TDS deducted during the year</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Deposited (as per Form 16 Part A)</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Must match 26AS — flag if discrepancy</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Schedule TDS2 — TDS on Other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Details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Deductor Name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Bank / institution name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TAN of Deductor</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10-character TAN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Amount on which TDS deducted</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Gross income before TDS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TDS Amount</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As per Form 26AS Part A — verify against actual Form 16A / bank certificates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Year of deduction</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Important when TDS from previous years is reflected this year</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Schedule IT — Advance Tax and Self-Assessment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8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Details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BSR Code</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7-digit bank branch code</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Date of Deposit</w:t>
            </w:r>
          </w:p>
        </w:tc>
        <w:tc>
          <w:tcPr>
            <w:tcW w:type="dxa" w:w="6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DD/MM/YYYY</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Serial Number of Challan</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From challan receipt</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Amount</w:t>
            </w:r>
          </w:p>
        </w:tc>
        <w:tc>
          <w:tcPr>
            <w:tcW w:type="dxa" w:w="6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Advance tax / self-assessment tax amount</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Type</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Advance Tax / Self-Assessment Tax / Regular Assessment Tax</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ITR-1 Complete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Scenario</w:t>
            </w:r>
          </w:p>
        </w:tc>
        <w:tc>
          <w:tcPr>
            <w:tcW w:type="dxa" w:w="61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Handling</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Multiple employers in same year</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Combine all Form 16s. Ensure correct standard deduction claimed only once. Common issue: each employer deducted separately — aggregate may breach standard deduction double-claim.</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Salary includes gratuity (non-govt)</w:t>
            </w:r>
          </w:p>
        </w:tc>
        <w:tc>
          <w:tcPr>
            <w:tcW w:type="dxa" w:w="6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Exempt up to least of: 15/26 × last salary × years of service; ₹20,00,000; actual gratuity. Excess taxable u/s 17(3).</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Leave encashment on retirement (non-govt)</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Exempt up to least of: actual amount; ₹25,00,000; 10 months salary; cash equivalent of unused leave (max 30 days p.a.). Budget 2023 enhanced limit to ₹25L.</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VRS / Golden handshake</w:t>
            </w:r>
          </w:p>
        </w:tc>
        <w:tc>
          <w:tcPr>
            <w:tcW w:type="dxa" w:w="6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Exempt u/s 10(10C) up to ₹5,00,000 for govt employees; other cases taxable. Relief u/s 89 may reduce burden.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Salary received in foreign currency</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Convert at TT buying rate on last day of each month. Include in gross salary before exemptions.</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Bank FD interest: should client show on accrual or receipt?</w:t>
            </w:r>
          </w:p>
        </w:tc>
        <w:tc>
          <w:tcPr>
            <w:tcW w:type="dxa" w:w="6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income is taxable on ACCRUAL BASIS (not when actually received/credited). Include FD interest accrued during the FY even if not paid. System should prompt if FD held but no interest declared.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Negative house property income in ITR-1</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Allowed — HP loss set off against salary but capped at ₹2,00,000. If HP loss &gt; ₹2,00,000, excess of ₹2L CANNOT be carried forward in ITR-1 — taxpayer must file ITR-2 to carry forward the excess HP loss.</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80G cash donation &gt; ₹2,000</w:t>
            </w:r>
          </w:p>
        </w:tc>
        <w:tc>
          <w:tcPr>
            <w:tcW w:type="dxa" w:w="6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DISALLOWED in full. System must flag and exclude from 80G deduction.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Non-payment of self-assessment tax before filing</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234A starts accruing. 234B applies if advance tax was short. Self-assessment tax is a prerequisite for valid return; AO can treat return as invalid if self-assessment tax not paid.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from peer-to-peer lending platform</w:t>
            </w:r>
          </w:p>
        </w:tc>
        <w:tc>
          <w:tcPr>
            <w:tcW w:type="dxa" w:w="6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Taxable as 'other sources' — interest income. TDS at 10% deducted by P2P platform u/s 194A if interest &gt; ₹5,000. Include in B3.</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Dividend from Indian companies</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Fully taxable at slab rate. TDS deducted by company u/s 194 at 10% if dividend &gt; ₹5,000. Include in B3.</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on income tax refund</w:t>
            </w:r>
          </w:p>
        </w:tc>
        <w:tc>
          <w:tcPr>
            <w:tcW w:type="dxa" w:w="6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Taxable u/s 244A interest — included in other sources. TDS deducted u/s 195.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B75" w:val="clear"/>
            <w:tcMar>
              <w:top w:type="dxa" w:w="160"/>
              <w:left w:type="dxa" w:w="240"/>
              <w:bottom w:type="dxa" w:w="160"/>
              <w:right w:type="dxa" w:w="240"/>
            </w:tcMar>
          </w:tcPr>
          <w:p>
            <w:r>
              <w:rPr>
                <w:rFonts w:ascii="Arial" w:cs="Arial" w:eastAsia="Arial" w:hAnsi="Arial"/>
                <w:b/>
                <w:bCs/>
                <w:color w:val="FFFFFF"/>
                <w:sz w:val="30"/>
                <w:szCs w:val="30"/>
              </w:rPr>
              <w:t xml:space="preserve">SECTION 4 — ITR-2</w:t>
            </w:r>
          </w:p>
        </w:tc>
      </w:tr>
    </w:tbl>
    <w:p>
      <w:pPr>
        <w:spacing w:after="80" w:before="0"/>
      </w:pPr>
      <w:r>
        <w:t xml:space="preserve"/>
      </w:r>
    </w:p>
    <w:p>
      <w:pPr>
        <w:pStyle w:val="Heading1"/>
        <w:spacing w:after="120" w:before="400"/>
      </w:pPr>
      <w:r>
        <w:rPr>
          <w:rFonts w:ascii="Arial" w:cs="Arial" w:eastAsia="Arial" w:hAnsi="Arial"/>
          <w:b/>
          <w:bCs/>
          <w:color w:val="1F3864"/>
          <w:sz w:val="32"/>
          <w:szCs w:val="32"/>
        </w:rPr>
        <w:t xml:space="preserve">4. ITR-2 — Complete Field Guide</w:t>
      </w:r>
    </w:p>
    <w:p>
      <w:pPr>
        <w:spacing w:after="80" w:before="60"/>
      </w:pPr>
      <w:r>
        <w:rPr>
          <w:rFonts w:ascii="Arial" w:cs="Arial" w:eastAsia="Arial" w:hAnsi="Arial"/>
          <w:sz w:val="20"/>
          <w:szCs w:val="20"/>
        </w:rPr>
        <w:t xml:space="preserve">ITR-2 is for individuals and HUFs who do not have income from business or profession. It covers all income sources in ITR-1 PLUS capital gains, foreign income/assets, multiple house properties, and more.</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4.1 Eligibility — Who Files ITR-2</w:t>
      </w:r>
    </w:p>
    <w:p>
      <w:pPr>
        <w:pStyle w:val="ListParagraph"/>
        <w:numPr>
          <w:ilvl w:val="0"/>
          <w:numId w:val="2"/>
        </w:numPr>
        <w:spacing w:after="30" w:before="30"/>
      </w:pPr>
      <w:r>
        <w:rPr>
          <w:rFonts w:ascii="Arial" w:cs="Arial" w:eastAsia="Arial" w:hAnsi="Arial"/>
          <w:sz w:val="19"/>
          <w:szCs w:val="19"/>
        </w:rPr>
        <w:t xml:space="preserve">Individuals and HUFs with income from salary, house property (one or more), capital gains, other sources</w:t>
      </w:r>
    </w:p>
    <w:p>
      <w:pPr>
        <w:pStyle w:val="ListParagraph"/>
        <w:numPr>
          <w:ilvl w:val="0"/>
          <w:numId w:val="2"/>
        </w:numPr>
        <w:spacing w:after="30" w:before="30"/>
      </w:pPr>
      <w:r>
        <w:rPr>
          <w:rFonts w:ascii="Arial" w:cs="Arial" w:eastAsia="Arial" w:hAnsi="Arial"/>
          <w:sz w:val="19"/>
          <w:szCs w:val="19"/>
        </w:rPr>
        <w:t xml:space="preserve">Total income EXCEEDING ₹50 lakh (not eligible for ITR-1)</w:t>
      </w:r>
    </w:p>
    <w:p>
      <w:pPr>
        <w:pStyle w:val="ListParagraph"/>
        <w:numPr>
          <w:ilvl w:val="0"/>
          <w:numId w:val="2"/>
        </w:numPr>
        <w:spacing w:after="30" w:before="30"/>
      </w:pPr>
      <w:r>
        <w:rPr>
          <w:rFonts w:ascii="Arial" w:cs="Arial" w:eastAsia="Arial" w:hAnsi="Arial"/>
          <w:sz w:val="19"/>
          <w:szCs w:val="19"/>
        </w:rPr>
        <w:t xml:space="preserve">Income from foreign sources / foreign assets</w:t>
      </w:r>
    </w:p>
    <w:p>
      <w:pPr>
        <w:pStyle w:val="ListParagraph"/>
        <w:numPr>
          <w:ilvl w:val="0"/>
          <w:numId w:val="2"/>
        </w:numPr>
        <w:spacing w:after="30" w:before="30"/>
      </w:pPr>
      <w:r>
        <w:rPr>
          <w:rFonts w:ascii="Arial" w:cs="Arial" w:eastAsia="Arial" w:hAnsi="Arial"/>
          <w:sz w:val="19"/>
          <w:szCs w:val="19"/>
        </w:rPr>
        <w:t xml:space="preserve">Resident having signing authority in foreign account</w:t>
      </w:r>
    </w:p>
    <w:p>
      <w:pPr>
        <w:pStyle w:val="ListParagraph"/>
        <w:numPr>
          <w:ilvl w:val="0"/>
          <w:numId w:val="2"/>
        </w:numPr>
        <w:spacing w:after="30" w:before="30"/>
      </w:pPr>
      <w:r>
        <w:rPr>
          <w:rFonts w:ascii="Arial" w:cs="Arial" w:eastAsia="Arial" w:hAnsi="Arial"/>
          <w:sz w:val="19"/>
          <w:szCs w:val="19"/>
        </w:rPr>
        <w:t xml:space="preserve">Directors of companies</w:t>
      </w:r>
    </w:p>
    <w:p>
      <w:pPr>
        <w:pStyle w:val="ListParagraph"/>
        <w:numPr>
          <w:ilvl w:val="0"/>
          <w:numId w:val="2"/>
        </w:numPr>
        <w:spacing w:after="30" w:before="30"/>
      </w:pPr>
      <w:r>
        <w:rPr>
          <w:rFonts w:ascii="Arial" w:cs="Arial" w:eastAsia="Arial" w:hAnsi="Arial"/>
          <w:sz w:val="19"/>
          <w:szCs w:val="19"/>
        </w:rPr>
        <w:t xml:space="preserve">Holders of unlisted equity shares</w:t>
      </w:r>
    </w:p>
    <w:p>
      <w:pPr>
        <w:pStyle w:val="ListParagraph"/>
        <w:numPr>
          <w:ilvl w:val="0"/>
          <w:numId w:val="2"/>
        </w:numPr>
        <w:spacing w:after="30" w:before="30"/>
      </w:pPr>
      <w:r>
        <w:rPr>
          <w:rFonts w:ascii="Arial" w:cs="Arial" w:eastAsia="Arial" w:hAnsi="Arial"/>
          <w:sz w:val="19"/>
          <w:szCs w:val="19"/>
        </w:rPr>
        <w:t xml:space="preserve">Seeking carry-forward of losses (HP, capital gains)</w:t>
      </w:r>
    </w:p>
    <w:p>
      <w:pPr>
        <w:pStyle w:val="ListParagraph"/>
        <w:numPr>
          <w:ilvl w:val="0"/>
          <w:numId w:val="2"/>
        </w:numPr>
        <w:spacing w:after="30" w:before="30"/>
      </w:pPr>
      <w:r>
        <w:rPr>
          <w:rFonts w:ascii="Arial" w:cs="Arial" w:eastAsia="Arial" w:hAnsi="Arial"/>
          <w:sz w:val="19"/>
          <w:szCs w:val="19"/>
        </w:rPr>
        <w:t xml:space="preserve">Claiming treaty relief u/s 90/90A/91</w:t>
      </w:r>
    </w:p>
    <w:p>
      <w:pPr>
        <w:pStyle w:val="ListParagraph"/>
        <w:numPr>
          <w:ilvl w:val="0"/>
          <w:numId w:val="2"/>
        </w:numPr>
        <w:spacing w:after="30" w:before="30"/>
      </w:pPr>
      <w:r>
        <w:rPr>
          <w:rFonts w:ascii="Arial" w:cs="Arial" w:eastAsia="Arial" w:hAnsi="Arial"/>
          <w:sz w:val="19"/>
          <w:szCs w:val="19"/>
        </w:rPr>
        <w:t xml:space="preserve">Agricultural income &gt; ₹5,000 (but no business income)</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4.2 Additional Schedules in ITR-2 over ITR-1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Schedule</w:t>
            </w:r>
          </w:p>
        </w:tc>
        <w:tc>
          <w:tcPr>
            <w:tcW w:type="dxa" w:w="7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Purpose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HP</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Detailed HP computation for each property</w:t>
            </w:r>
          </w:p>
        </w:tc>
      </w:tr>
      <w:tr>
        <w:tc>
          <w:tcPr>
            <w:tcW w:type="dxa" w:w="200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CG</w:t>
            </w:r>
          </w:p>
        </w:tc>
        <w:tc>
          <w:tcPr>
            <w:tcW w:type="dxa" w:w="736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Capital Gains — short-term and long-term, property-wise / security-wise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OS (detailed)</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Other sources with deductions u/s 57</w:t>
            </w:r>
          </w:p>
        </w:tc>
      </w:tr>
      <w:tr>
        <w:tc>
          <w:tcPr>
            <w:tcW w:type="dxa" w:w="200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CYLA</w:t>
            </w:r>
          </w:p>
        </w:tc>
        <w:tc>
          <w:tcPr>
            <w:tcW w:type="dxa" w:w="736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Current Year Loss Adjustment across heads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BFLA</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Brought Forward Loss Adjustment from past years</w:t>
            </w:r>
          </w:p>
        </w:tc>
      </w:tr>
      <w:tr>
        <w:tc>
          <w:tcPr>
            <w:tcW w:type="dxa" w:w="200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CFL</w:t>
            </w:r>
          </w:p>
        </w:tc>
        <w:tc>
          <w:tcPr>
            <w:tcW w:type="dxa" w:w="736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Carry Forward of current year losses to future years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VIA</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All Chapter VI-A deductions with detailed breakup</w:t>
            </w:r>
          </w:p>
        </w:tc>
      </w:tr>
      <w:tr>
        <w:tc>
          <w:tcPr>
            <w:tcW w:type="dxa" w:w="200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80G</w:t>
            </w:r>
          </w:p>
        </w:tc>
        <w:tc>
          <w:tcPr>
            <w:tcW w:type="dxa" w:w="736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Donation-wise details for 80G</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80GGA</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Scientific research donations</w:t>
            </w:r>
          </w:p>
        </w:tc>
      </w:tr>
      <w:tr>
        <w:tc>
          <w:tcPr>
            <w:tcW w:type="dxa" w:w="200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AL</w:t>
            </w:r>
          </w:p>
        </w:tc>
        <w:tc>
          <w:tcPr>
            <w:tcW w:type="dxa" w:w="736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Assets and Liabilities — mandatory if income &gt; ₹50 lakh</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FA</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Foreign Assets (bank accounts, equity, immovable property abroad)</w:t>
            </w:r>
          </w:p>
        </w:tc>
      </w:tr>
      <w:tr>
        <w:tc>
          <w:tcPr>
            <w:tcW w:type="dxa" w:w="200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FSI</w:t>
            </w:r>
          </w:p>
        </w:tc>
        <w:tc>
          <w:tcPr>
            <w:tcW w:type="dxa" w:w="736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Foreign Source Income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TR</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Relief claimed (foreign taxes paid vs treaty relief)</w:t>
            </w:r>
          </w:p>
        </w:tc>
      </w:tr>
      <w:tr>
        <w:tc>
          <w:tcPr>
            <w:tcW w:type="dxa" w:w="200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5A</w:t>
            </w:r>
          </w:p>
        </w:tc>
        <w:tc>
          <w:tcPr>
            <w:tcW w:type="dxa" w:w="736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Details of apportionment of income between spouses (Portuguese Civil Code)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SPI</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Clubbing of income (income of spouse/minor/HUF member)</w:t>
            </w:r>
          </w:p>
        </w:tc>
      </w:tr>
      <w:tr>
        <w:tc>
          <w:tcPr>
            <w:tcW w:type="dxa" w:w="200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Schedule SI</w:t>
            </w:r>
          </w:p>
        </w:tc>
        <w:tc>
          <w:tcPr>
            <w:tcW w:type="dxa" w:w="7360"/>
            <w:tcBorders>
              <w:top w:val="single" w:color="CCCCCC" w:sz="4"/>
              <w:left w:val="single" w:color="CCCCCC" w:sz="4"/>
              <w:bottom w:val="single" w:color="CCCCCC" w:sz="4"/>
              <w:right w:val="single" w:color="CCCCCC" w:sz="4"/>
            </w:tcBorders>
            <w:shd w:fill="D9EF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chargeable at special rates (111A, 112, 112A, etc.)</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4.3 Schedule HP — House Property (Multiple Properties)</w:t>
      </w:r>
    </w:p>
    <w:p>
      <w:pPr>
        <w:spacing w:after="80" w:before="60"/>
      </w:pPr>
      <w:r>
        <w:rPr>
          <w:rFonts w:ascii="Arial" w:cs="Arial" w:eastAsia="Arial" w:hAnsi="Arial"/>
          <w:sz w:val="20"/>
          <w:szCs w:val="20"/>
        </w:rPr>
        <w:t xml:space="preserve">For EACH property, the following must be entered: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5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Details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Property Name / Address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Full address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Ownership type</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Self-Occupied (SOP) / Let-Out (LO) / Deemed Let-Out (DLO)</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Co-ownership share (%)</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If joint property — only proportionate share of income is taxable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Annual Letting Value / Actual Rent</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For LO: Actual rent or Fair Rent (FMV), whichever higher. Municipal value also considered. NAV = higher of Annual Letting Value vs Municipal Rateable Value minus municipal taxes paid.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Municipal Taxes paid</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Only if paid by owner during the year (not tenant)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Net Annual Value (NAV)</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Gross Annual Value − Municipal Taxes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30% Standard Deduction u/s 24(a)</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30% of NAV — for let-out properties only. SOP: not applicable.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on Housing Loan u/s 24(b)</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For SOP: max ₹2,00,000 (₹30,000 if construction not completed in 5 years). For LO: No limit.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Pre-construction interest 1/5th</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If pre-construction period interest: 1/5th per year for 5 years from year of completion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 (Loss) from this property</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NAV − 30% standard deduction − Interest deduction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DEEMED LET-OUT (DLO) PROPERTY: If an individual owns more than two residential properties, all SOP properties after the first two are treated as DEEMED LET OUT. From AY 2020-21, up to two SOPs allowed. For DLO: NAV = Higher of Annual Letting Value or Fair Rent. 30% deduction and full interest deduction apply. Common cases: owns 3 flats — first two can be SOP; third is DLO.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HP LOSS SET-OFF SUMMARY: Total HP loss from all properties is computed (aggregate). This aggregate HP loss is set off against: (1) Salary income, (2) Other Sources income — but MAXIMUM ₹2,00,000 cap on inter-head set-off. Remaining HP loss (if any) is carried forward for 8 years and can only be set off against HP income in future years.</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4.4 Schedule CG — Capital Gains</w:t>
      </w:r>
    </w:p>
    <w:p>
      <w:pPr>
        <w:spacing w:after="80" w:before="0"/>
      </w:pPr>
      <w:r>
        <w:t xml:space="preserve"/>
      </w:r>
    </w:p>
    <w:p>
      <w:pPr>
        <w:pStyle w:val="Heading3"/>
        <w:spacing w:after="80" w:before="220"/>
      </w:pPr>
      <w:r>
        <w:rPr>
          <w:rFonts w:ascii="Arial" w:cs="Arial" w:eastAsia="Arial" w:hAnsi="Arial"/>
          <w:b/>
          <w:bCs/>
          <w:color w:val="833C00"/>
          <w:sz w:val="22"/>
          <w:szCs w:val="22"/>
        </w:rPr>
        <w:t xml:space="preserve">Part A — Short-Term Capital Gains (STCG)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500"/>
        <w:gridCol w:w="1500"/>
        <w:gridCol w:w="1960"/>
      </w:tblGrid>
      <w:tr>
        <w:trPr>
          <w:tblHeader/>
        </w:trPr>
        <w:tc>
          <w:tcPr>
            <w:tcW w:type="dxa" w:w="3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Category</w:t>
            </w:r>
          </w:p>
        </w:tc>
        <w:tc>
          <w:tcPr>
            <w:tcW w:type="dxa" w:w="1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Section</w:t>
            </w:r>
          </w:p>
        </w:tc>
        <w:tc>
          <w:tcPr>
            <w:tcW w:type="dxa" w:w="1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Tax Rate AY 2025-26</w:t>
            </w:r>
          </w:p>
        </w:tc>
        <w:tc>
          <w:tcPr>
            <w:tcW w:type="dxa" w:w="1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Tax Rate AY 2026-27</w:t>
            </w:r>
          </w:p>
        </w:tc>
        <w:tc>
          <w:tcPr>
            <w:tcW w:type="dxa" w:w="19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Holding Period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Listed equity shares / equity-oriented MF — sales before July 23, 2024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111A</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15%</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N/A (AY 2025-26 only)</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&gt; 12 months for LTCG; ≤ 12 months for STCG</w:t>
            </w:r>
          </w:p>
        </w:tc>
      </w:tr>
      <w:tr>
        <w:tc>
          <w:tcPr>
            <w:tcW w:type="dxa" w:w="3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Listed equity shares / equity-oriented MF — sales from July 23, 2024</w:t>
            </w:r>
          </w:p>
        </w:tc>
        <w:tc>
          <w:tcPr>
            <w:tcW w:type="dxa" w:w="1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111A</w:t>
            </w:r>
          </w:p>
        </w:tc>
        <w:tc>
          <w:tcPr>
            <w:tcW w:type="dxa" w:w="15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20%</w:t>
            </w:r>
          </w:p>
        </w:tc>
        <w:tc>
          <w:tcPr>
            <w:tcW w:type="dxa" w:w="15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20%</w:t>
            </w:r>
          </w:p>
        </w:tc>
        <w:tc>
          <w:tcPr>
            <w:tcW w:type="dxa" w:w="19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 12 months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Equity F&amp;O (derivative trading)</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Business income or 43(5)</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 (business)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N/A — business income</w:t>
            </w:r>
          </w:p>
        </w:tc>
      </w:tr>
      <w:tr>
        <w:tc>
          <w:tcPr>
            <w:tcW w:type="dxa" w:w="3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Unlisted equity shares</w:t>
            </w:r>
          </w:p>
        </w:tc>
        <w:tc>
          <w:tcPr>
            <w:tcW w:type="dxa" w:w="1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5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5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9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 24 months for STCG</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Immovable property (land/building)</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24 months for STCG (from Budget 2024)</w:t>
            </w:r>
          </w:p>
        </w:tc>
      </w:tr>
      <w:tr>
        <w:tc>
          <w:tcPr>
            <w:tcW w:type="dxa" w:w="3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Debt mutual funds (bought after Apr 1, 2023)</w:t>
            </w:r>
          </w:p>
        </w:tc>
        <w:tc>
          <w:tcPr>
            <w:tcW w:type="dxa" w:w="1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5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5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9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Any period — always slab</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Bonds, debentures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24 months for STCG (Budget 2024: 24 months)</w:t>
            </w:r>
          </w:p>
        </w:tc>
      </w:tr>
      <w:tr>
        <w:tc>
          <w:tcPr>
            <w:tcW w:type="dxa" w:w="3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Gold / Jewellery</w:t>
            </w:r>
          </w:p>
        </w:tc>
        <w:tc>
          <w:tcPr>
            <w:tcW w:type="dxa" w:w="1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5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5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Slab rate</w:t>
            </w:r>
          </w:p>
        </w:tc>
        <w:tc>
          <w:tcPr>
            <w:tcW w:type="dxa" w:w="19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 24 months STCG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STCG UNDER SECTION 111A: The preferential 15%/20% rate applies ONLY to: (1) Listed equity shares on recognized stock exchange where STT is paid, (2) Units of equity-oriented mutual funds. For any other equity STCG (unlisted, transfer without STT), normal slab rate applies. The 15% rate is NOT available to non-residents on equity shares acquired under FEMA regulations in some cases.</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Part B — Long-Term Capital Gains (LTCG)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500"/>
        <w:gridCol w:w="1500"/>
        <w:gridCol w:w="2460"/>
      </w:tblGrid>
      <w:tr>
        <w:trPr>
          <w:tblHeader/>
        </w:trPr>
        <w:tc>
          <w:tcPr>
            <w:tcW w:type="dxa" w:w="3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Category</w:t>
            </w:r>
          </w:p>
        </w:tc>
        <w:tc>
          <w:tcPr>
            <w:tcW w:type="dxa" w:w="9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Section</w:t>
            </w:r>
          </w:p>
        </w:tc>
        <w:tc>
          <w:tcPr>
            <w:tcW w:type="dxa" w:w="1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Rate AY 2025-26</w:t>
            </w:r>
          </w:p>
        </w:tc>
        <w:tc>
          <w:tcPr>
            <w:tcW w:type="dxa" w:w="1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Rate AY 2026-27</w:t>
            </w:r>
          </w:p>
        </w:tc>
        <w:tc>
          <w:tcPr>
            <w:tcW w:type="dxa" w:w="24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Exemption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Listed equity / equity MF — sales before July 23, 2024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112A</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10% above ₹1,00,000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N/A (AY 2025-26 only)</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₹1,00,000 annual exemption</w:t>
            </w:r>
          </w:p>
        </w:tc>
      </w:tr>
      <w:tr>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Listed equity / equity MF — sales from July 23, 2024</w:t>
            </w:r>
          </w:p>
        </w:tc>
        <w:tc>
          <w:tcPr>
            <w:tcW w:type="dxa" w:w="9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112A</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12.5% above ₹1,25,000</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12.5% above ₹1,25,000</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₹1,25,000 annual exemption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Immovable property (land/building) — old: with indexation</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112</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 with indexation (for sales before July 23, 2024)</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N/A</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 statutory exemption; 54/54EC available</w:t>
            </w:r>
          </w:p>
        </w:tc>
      </w:tr>
      <w:tr>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Immovable property — new (Budget 2024)</w:t>
            </w:r>
          </w:p>
        </w:tc>
        <w:tc>
          <w:tcPr>
            <w:tcW w:type="dxa" w:w="9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112</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12.5% WITHOUT indexation (default from July 23, 2024)</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12.5% without indexation</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54/54EC available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Property acquired before July 23, 2024 — assessee's choice</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112</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 with indexation OR 12.5% without (whichever lower)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12.5% without indexation only</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System must compute both and offer lower</w:t>
            </w:r>
          </w:p>
        </w:tc>
      </w:tr>
      <w:tr>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Unlisted equity shares</w:t>
            </w:r>
          </w:p>
        </w:tc>
        <w:tc>
          <w:tcPr>
            <w:tcW w:type="dxa" w:w="9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112</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20% with indexation</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20% with indexation</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None (unless 54F applicable)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Debt mutual funds (pre-Apr 1, 2023 units)</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112</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 with indexation (&gt; 36 months)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 with indexation</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Indexation with CII</w:t>
            </w:r>
          </w:p>
        </w:tc>
      </w:tr>
      <w:tr>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Bonds / NCDs</w:t>
            </w:r>
          </w:p>
        </w:tc>
        <w:tc>
          <w:tcPr>
            <w:tcW w:type="dxa" w:w="9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112</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20% with indexation (&gt; 24 months)</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20% with indexation (&gt; 24 months)</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None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Gold</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112</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 with indexation (&gt; 24 months)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20% with indexation (&gt; 24 months)</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54F if invested in residential property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COST INFLATION INDEX (CII) FOR INDEXATION: CII is notified by CBDT. For FY 2024-25 (AY 2025-26): CII = 363. For FY 2025-26 (AY 2026-27): CII not yet notified as of training cutoff — use official CBDT notification. Indexed cost = Original cost × (CII of year of sale / CII of year of acquisition). Base year is 2001-02 (CII = 100). For assets acquired before April 1, 2001: Use Fair Market Value as of April 1, 2001 as cost.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GRANDFATHERING FOR EQUITY LTCG (SEC 112A): Applicable ONLY for assets acquired on or before January 31, 2018. Cost of acquisition = HIGHER of: (a) actual cost, (b) lower of Fair Market Value on January 31, 2018 and full value of consideration. This means if price on Jan 31, 2018 was higher than purchase price, that higher value is taken as cost (grandfathering benefit). For assets acquired AFTER January 31, 2018: actual cost only.</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Capital Gains Computation Fields per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Details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Date of Purchase / Acquisition</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DD/MM/YYYY — determines STCG or LTCG, and CII year</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Date of Sale / Transfer</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DD/MM/YYYY — determines applicable rate (esp. pre/post July 23 for AY 2025-26)</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Full Value of Consideration (Sale Price)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sale proceeds including any incidental charges to buyer</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Expenditure incurred in connection with transfer</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Brokerage, STT, registration charges, legal fees — DIRECTLY for this transfer</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Cost of Acquisition</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Actual cost OR indexed cost OR FMV (for grandfathering)</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Cost of Improvement</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Actual / indexed cost of improvement to asset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Capital Gain / Loss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 — Sale Price − Transfer costs − Cost of Acquisition − Cost of Improvement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Exemption u/s 54/54B/54D/54EC/54F/54G/54GB</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Amount invested in qualifying reinvestment within time limit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Net Taxable Capital Gain</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Capital Gain − Exemption amount</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Key Capital Gain Exemptions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1800"/>
        <w:gridCol w:w="2460"/>
      </w:tblGrid>
      <w:tr>
        <w:trPr>
          <w:tblHeader/>
        </w:trPr>
        <w:tc>
          <w:tcPr>
            <w:tcW w:type="dxa" w:w="9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Section</w:t>
            </w:r>
          </w:p>
        </w:tc>
        <w:tc>
          <w:tcPr>
            <w:tcW w:type="dxa" w:w="2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Asset Sold</w:t>
            </w:r>
          </w:p>
        </w:tc>
        <w:tc>
          <w:tcPr>
            <w:tcW w:type="dxa" w:w="2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Investment Required</w:t>
            </w:r>
          </w:p>
        </w:tc>
        <w:tc>
          <w:tcPr>
            <w:tcW w:type="dxa" w:w="1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Time Limit</w:t>
            </w:r>
          </w:p>
        </w:tc>
        <w:tc>
          <w:tcPr>
            <w:tcW w:type="dxa" w:w="24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Max Exemption / Condition</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54</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Residential house property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New residential house property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Purchase: 1yr before / 2yrs after. Construction: 3yrs after</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One residential property; amount of CG (cannot exceed sale price of new property)</w:t>
            </w:r>
          </w:p>
        </w:tc>
      </w:tr>
      <w:tr>
        <w:tc>
          <w:tcPr>
            <w:tcW w:type="dxa" w:w="9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54B</w:t>
            </w:r>
          </w:p>
        </w:tc>
        <w:tc>
          <w:tcPr>
            <w:tcW w:type="dxa" w:w="20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Agricultural land</w:t>
            </w:r>
          </w:p>
        </w:tc>
        <w:tc>
          <w:tcPr>
            <w:tcW w:type="dxa" w:w="22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Agricultural land</w:t>
            </w:r>
          </w:p>
        </w:tc>
        <w:tc>
          <w:tcPr>
            <w:tcW w:type="dxa" w:w="18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2 years</w:t>
            </w:r>
          </w:p>
        </w:tc>
        <w:tc>
          <w:tcPr>
            <w:tcW w:type="dxa" w:w="246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Used for agriculture for 2 years before sale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54EC</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Land or building (long term)</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Specified bonds (NHAI, REC, etc.)</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6 months from date of sale</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Max ₹50 lakh (₹50 lakh per FY if sale straddles two FYs — per FY limit)</w:t>
            </w:r>
          </w:p>
        </w:tc>
      </w:tr>
      <w:tr>
        <w:tc>
          <w:tcPr>
            <w:tcW w:type="dxa" w:w="9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54F</w:t>
            </w:r>
          </w:p>
        </w:tc>
        <w:tc>
          <w:tcPr>
            <w:tcW w:type="dxa" w:w="20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Any LTCG asset (except residential HP)</w:t>
            </w:r>
          </w:p>
        </w:tc>
        <w:tc>
          <w:tcPr>
            <w:tcW w:type="dxa" w:w="22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Residential house property</w:t>
            </w:r>
          </w:p>
        </w:tc>
        <w:tc>
          <w:tcPr>
            <w:tcW w:type="dxa" w:w="18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Purchase: 1yr before / 2yrs after. Construction: 3yrs</w:t>
            </w:r>
          </w:p>
        </w:tc>
        <w:tc>
          <w:tcPr>
            <w:tcW w:type="dxa" w:w="246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Proportionate if net consideration not fully invested. Cannot own more than 1 other HP.</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54G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Machinery / plant / building in urban area</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Machinery / plant / building in rural area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 years</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Industrial undertaking relocation</w:t>
            </w:r>
          </w:p>
        </w:tc>
      </w:tr>
      <w:tr>
        <w:tc>
          <w:tcPr>
            <w:tcW w:type="dxa" w:w="9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54GB</w:t>
            </w:r>
          </w:p>
        </w:tc>
        <w:tc>
          <w:tcPr>
            <w:tcW w:type="dxa" w:w="20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Residential property</w:t>
            </w:r>
          </w:p>
        </w:tc>
        <w:tc>
          <w:tcPr>
            <w:tcW w:type="dxa" w:w="22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Investment in eligible startup (DPIIT)</w:t>
            </w:r>
          </w:p>
        </w:tc>
        <w:tc>
          <w:tcPr>
            <w:tcW w:type="dxa" w:w="180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Year of filing ITR</w:t>
            </w:r>
          </w:p>
        </w:tc>
        <w:tc>
          <w:tcPr>
            <w:tcW w:type="dxa" w:w="2460"/>
            <w:tcBorders>
              <w:top w:val="single" w:color="CCCCCC" w:sz="4"/>
              <w:left w:val="single" w:color="CCCCCC" w:sz="4"/>
              <w:bottom w:val="single" w:color="CCCCCC" w:sz="4"/>
              <w:right w:val="single" w:color="CCCCCC" w:sz="4"/>
            </w:tcBorders>
            <w:shd w:fill="EAE0F0" w:val="clear"/>
            <w:tcMar>
              <w:top w:type="dxa" w:w="60"/>
              <w:left w:type="dxa" w:w="120"/>
              <w:bottom w:type="dxa" w:w="60"/>
              <w:right w:type="dxa" w:w="120"/>
            </w:tcMar>
          </w:tcPr>
          <w:p>
            <w:r>
              <w:rPr>
                <w:rFonts w:ascii="Arial" w:cs="Arial" w:eastAsia="Arial" w:hAnsi="Arial"/>
                <w:b w:val="false"/>
                <w:bCs w:val="false"/>
                <w:color w:val="000000"/>
                <w:sz w:val="17"/>
                <w:szCs w:val="17"/>
              </w:rPr>
              <w:t xml:space="preserve">Holding: 5 years for startup investment</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4.5 Schedule CYLA — Current Year Loss Adjustment</w:t>
      </w:r>
    </w:p>
    <w:p>
      <w:pPr>
        <w:spacing w:after="80" w:before="60"/>
      </w:pPr>
      <w:r>
        <w:rPr>
          <w:rFonts w:ascii="Arial" w:cs="Arial" w:eastAsia="Arial" w:hAnsi="Arial"/>
          <w:sz w:val="20"/>
          <w:szCs w:val="20"/>
        </w:rPr>
        <w:t xml:space="preserve">This schedule computes the inter-head set-off of losses within the current year. The order of set-off is:</w:t>
      </w:r>
    </w:p>
    <w:p>
      <w:pPr>
        <w:pStyle w:val="ListParagraph"/>
        <w:numPr>
          <w:ilvl w:val="0"/>
          <w:numId w:val="3"/>
        </w:numPr>
        <w:spacing w:after="30" w:before="30"/>
      </w:pPr>
      <w:r>
        <w:rPr>
          <w:rFonts w:ascii="Arial" w:cs="Arial" w:eastAsia="Arial" w:hAnsi="Arial"/>
          <w:sz w:val="19"/>
          <w:szCs w:val="19"/>
        </w:rPr>
        <w:t xml:space="preserve">Loss from House Property → Set off against: All other heads (salary, CG, other sources) subject to ₹2,00,000 cap</w:t>
      </w:r>
    </w:p>
    <w:p>
      <w:pPr>
        <w:pStyle w:val="ListParagraph"/>
        <w:numPr>
          <w:ilvl w:val="0"/>
          <w:numId w:val="3"/>
        </w:numPr>
        <w:spacing w:after="30" w:before="30"/>
      </w:pPr>
      <w:r>
        <w:rPr>
          <w:rFonts w:ascii="Arial" w:cs="Arial" w:eastAsia="Arial" w:hAnsi="Arial"/>
          <w:sz w:val="19"/>
          <w:szCs w:val="19"/>
        </w:rPr>
        <w:t xml:space="preserve">Business loss (non-speculative) → Set off against: All other heads EXCEPT salary</w:t>
      </w:r>
    </w:p>
    <w:p>
      <w:pPr>
        <w:pStyle w:val="ListParagraph"/>
        <w:numPr>
          <w:ilvl w:val="0"/>
          <w:numId w:val="3"/>
        </w:numPr>
        <w:spacing w:after="30" w:before="30"/>
      </w:pPr>
      <w:r>
        <w:rPr>
          <w:rFonts w:ascii="Arial" w:cs="Arial" w:eastAsia="Arial" w:hAnsi="Arial"/>
          <w:sz w:val="19"/>
          <w:szCs w:val="19"/>
        </w:rPr>
        <w:t xml:space="preserve">Business loss (speculative) → Only against speculative business income</w:t>
      </w:r>
    </w:p>
    <w:p>
      <w:pPr>
        <w:pStyle w:val="ListParagraph"/>
        <w:numPr>
          <w:ilvl w:val="0"/>
          <w:numId w:val="3"/>
        </w:numPr>
        <w:spacing w:after="30" w:before="30"/>
      </w:pPr>
      <w:r>
        <w:rPr>
          <w:rFonts w:ascii="Arial" w:cs="Arial" w:eastAsia="Arial" w:hAnsi="Arial"/>
          <w:sz w:val="19"/>
          <w:szCs w:val="19"/>
        </w:rPr>
        <w:t xml:space="preserve">Capital loss (short-term) → Only against capital gains (both STCG and LTCG)</w:t>
      </w:r>
    </w:p>
    <w:p>
      <w:pPr>
        <w:pStyle w:val="ListParagraph"/>
        <w:numPr>
          <w:ilvl w:val="0"/>
          <w:numId w:val="3"/>
        </w:numPr>
        <w:spacing w:after="30" w:before="30"/>
      </w:pPr>
      <w:r>
        <w:rPr>
          <w:rFonts w:ascii="Arial" w:cs="Arial" w:eastAsia="Arial" w:hAnsi="Arial"/>
          <w:sz w:val="19"/>
          <w:szCs w:val="19"/>
        </w:rPr>
        <w:t xml:space="preserve">Capital loss (long-term) → Only against LTCG (NOT against STCG)</w:t>
      </w:r>
    </w:p>
    <w:p>
      <w:pPr>
        <w:pStyle w:val="ListParagraph"/>
        <w:numPr>
          <w:ilvl w:val="0"/>
          <w:numId w:val="3"/>
        </w:numPr>
        <w:spacing w:after="30" w:before="30"/>
      </w:pPr>
      <w:r>
        <w:rPr>
          <w:rFonts w:ascii="Arial" w:cs="Arial" w:eastAsia="Arial" w:hAnsi="Arial"/>
          <w:sz w:val="19"/>
          <w:szCs w:val="19"/>
        </w:rPr>
        <w:t xml:space="preserve">Loss from activity of owning horse races → Only against income from horse races</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4.6 Schedule BFLA — Brought Forward Loss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rPr>
          <w:tblHeader/>
        </w:trPr>
        <w:tc>
          <w:tcPr>
            <w:tcW w:type="dxa" w:w="2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Loss Type</w:t>
            </w:r>
          </w:p>
        </w:tc>
        <w:tc>
          <w:tcPr>
            <w:tcW w:type="dxa" w:w="1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Can Be Carried Forward?</w:t>
            </w:r>
          </w:p>
        </w:tc>
        <w:tc>
          <w:tcPr>
            <w:tcW w:type="dxa" w:w="14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Years</w:t>
            </w:r>
          </w:p>
        </w:tc>
        <w:tc>
          <w:tcPr>
            <w:tcW w:type="dxa" w:w="3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Can Be Set Off Against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Unabsorbed HP loss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Yes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 years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Only HP income in subsequent years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Non-speculative business loss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Yes</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8 years</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Any business income (not salary)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Speculative business loss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Yes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4 years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Only speculative business income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Short-term capital loss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Yes</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8 years</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Any capital gains (STCG or LTCG)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Long-term capital loss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Yes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 years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LTCG only</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Unabsorbed depreciation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Unlimited</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No time limit</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Any business income, then any other head (except salary)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Loss from owning racehorses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Yes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4 years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from owning racehorses only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IMPORTANT: Carry-forward of losses is allowed ONLY IF the return is filed on or before the due date (31 July or 31 Oct). If return is filed late (belated return), NO losses can be carried forward — EXCEPT unabsorbed depreciation and brought-forward losses from prior years.</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4.7 Schedule AL — Assets and Liabilities</w:t>
      </w:r>
    </w:p>
    <w:p>
      <w:pPr>
        <w:spacing w:after="80" w:before="60"/>
      </w:pPr>
      <w:r>
        <w:rPr>
          <w:rFonts w:ascii="Arial" w:cs="Arial" w:eastAsia="Arial" w:hAnsi="Arial"/>
          <w:sz w:val="20"/>
          <w:szCs w:val="20"/>
        </w:rPr>
        <w:t xml:space="preserve">Mandatory if total income exceeds ₹50,00,000. Declared as on March 31 of the relevant 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Asset Category</w:t>
            </w:r>
          </w:p>
        </w:tc>
        <w:tc>
          <w:tcPr>
            <w:tcW w:type="dxa" w:w="6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What to Declare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Immovable property</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Address, cost of acquisition, year of acquisition for each property</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Movable assets — jewellery, bullion, archaeological collections, drawings, paintings</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Description, cost of acquisition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Shares and securities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Type, cost as on March 31</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Insurance policies</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Policy amount, surrender value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Loans and advances given</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Borrower name, PAN, amount outstanding</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Cash in hand</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Amount &gt; ₹500,000 — as on March 31</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Bank deposits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Bank name, account number, balance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LIABILITIES: Loans taken</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Lender name, PAN, outstanding amount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LIABILITIES: Other</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Any other outstanding liabilities</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4.8 Special Capital Gains Rate Computation — AY 2025-26 Tax Calculation</w:t>
      </w:r>
    </w:p>
    <w:p>
      <w:pPr>
        <w:spacing w:after="80" w:before="60"/>
      </w:pPr>
      <w:r>
        <w:rPr>
          <w:rFonts w:ascii="Arial" w:cs="Arial" w:eastAsia="Arial" w:hAnsi="Arial"/>
          <w:sz w:val="20"/>
          <w:szCs w:val="20"/>
        </w:rPr>
        <w:t xml:space="preserve">When income includes special rate capital gains, the tax computation sequence in ITR-2 differs from ITR-1:</w:t>
      </w:r>
    </w:p>
    <w:p>
      <w:pPr>
        <w:pStyle w:val="ListParagraph"/>
        <w:numPr>
          <w:ilvl w:val="0"/>
          <w:numId w:val="3"/>
        </w:numPr>
        <w:spacing w:after="30" w:before="30"/>
      </w:pPr>
      <w:r>
        <w:rPr>
          <w:rFonts w:ascii="Arial" w:cs="Arial" w:eastAsia="Arial" w:hAnsi="Arial"/>
          <w:sz w:val="19"/>
          <w:szCs w:val="19"/>
        </w:rPr>
        <w:t xml:space="preserve">Separate total income into: (a) Income chargeable at normal slab rates, (b) STCG u/s 111A, (c) LTCG u/s 112A, (d) Any other special rate income</w:t>
      </w:r>
    </w:p>
    <w:p>
      <w:pPr>
        <w:pStyle w:val="ListParagraph"/>
        <w:numPr>
          <w:ilvl w:val="0"/>
          <w:numId w:val="3"/>
        </w:numPr>
        <w:spacing w:after="30" w:before="30"/>
      </w:pPr>
      <w:r>
        <w:rPr>
          <w:rFonts w:ascii="Arial" w:cs="Arial" w:eastAsia="Arial" w:hAnsi="Arial"/>
          <w:sz w:val="19"/>
          <w:szCs w:val="19"/>
        </w:rPr>
        <w:t xml:space="preserve">Compute slab tax on (a) only — this is the basis for 87A rebate check</w:t>
      </w:r>
    </w:p>
    <w:p>
      <w:pPr>
        <w:pStyle w:val="ListParagraph"/>
        <w:numPr>
          <w:ilvl w:val="0"/>
          <w:numId w:val="3"/>
        </w:numPr>
        <w:spacing w:after="30" w:before="30"/>
      </w:pPr>
      <w:r>
        <w:rPr>
          <w:rFonts w:ascii="Arial" w:cs="Arial" w:eastAsia="Arial" w:hAnsi="Arial"/>
          <w:sz w:val="19"/>
          <w:szCs w:val="19"/>
        </w:rPr>
        <w:t xml:space="preserve">Compute 20% / 12.5% on (b) and (c) respectively after applying exemption thresholds</w:t>
      </w:r>
    </w:p>
    <w:p>
      <w:pPr>
        <w:pStyle w:val="ListParagraph"/>
        <w:numPr>
          <w:ilvl w:val="0"/>
          <w:numId w:val="3"/>
        </w:numPr>
        <w:spacing w:after="30" w:before="30"/>
      </w:pPr>
      <w:r>
        <w:rPr>
          <w:rFonts w:ascii="Arial" w:cs="Arial" w:eastAsia="Arial" w:hAnsi="Arial"/>
          <w:sz w:val="19"/>
          <w:szCs w:val="19"/>
        </w:rPr>
        <w:t xml:space="preserve">87A rebate: Check if NORMAL income (a) ≤ rebate threshold. Apply rebate only to tax on (a). Rebate NOT available on tax computed on (b), (c), (d)</w:t>
      </w:r>
    </w:p>
    <w:p>
      <w:pPr>
        <w:pStyle w:val="ListParagraph"/>
        <w:numPr>
          <w:ilvl w:val="0"/>
          <w:numId w:val="3"/>
        </w:numPr>
        <w:spacing w:after="30" w:before="30"/>
      </w:pPr>
      <w:r>
        <w:rPr>
          <w:rFonts w:ascii="Arial" w:cs="Arial" w:eastAsia="Arial" w:hAnsi="Arial"/>
          <w:sz w:val="19"/>
          <w:szCs w:val="19"/>
        </w:rPr>
        <w:t xml:space="preserve">Total tax = Tax on (a) − 87A rebate (if applicable) + Tax on (b) + Tax on (c) + Tax on (d)</w:t>
      </w:r>
    </w:p>
    <w:p>
      <w:pPr>
        <w:pStyle w:val="ListParagraph"/>
        <w:numPr>
          <w:ilvl w:val="0"/>
          <w:numId w:val="3"/>
        </w:numPr>
        <w:spacing w:after="30" w:before="30"/>
      </w:pPr>
      <w:r>
        <w:rPr>
          <w:rFonts w:ascii="Arial" w:cs="Arial" w:eastAsia="Arial" w:hAnsi="Arial"/>
          <w:sz w:val="19"/>
          <w:szCs w:val="19"/>
        </w:rPr>
        <w:t xml:space="preserve">Apply surcharge on total tax, then cess on (tax + surcharge)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EDGE CASE — 87A &amp; SPECIAL RATE INCOME (AY 2026-27): If total income = ₹13,00,000 but includes LTCG u/s 112A of ₹3,00,000, then normal income = ₹10,00,000. 87A rebate check for new regime: ₹10,00,000 ≤ ₹12,00,000 → rebate available on tax on ₹10,00,000. But tax on LTCG ₹3,00,000 at 12.5% is payable separately. The ₹12L threshold for 87A is computed EXCLUDING special rate income for this purpose.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30"/>
                <w:szCs w:val="30"/>
              </w:rPr>
              <w:t xml:space="preserve">SECTION 5 — ITR-3</w:t>
            </w:r>
          </w:p>
        </w:tc>
      </w:tr>
    </w:tbl>
    <w:p>
      <w:pPr>
        <w:spacing w:after="80" w:before="0"/>
      </w:pPr>
      <w:r>
        <w:t xml:space="preserve"/>
      </w:r>
    </w:p>
    <w:p>
      <w:pPr>
        <w:pStyle w:val="Heading1"/>
        <w:spacing w:after="120" w:before="400"/>
      </w:pPr>
      <w:r>
        <w:rPr>
          <w:rFonts w:ascii="Arial" w:cs="Arial" w:eastAsia="Arial" w:hAnsi="Arial"/>
          <w:b/>
          <w:bCs/>
          <w:color w:val="1F3864"/>
          <w:sz w:val="32"/>
          <w:szCs w:val="32"/>
        </w:rPr>
        <w:t xml:space="preserve">5. ITR-3 — Complete Field Guide</w:t>
      </w:r>
    </w:p>
    <w:p>
      <w:pPr>
        <w:spacing w:after="80" w:before="60"/>
      </w:pPr>
      <w:r>
        <w:rPr>
          <w:rFonts w:ascii="Arial" w:cs="Arial" w:eastAsia="Arial" w:hAnsi="Arial"/>
          <w:sz w:val="20"/>
          <w:szCs w:val="20"/>
        </w:rPr>
        <w:t xml:space="preserve">ITR-3 is for individuals and HUFs who have income from business or profession (not eligible for presumptive scheme), in addition to all income types covered in ITR-2.</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5.1 Who Files ITR-3</w:t>
      </w:r>
    </w:p>
    <w:p>
      <w:pPr>
        <w:pStyle w:val="ListParagraph"/>
        <w:numPr>
          <w:ilvl w:val="0"/>
          <w:numId w:val="2"/>
        </w:numPr>
        <w:spacing w:after="30" w:before="30"/>
      </w:pPr>
      <w:r>
        <w:rPr>
          <w:rFonts w:ascii="Arial" w:cs="Arial" w:eastAsia="Arial" w:hAnsi="Arial"/>
          <w:sz w:val="19"/>
          <w:szCs w:val="19"/>
        </w:rPr>
        <w:t xml:space="preserve">Individuals/HUFs with business income (not covered under 44AD/44ADA/44AE) or professional income</w:t>
      </w:r>
    </w:p>
    <w:p>
      <w:pPr>
        <w:pStyle w:val="ListParagraph"/>
        <w:numPr>
          <w:ilvl w:val="0"/>
          <w:numId w:val="2"/>
        </w:numPr>
        <w:spacing w:after="30" w:before="30"/>
      </w:pPr>
      <w:r>
        <w:rPr>
          <w:rFonts w:ascii="Arial" w:cs="Arial" w:eastAsia="Arial" w:hAnsi="Arial"/>
          <w:sz w:val="19"/>
          <w:szCs w:val="19"/>
        </w:rPr>
        <w:t xml:space="preserve">Partners in a partnership firm (income from firm = exempt u/s 10(2A) but filing required)</w:t>
      </w:r>
    </w:p>
    <w:p>
      <w:pPr>
        <w:pStyle w:val="ListParagraph"/>
        <w:numPr>
          <w:ilvl w:val="0"/>
          <w:numId w:val="2"/>
        </w:numPr>
        <w:spacing w:after="30" w:before="30"/>
      </w:pPr>
      <w:r>
        <w:rPr>
          <w:rFonts w:ascii="Arial" w:cs="Arial" w:eastAsia="Arial" w:hAnsi="Arial"/>
          <w:sz w:val="19"/>
          <w:szCs w:val="19"/>
        </w:rPr>
        <w:t xml:space="preserve">Those who have business income AND capital gains AND foreign income</w:t>
      </w:r>
    </w:p>
    <w:p>
      <w:pPr>
        <w:pStyle w:val="ListParagraph"/>
        <w:numPr>
          <w:ilvl w:val="0"/>
          <w:numId w:val="2"/>
        </w:numPr>
        <w:spacing w:after="30" w:before="30"/>
      </w:pPr>
      <w:r>
        <w:rPr>
          <w:rFonts w:ascii="Arial" w:cs="Arial" w:eastAsia="Arial" w:hAnsi="Arial"/>
          <w:sz w:val="19"/>
          <w:szCs w:val="19"/>
        </w:rPr>
        <w:t xml:space="preserve">Taxpayers opting out of presumptive scheme (44AD) — once opted out, mandatory to maintain books for 5 years</w:t>
      </w:r>
    </w:p>
    <w:p>
      <w:pPr>
        <w:pStyle w:val="ListParagraph"/>
        <w:numPr>
          <w:ilvl w:val="0"/>
          <w:numId w:val="2"/>
        </w:numPr>
        <w:spacing w:after="30" w:before="30"/>
      </w:pPr>
      <w:r>
        <w:rPr>
          <w:rFonts w:ascii="Arial" w:cs="Arial" w:eastAsia="Arial" w:hAnsi="Arial"/>
          <w:sz w:val="19"/>
          <w:szCs w:val="19"/>
        </w:rPr>
        <w:t xml:space="preserve">Taxpayers with income from derivatives (F&amp;O trading — treated as non-speculative business)</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5.2 Schedule BP — Business or Professional Income</w:t>
      </w:r>
    </w:p>
    <w:p>
      <w:pPr>
        <w:spacing w:after="80" w:before="0"/>
      </w:pPr>
      <w:r>
        <w:t xml:space="preserve"/>
      </w:r>
    </w:p>
    <w:p>
      <w:pPr>
        <w:pStyle w:val="Heading3"/>
        <w:spacing w:after="80" w:before="220"/>
      </w:pPr>
      <w:r>
        <w:rPr>
          <w:rFonts w:ascii="Arial" w:cs="Arial" w:eastAsia="Arial" w:hAnsi="Arial"/>
          <w:b/>
          <w:bCs/>
          <w:color w:val="833C00"/>
          <w:sz w:val="22"/>
          <w:szCs w:val="22"/>
        </w:rPr>
        <w:t xml:space="preserve">Method 1: Regular Books of Accounts (Non-Presumptive)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58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Details</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Net Profit as per P&amp;L Account</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From audited or unaudited books — starting point</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Add: Inadmissible expenses (u/s 30-37 rejections)</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Personal expenses, disallowed interest, penalties etc. added back</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Add: Amounts debited but not business expenses</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Capital expenditure charged to P&amp;L, drawings etc.</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Incomes credited to P&amp;L but taxed under other heads</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e.g. dividend income, rent income — remove to avoid double counting</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Admissible deductions not in P&amp;L</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Depreciation as per IT Act (Schedule DPM), deferred revenue expenditure etc.</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Profits and Gains from Business or Profession</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 — this figure goes to Schedule CG/GTI</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Speculative income (Badla/diff trading)</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Separately computed — speculative segment</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Specified business income u/s 35AD</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Capital investment deduction businesses</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Key Business Deductions under Sections 30-37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Section</w:t>
            </w:r>
          </w:p>
        </w:tc>
        <w:tc>
          <w:tcPr>
            <w:tcW w:type="dxa" w:w="2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Deduction</w:t>
            </w:r>
          </w:p>
        </w:tc>
        <w:tc>
          <w:tcPr>
            <w:tcW w:type="dxa" w:w="5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Conditions / Limits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30</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Rent for business premises</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Actual rent paid — bona fide business use only</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31</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Repairs for plant, machinery, building</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Revenue repairs only; capital repairs → add to asset</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32</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Depreciation</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Prescribed rates (SLM or WDV); Block of assets concept</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32AC</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Additional depreciation on new machinery (20%)</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For manufacturers only; plant &amp; machinery not used in power generation</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33AB</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Tea/coffee/rubber plantation development account</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40% of profits or actual deposit — whichever lower</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35</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Scientific research expenditure</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100% / 150% of capital or revenue expenditure</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35D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Preliminary expenses amortization</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1/5th per year for 5 years</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36(1)(iii)</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on capital borrowed for business</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Must be for business purpose; not for acquisition of assets used before commencement</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36(1)(iv)</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Employer's contribution to PF/pension fund</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Actual — must be paid before due date of filing</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36(1)(va)</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Employee contributions to PF (deposited by employer)</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MUST be paid to fund before due date u/s 139(1) — else disallowed</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37(1)</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General business expenditure (any revenue expense)</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Must be wholly and exclusively for business; not personal; not prohibited by law; not a capital expense</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40A(3)</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Cash payments &gt; ₹10,000 per day per person</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DISALLOWED — must be by bank/digital payment. Transport, certain exceptions: ₹35,000 per day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DEPRECIATION (SECTION 32): The IT Act uses the Written Down Value (WDV) method for most assets. BLOCK OF ASSETS concept: Assets of the same type and rate are grouped into one block. Opening WDV + Additions during year − Disposals = Closing WDV before depreciation. Depreciation = Closing WDV × Rate. KEY RATES: Buildings (RCC): 10%. Plant &amp; machinery (general): 15%. Computers, servers, software: 40%. Motor cars (not for hire): 15%. Intangibles (patent, trademark): 25%. Furniture: 10%. IF ASSET SOLD: If sale consideration &gt; opening WDV of block → Short-Term Capital Gain (no depreciation on that block). If multiple assets in block: WDV reduced by sale proceeds first.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ADDITIONAL DEPRECIATION u/s 32(1)(iia): Available @ 20% in year of installation for NEW plant and machinery used in manufacturing or power generation (NOT for: office appliances, vehicles, ships, aircraft). In second year if asset installed for &lt; 180 days in year 1: balance 50% of additional depreciation available in year 2.</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Schedule P&amp;L — Profit and Loss Account (if books 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P&amp;L Item</w:t>
            </w:r>
          </w:p>
        </w:tc>
        <w:tc>
          <w:tcPr>
            <w:tcW w:type="dxa" w:w="65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Treatment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Gross Receipts / Turnover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All business income — include all modes: cash, cheque, digital</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Opening Stock</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As per physical verification / audited accounts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Purchases (net of returns)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Purchases in cash &gt; ₹10,000 → risk of 40A(3) disallowance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Direct Expenses (wages, power, rent)</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Revenue expenses only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Closing Stock</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At cost or NRV, whichever lower — must reconcile with AIS turnover report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Gross Profit</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Administrative / Selling expenses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Revenue nature; personal expenses excluded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Depreciation (as per books)</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Books depreciation — will be replaced by IT Act depreciation in computation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Payments to partners (if firm)</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Not deductible in P&amp;L of firm — separately disallowed in Schedule BP</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Net Profit before tax</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CALCULATED — basis for Schedule BP computation</w:t>
            </w:r>
          </w:p>
        </w:tc>
      </w:tr>
    </w:tbl>
    <w:p>
      <w:pPr>
        <w:spacing w:after="80" w:before="0"/>
      </w:pPr>
      <w:r>
        <w:t xml:space="preserve"/>
      </w:r>
    </w:p>
    <w:p>
      <w:pPr>
        <w:pStyle w:val="Heading3"/>
        <w:spacing w:after="80" w:before="220"/>
      </w:pPr>
      <w:r>
        <w:rPr>
          <w:rFonts w:ascii="Arial" w:cs="Arial" w:eastAsia="Arial" w:hAnsi="Arial"/>
          <w:b/>
          <w:bCs/>
          <w:color w:val="833C00"/>
          <w:sz w:val="22"/>
          <w:szCs w:val="22"/>
        </w:rPr>
        <w:t xml:space="preserve">Schedule BS — Balance Sheet (if books maintained)</w:t>
      </w:r>
    </w:p>
    <w:p>
      <w:pPr>
        <w:spacing w:after="80" w:before="60"/>
      </w:pPr>
      <w:r>
        <w:rPr>
          <w:rFonts w:ascii="Arial" w:cs="Arial" w:eastAsia="Arial" w:hAnsi="Arial"/>
          <w:sz w:val="20"/>
          <w:szCs w:val="20"/>
        </w:rPr>
        <w:t xml:space="preserve">The Balance Sheet in ITR-3 is a simplified format. It must balance. Both sides must reconcile with prior year ITR-3 balance sheet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Liability Side</w:t>
            </w:r>
          </w:p>
        </w:tc>
        <w:tc>
          <w:tcPr>
            <w:tcW w:type="dxa" w:w="46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Asset Side</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Capital account (opening + additions − drawings)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Fixed assets (after depreciation)</w:t>
            </w:r>
          </w:p>
        </w:tc>
      </w:tr>
      <w:tr>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Partners' / proprietor's capital</w:t>
            </w:r>
          </w:p>
        </w:tc>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Capital WIP</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Secured loans (from banks, institutions)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Investments (shares, bonds, FDs)</w:t>
            </w:r>
          </w:p>
        </w:tc>
      </w:tr>
      <w:tr>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Unsecured loans (from directors, relatives)</w:t>
            </w:r>
          </w:p>
        </w:tc>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Sundry debtors (trade receivables)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Trade payables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Cash in hand (note: large cash → scrutiny risk)</w:t>
            </w:r>
          </w:p>
        </w:tc>
      </w:tr>
      <w:tr>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Advance received from customers</w:t>
            </w:r>
          </w:p>
        </w:tc>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Bank balances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provisions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Loans and advances given</w:t>
            </w:r>
          </w:p>
        </w:tc>
      </w:tr>
      <w:tr>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Other liabilities</w:t>
            </w:r>
          </w:p>
        </w:tc>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Other assets, prepaid expenses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AUDIT REQUIREMENT u/s 44AB: Mandatory tax audit if business turnover &gt; ₹1 crore (₹10 crore if cash transactions ≤ 5% of total). For professionals: gross receipts &gt; ₹50 lakh. Due date shifts from July 31 to October 31 for audit cases. Audit report in Form 3CA-3CD to be filed before ITR. The ERP must track audit status per client.</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5.3 F&amp;O (Futures and Options) Income — Special Handling</w:t>
      </w:r>
    </w:p>
    <w:p>
      <w:pPr>
        <w:spacing w:after="80" w:before="60"/>
      </w:pPr>
      <w:r>
        <w:rPr>
          <w:rFonts w:ascii="Arial" w:cs="Arial" w:eastAsia="Arial" w:hAnsi="Arial"/>
          <w:sz w:val="20"/>
          <w:szCs w:val="20"/>
        </w:rPr>
        <w:t xml:space="preserve">Derivative trading (F&amp;O) is treated as NON-SPECULATIVE business income (u/s 43(5) proviso) regardless of the taxpayer's other business. This is a very common scenario for salaried individuals who also trade F&amp;O.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Aspect</w:t>
            </w:r>
          </w:p>
        </w:tc>
        <w:tc>
          <w:tcPr>
            <w:tcW w:type="dxa" w:w="68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Treatment</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Type of Income</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Business Income — Non-Speculative (u/s 43(5))</w:t>
            </w:r>
          </w:p>
        </w:tc>
      </w:tr>
      <w:tr>
        <w:tc>
          <w:tcPr>
            <w:tcW w:type="dxa" w:w="25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Applicable ITR</w:t>
            </w:r>
          </w:p>
        </w:tc>
        <w:tc>
          <w:tcPr>
            <w:tcW w:type="dxa" w:w="68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ITR-3 (even for salaried who also do F&amp;O)</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Turnover Definition</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Absolute profit + absolute loss on all transactions. For options: turnover = premium received on selling options</w:t>
            </w:r>
          </w:p>
        </w:tc>
      </w:tr>
      <w:tr>
        <w:tc>
          <w:tcPr>
            <w:tcW w:type="dxa" w:w="25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Books of accounts</w:t>
            </w:r>
          </w:p>
        </w:tc>
        <w:tc>
          <w:tcPr>
            <w:tcW w:type="dxa" w:w="68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Must be maintained if turnover &gt; ₹25 lakh or profit &lt; 8% of turnover</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Audit requirement</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Turnover &gt; ₹1 crore (or ₹10 crore for digital) → audit u/s 44AB</w:t>
            </w:r>
          </w:p>
        </w:tc>
      </w:tr>
      <w:tr>
        <w:tc>
          <w:tcPr>
            <w:tcW w:type="dxa" w:w="25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Loss treatment</w:t>
            </w:r>
          </w:p>
        </w:tc>
        <w:tc>
          <w:tcPr>
            <w:tcW w:type="dxa" w:w="68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Can be set off against any income EXCEPT salary. Carry forward for 8 years.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Securities Transactions Tax</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STT paid on F&amp;O allowed as deductible expense</w:t>
            </w:r>
          </w:p>
        </w:tc>
      </w:tr>
      <w:tr>
        <w:tc>
          <w:tcPr>
            <w:tcW w:type="dxa" w:w="25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Presumptive scheme</w:t>
            </w:r>
          </w:p>
        </w:tc>
        <w:tc>
          <w:tcPr>
            <w:tcW w:type="dxa" w:w="68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color w:val="000000"/>
                <w:sz w:val="17"/>
                <w:szCs w:val="17"/>
              </w:rPr>
              <w:t xml:space="preserve">NOT applicable for F&amp;O (44AD is only for business, not specified as applicable to derivative trading since it is treated as a specific non-speculative business)</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5.4 ITR-3 Capital Gains — Identical to ITR-2</w:t>
      </w:r>
    </w:p>
    <w:p>
      <w:pPr>
        <w:spacing w:after="80" w:before="60"/>
      </w:pPr>
      <w:r>
        <w:rPr>
          <w:rFonts w:ascii="Arial" w:cs="Arial" w:eastAsia="Arial" w:hAnsi="Arial"/>
          <w:sz w:val="20"/>
          <w:szCs w:val="20"/>
        </w:rPr>
        <w:t xml:space="preserve">All capital gains schedules, computations, exemptions, and edge cases described in Section 4 (ITR-2) apply equally to ITR-3. No additional changes.</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5.5 Partner's Income from Firm — u/s 10(2A)</w:t>
      </w:r>
    </w:p>
    <w:p>
      <w:pPr>
        <w:spacing w:after="80" w:before="60"/>
      </w:pPr>
      <w:r>
        <w:rPr>
          <w:rFonts w:ascii="Arial" w:cs="Arial" w:eastAsia="Arial" w:hAnsi="Arial"/>
          <w:sz w:val="20"/>
          <w:szCs w:val="20"/>
        </w:rPr>
        <w:t xml:space="preserve">A partner's share in the firm's profit is EXEMPT u/s 10(2A) — no tax on the profit share. However:</w:t>
      </w:r>
    </w:p>
    <w:p>
      <w:pPr>
        <w:pStyle w:val="ListParagraph"/>
        <w:numPr>
          <w:ilvl w:val="0"/>
          <w:numId w:val="2"/>
        </w:numPr>
        <w:spacing w:after="30" w:before="30"/>
      </w:pPr>
      <w:r>
        <w:rPr>
          <w:rFonts w:ascii="Arial" w:cs="Arial" w:eastAsia="Arial" w:hAnsi="Arial"/>
          <w:sz w:val="19"/>
          <w:szCs w:val="19"/>
        </w:rPr>
        <w:t xml:space="preserve">Interest on capital from firm: Taxable as business income in partner's hands (max 12% per firm deed)</w:t>
      </w:r>
    </w:p>
    <w:p>
      <w:pPr>
        <w:pStyle w:val="ListParagraph"/>
        <w:numPr>
          <w:ilvl w:val="0"/>
          <w:numId w:val="2"/>
        </w:numPr>
        <w:spacing w:after="30" w:before="30"/>
      </w:pPr>
      <w:r>
        <w:rPr>
          <w:rFonts w:ascii="Arial" w:cs="Arial" w:eastAsia="Arial" w:hAnsi="Arial"/>
          <w:sz w:val="19"/>
          <w:szCs w:val="19"/>
        </w:rPr>
        <w:t xml:space="preserve">Salary/remuneration from firm: Taxable as business income in partner's hands (within limits of 40% of first ₹3L book profit + 60% thereafter OR ₹1,50,000, whichever higher — per firm deed)</w:t>
      </w:r>
    </w:p>
    <w:p>
      <w:pPr>
        <w:pStyle w:val="ListParagraph"/>
        <w:numPr>
          <w:ilvl w:val="0"/>
          <w:numId w:val="2"/>
        </w:numPr>
        <w:spacing w:after="30" w:before="30"/>
      </w:pPr>
      <w:r>
        <w:rPr>
          <w:rFonts w:ascii="Arial" w:cs="Arial" w:eastAsia="Arial" w:hAnsi="Arial"/>
          <w:sz w:val="19"/>
          <w:szCs w:val="19"/>
        </w:rPr>
        <w:t xml:space="preserve">Both interest and salary received from firm must be declared in Schedule BP</w:t>
      </w:r>
    </w:p>
    <w:p>
      <w:pPr>
        <w:pStyle w:val="ListParagraph"/>
        <w:numPr>
          <w:ilvl w:val="0"/>
          <w:numId w:val="2"/>
        </w:numPr>
        <w:spacing w:after="30" w:before="30"/>
      </w:pPr>
      <w:r>
        <w:rPr>
          <w:rFonts w:ascii="Arial" w:cs="Arial" w:eastAsia="Arial" w:hAnsi="Arial"/>
          <w:sz w:val="19"/>
          <w:szCs w:val="19"/>
        </w:rPr>
        <w:t xml:space="preserve">Partner must file ITR-3 (not ITR-1 or ITR-2) due to business income</w:t>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3F00" w:val="clear"/>
            <w:tcMar>
              <w:top w:type="dxa" w:w="160"/>
              <w:left w:type="dxa" w:w="240"/>
              <w:bottom w:type="dxa" w:w="160"/>
              <w:right w:type="dxa" w:w="240"/>
            </w:tcMar>
          </w:tcPr>
          <w:p>
            <w:r>
              <w:rPr>
                <w:rFonts w:ascii="Arial" w:cs="Arial" w:eastAsia="Arial" w:hAnsi="Arial"/>
                <w:b/>
                <w:bCs/>
                <w:color w:val="FFFFFF"/>
                <w:sz w:val="30"/>
                <w:szCs w:val="30"/>
              </w:rPr>
              <w:t xml:space="preserve">SECTION 6 — ITR-4 (SUGAM) — PRESUMPTIVE INCOME</w:t>
            </w:r>
          </w:p>
        </w:tc>
      </w:tr>
    </w:tbl>
    <w:p>
      <w:pPr>
        <w:spacing w:after="80" w:before="0"/>
      </w:pPr>
      <w:r>
        <w:t xml:space="preserve"/>
      </w:r>
    </w:p>
    <w:p>
      <w:pPr>
        <w:pStyle w:val="Heading1"/>
        <w:spacing w:after="120" w:before="400"/>
      </w:pPr>
      <w:r>
        <w:rPr>
          <w:rFonts w:ascii="Arial" w:cs="Arial" w:eastAsia="Arial" w:hAnsi="Arial"/>
          <w:b/>
          <w:bCs/>
          <w:color w:val="1F3864"/>
          <w:sz w:val="32"/>
          <w:szCs w:val="32"/>
        </w:rPr>
        <w:t xml:space="preserve">6. ITR-4 (Sugam) — Presumptive Income Reference</w:t>
      </w:r>
    </w:p>
    <w:p>
      <w:pPr>
        <w:spacing w:after="80" w:before="60"/>
      </w:pPr>
      <w:r>
        <w:rPr>
          <w:rFonts w:ascii="Arial" w:cs="Arial" w:eastAsia="Arial" w:hAnsi="Arial"/>
          <w:sz w:val="20"/>
          <w:szCs w:val="20"/>
        </w:rPr>
        <w:t xml:space="preserve">ITR-4 is for individuals, HUFs, and firms (not LLPs) who opt for the presumptive income scheme under Sections 44AD, 44ADA, or 44AE.</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6.1 Eligibility for ITR-4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Condition</w:t>
            </w:r>
          </w:p>
        </w:tc>
        <w:tc>
          <w:tcPr>
            <w:tcW w:type="dxa" w:w="45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ITR-4 Eligible?</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Individual / HUF / Firm (not LLP)</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ELIGIBLE</w:t>
            </w:r>
          </w:p>
        </w:tc>
      </w:tr>
      <w:tr>
        <w:tc>
          <w:tcPr>
            <w:tcW w:type="dxa" w:w="4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income ≤ ₹50 lakh</w:t>
            </w:r>
          </w:p>
        </w:tc>
        <w:tc>
          <w:tcPr>
            <w:tcW w:type="dxa" w:w="45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 ELIGIBLE</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Business income under 44AD: turnover ≤ ₹3 crore (if ≤ 5% cash) or ≤ ₹2 crore (otherwise)</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ELIGIBLE</w:t>
            </w:r>
          </w:p>
        </w:tc>
      </w:tr>
      <w:tr>
        <w:tc>
          <w:tcPr>
            <w:tcW w:type="dxa" w:w="4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Professional income under 44ADA: receipts ≤ ₹75 lakh (if ≤ 5% cash) or ≤ ₹50 lakh (otherwise)</w:t>
            </w:r>
          </w:p>
        </w:tc>
        <w:tc>
          <w:tcPr>
            <w:tcW w:type="dxa" w:w="45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 ELIGIBLE</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Transport business under 44AE: ≤ 10 goods vehicles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 ELIGIBLE</w:t>
            </w:r>
          </w:p>
        </w:tc>
      </w:tr>
      <w:tr>
        <w:tc>
          <w:tcPr>
            <w:tcW w:type="dxa" w:w="4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No capital gains</w:t>
            </w:r>
          </w:p>
        </w:tc>
        <w:tc>
          <w:tcPr>
            <w:tcW w:type="dxa" w:w="45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Required for ITR-4 — use ITR-3 if capital gains exist</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 more than one house property</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Required for ITR-4</w:t>
            </w:r>
          </w:p>
        </w:tc>
      </w:tr>
      <w:tr>
        <w:tc>
          <w:tcPr>
            <w:tcW w:type="dxa" w:w="4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from salary, one HP, other sources also permitted</w:t>
            </w:r>
          </w:p>
        </w:tc>
        <w:tc>
          <w:tcPr>
            <w:tcW w:type="dxa" w:w="45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 ELIGIBLE</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income &gt; ₹50 lakh</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NOT eligible — must use ITR-3</w:t>
            </w:r>
          </w:p>
        </w:tc>
      </w:tr>
      <w:tr>
        <w:tc>
          <w:tcPr>
            <w:tcW w:type="dxa" w:w="4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LLPs</w:t>
            </w:r>
          </w:p>
        </w:tc>
        <w:tc>
          <w:tcPr>
            <w:tcW w:type="dxa" w:w="45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val="false"/>
                <w:bCs w:val="false"/>
                <w:color w:val="000000"/>
                <w:sz w:val="17"/>
                <w:szCs w:val="17"/>
              </w:rPr>
              <w:t xml:space="preserve">NOT eligible — LLPs must use ITR-5</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Previously opted 44AD but did not claim in subsequent years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Must maintain books and get audit for 5 years before opting back</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6.2 Section 44AD — Presumptive Income for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Parameter</w:t>
            </w:r>
          </w:p>
        </w:tc>
        <w:tc>
          <w:tcPr>
            <w:tcW w:type="dxa" w:w="6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Details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Applicable to</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Any business EXCEPT business of plying goods vehicles, commission agent, brokerage business</w:t>
            </w:r>
          </w:p>
        </w:tc>
      </w:tr>
      <w:tr>
        <w:tc>
          <w:tcPr>
            <w:tcW w:type="dxa" w:w="30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Turnover limit (AY 2025-26 &amp; 2026-27)</w:t>
            </w:r>
          </w:p>
        </w:tc>
        <w:tc>
          <w:tcPr>
            <w:tcW w:type="dxa" w:w="63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 ₹2 crore (or ≤ ₹3 crore if BOTH receipts AND payments in cash ≤ 5% each)</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Presumptive income rate (cash payments/receipts)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 of gross turnover / receipts (minimum)</w:t>
            </w:r>
          </w:p>
        </w:tc>
      </w:tr>
      <w:tr>
        <w:tc>
          <w:tcPr>
            <w:tcW w:type="dxa" w:w="30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Presumptive income rate (digital/non-cash)</w:t>
            </w:r>
          </w:p>
        </w:tc>
        <w:tc>
          <w:tcPr>
            <w:tcW w:type="dxa" w:w="63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6% of gross turnover / receipts (minimum)</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Split calculation</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6% on digital turnover + 8% on cash turnover = total presumptive income</w:t>
            </w:r>
          </w:p>
        </w:tc>
      </w:tr>
      <w:tr>
        <w:tc>
          <w:tcPr>
            <w:tcW w:type="dxa" w:w="30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Can assessee declare higher income?</w:t>
            </w:r>
          </w:p>
        </w:tc>
        <w:tc>
          <w:tcPr>
            <w:tcW w:type="dxa" w:w="63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YES — can declare any amount higher than the presumptive rate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Can assessee declare lower income?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Only if maintaining books and getting audited u/s 44AB</w:t>
            </w:r>
          </w:p>
        </w:tc>
      </w:tr>
      <w:tr>
        <w:tc>
          <w:tcPr>
            <w:tcW w:type="dxa" w:w="30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Advance tax</w:t>
            </w:r>
          </w:p>
        </w:tc>
        <w:tc>
          <w:tcPr>
            <w:tcW w:type="dxa" w:w="63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100% by March 15 (single installment — no quarterly requirement)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Books of accounts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NOT required to be maintained if opting for 44AD</w:t>
            </w:r>
          </w:p>
        </w:tc>
      </w:tr>
      <w:tr>
        <w:tc>
          <w:tcPr>
            <w:tcW w:type="dxa" w:w="30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Deductions available?</w:t>
            </w:r>
          </w:p>
        </w:tc>
        <w:tc>
          <w:tcPr>
            <w:tcW w:type="dxa" w:w="63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No further deductions u/s 30-38. Depreciation and all expenses DEEMED included in presumptive income.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44AD TURNOVER DEFINITION: Turnover = Total sales / gross receipts from the business. For retail businesses: total sales price. For service businesses: total fees/charges collected. Cash transactions: any receipt or payment in cash (not by cheque/NEFT/UPI). The 5% threshold applies to BOTH receipts in cash AND payments in cash independently — if either exceeds 5%, the limit drops to ₹2 crore. The ERP must capture mode of transactions.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44AD OPT-OUT CONSEQUENCE: If a taxpayer claims 44AD in one year but in any of the NEXT 5 years does not claim 44AD (i.e., opts out voluntarily or turnover exceeds limit), they must maintain books u/s 44AA and get audited u/s 44AB for those 5 years. This is a significant lock-in. The ERP should flag this restriction.</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6.3 Section 44ADA — Presumptive Income for Specified Professions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Parameter</w:t>
            </w:r>
          </w:p>
        </w:tc>
        <w:tc>
          <w:tcPr>
            <w:tcW w:type="dxa" w:w="6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Details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Applicable professions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Legal, Medical, Engineering, Architecture, Accounting, Technical Consulting, Interior decoration, Film artist, Notified professions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Gross receipts limit</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 ₹50 lakh (or ≤ ₹75 lakh if BOTH cash receipts AND cash payments ≤ 5% each)</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Presumptive income rate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50% of gross receipts (minimum)</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Can declare higher?</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YES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Can declare lower?</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Only with books of accounts and tax audit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Advance tax</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100% by March 15 (single installment)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Books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NOT required to be maintained</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Deductions</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No further deductions — all included in 50%</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Partnership firm of professionals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NOT eligible — only individuals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LLP professionals</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NOT eligible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44ADA GROSS RECEIPTS LIMIT — SPLIT COMPUTATION: If receipts are ₹60 lakh with 3% cash → Only ₹60 lakh × 50% = ₹30 lakh presumptive income (eligible since ₹60L ≤ ₹75L and cash ≤ 5%). If receipts are ₹60 lakh with 8% cash → NOT eligible for ₹75L limit; limit is ₹50L. Since receipts = ₹60L &gt; ₹50L → NOT eligible for 44ADA at all. Must maintain books and file ITR-3.</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6.4 Section 44AE — Presumptive Income for Goods Vehicle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Parameter</w:t>
            </w:r>
          </w:p>
        </w:tc>
        <w:tc>
          <w:tcPr>
            <w:tcW w:type="dxa" w:w="65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Details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Applicable to</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Business of plying, hiring, leasing goods carriages (not passenger vehicles)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Number of vehicles limit</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Owned ≤ 10 goods vehicles at any time during the year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per vehicle per month</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Heavy goods vehicle (&gt;12 tonnes GVW): ₹1,000 per ton of GVW per month</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Non-heavy goods vehicle</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₹7,500 per vehicle per month</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Part of month = full month</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For months when vehicle owned for part of month: full month counted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Can declare higher?</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YES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Advance tax</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100% by March 15</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Books</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Not required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44AE CALCULATION EXAMPLE: Client owns 3 heavy goods vehicles (18 tonnes GVW each) for all 12 months. Presumptive income = 3 vehicles × 12 months × 18 tonnes × ₹1,000 = ₹6,48,000. Client can declare any amount ≥ ₹6,48,000. If actual profit &gt; ₹6,48,000, can declare higher.</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6.5 ITR-4 Fields — Salary + Presumptive Business Combination</w:t>
      </w:r>
    </w:p>
    <w:p>
      <w:pPr>
        <w:spacing w:after="80" w:before="60"/>
      </w:pPr>
      <w:r>
        <w:rPr>
          <w:rFonts w:ascii="Arial" w:cs="Arial" w:eastAsia="Arial" w:hAnsi="Arial"/>
          <w:sz w:val="20"/>
          <w:szCs w:val="20"/>
        </w:rPr>
        <w:t xml:space="preserve">ITR-4 allows combination of salary, one house property, other sources, AND presumptive business income. The ERP computation for ITR-4 must:</w:t>
      </w:r>
    </w:p>
    <w:p>
      <w:pPr>
        <w:pStyle w:val="ListParagraph"/>
        <w:numPr>
          <w:ilvl w:val="0"/>
          <w:numId w:val="3"/>
        </w:numPr>
        <w:spacing w:after="30" w:before="30"/>
      </w:pPr>
      <w:r>
        <w:rPr>
          <w:rFonts w:ascii="Arial" w:cs="Arial" w:eastAsia="Arial" w:hAnsi="Arial"/>
          <w:sz w:val="19"/>
          <w:szCs w:val="19"/>
        </w:rPr>
        <w:t xml:space="preserve">Compute salary income u/s 16 (same as ITR-1)</w:t>
      </w:r>
    </w:p>
    <w:p>
      <w:pPr>
        <w:pStyle w:val="ListParagraph"/>
        <w:numPr>
          <w:ilvl w:val="0"/>
          <w:numId w:val="3"/>
        </w:numPr>
        <w:spacing w:after="30" w:before="30"/>
      </w:pPr>
      <w:r>
        <w:rPr>
          <w:rFonts w:ascii="Arial" w:cs="Arial" w:eastAsia="Arial" w:hAnsi="Arial"/>
          <w:sz w:val="19"/>
          <w:szCs w:val="19"/>
        </w:rPr>
        <w:t xml:space="preserve">Compute HP income (single property, same as ITR-1 HP section)</w:t>
      </w:r>
    </w:p>
    <w:p>
      <w:pPr>
        <w:pStyle w:val="ListParagraph"/>
        <w:numPr>
          <w:ilvl w:val="0"/>
          <w:numId w:val="3"/>
        </w:numPr>
        <w:spacing w:after="30" w:before="30"/>
      </w:pPr>
      <w:r>
        <w:rPr>
          <w:rFonts w:ascii="Arial" w:cs="Arial" w:eastAsia="Arial" w:hAnsi="Arial"/>
          <w:sz w:val="19"/>
          <w:szCs w:val="19"/>
        </w:rPr>
        <w:t xml:space="preserve">Compute presumptive income u/s 44AD or 44ADA or 44AE</w:t>
      </w:r>
    </w:p>
    <w:p>
      <w:pPr>
        <w:pStyle w:val="ListParagraph"/>
        <w:numPr>
          <w:ilvl w:val="0"/>
          <w:numId w:val="3"/>
        </w:numPr>
        <w:spacing w:after="30" w:before="30"/>
      </w:pPr>
      <w:r>
        <w:rPr>
          <w:rFonts w:ascii="Arial" w:cs="Arial" w:eastAsia="Arial" w:hAnsi="Arial"/>
          <w:sz w:val="19"/>
          <w:szCs w:val="19"/>
        </w:rPr>
        <w:t xml:space="preserve">Compute other sources income</w:t>
      </w:r>
    </w:p>
    <w:p>
      <w:pPr>
        <w:pStyle w:val="ListParagraph"/>
        <w:numPr>
          <w:ilvl w:val="0"/>
          <w:numId w:val="3"/>
        </w:numPr>
        <w:spacing w:after="30" w:before="30"/>
      </w:pPr>
      <w:r>
        <w:rPr>
          <w:rFonts w:ascii="Arial" w:cs="Arial" w:eastAsia="Arial" w:hAnsi="Arial"/>
          <w:sz w:val="19"/>
          <w:szCs w:val="19"/>
        </w:rPr>
        <w:t xml:space="preserve">GTI = Sum of all above</w:t>
      </w:r>
    </w:p>
    <w:p>
      <w:pPr>
        <w:pStyle w:val="ListParagraph"/>
        <w:numPr>
          <w:ilvl w:val="0"/>
          <w:numId w:val="3"/>
        </w:numPr>
        <w:spacing w:after="30" w:before="30"/>
      </w:pPr>
      <w:r>
        <w:rPr>
          <w:rFonts w:ascii="Arial" w:cs="Arial" w:eastAsia="Arial" w:hAnsi="Arial"/>
          <w:sz w:val="19"/>
          <w:szCs w:val="19"/>
        </w:rPr>
        <w:t xml:space="preserve">Apply applicable deductions (same Chapter VI-A rules; new vs old regime)</w:t>
      </w:r>
    </w:p>
    <w:p>
      <w:pPr>
        <w:pStyle w:val="ListParagraph"/>
        <w:numPr>
          <w:ilvl w:val="0"/>
          <w:numId w:val="3"/>
        </w:numPr>
        <w:spacing w:after="30" w:before="30"/>
      </w:pPr>
      <w:r>
        <w:rPr>
          <w:rFonts w:ascii="Arial" w:cs="Arial" w:eastAsia="Arial" w:hAnsi="Arial"/>
          <w:sz w:val="19"/>
          <w:szCs w:val="19"/>
        </w:rPr>
        <w:t xml:space="preserve">Compute tax on total income</w:t>
      </w:r>
    </w:p>
    <w:p>
      <w:pPr>
        <w:pStyle w:val="ListParagraph"/>
        <w:numPr>
          <w:ilvl w:val="0"/>
          <w:numId w:val="3"/>
        </w:numPr>
        <w:spacing w:after="30" w:before="30"/>
      </w:pPr>
      <w:r>
        <w:rPr>
          <w:rFonts w:ascii="Arial" w:cs="Arial" w:eastAsia="Arial" w:hAnsi="Arial"/>
          <w:sz w:val="19"/>
          <w:szCs w:val="19"/>
        </w:rPr>
        <w:t xml:space="preserve">Apply 87A rebate</w:t>
      </w:r>
    </w:p>
    <w:p>
      <w:pPr>
        <w:pStyle w:val="ListParagraph"/>
        <w:numPr>
          <w:ilvl w:val="0"/>
          <w:numId w:val="3"/>
        </w:numPr>
        <w:spacing w:after="30" w:before="30"/>
      </w:pPr>
      <w:r>
        <w:rPr>
          <w:rFonts w:ascii="Arial" w:cs="Arial" w:eastAsia="Arial" w:hAnsi="Arial"/>
          <w:sz w:val="19"/>
          <w:szCs w:val="19"/>
        </w:rPr>
        <w:t xml:space="preserve">Add surcharge + cess</w:t>
      </w:r>
    </w:p>
    <w:p>
      <w:pPr>
        <w:pStyle w:val="ListParagraph"/>
        <w:numPr>
          <w:ilvl w:val="0"/>
          <w:numId w:val="3"/>
        </w:numPr>
        <w:spacing w:after="30" w:before="30"/>
      </w:pPr>
      <w:r>
        <w:rPr>
          <w:rFonts w:ascii="Arial" w:cs="Arial" w:eastAsia="Arial" w:hAnsi="Arial"/>
          <w:sz w:val="19"/>
          <w:szCs w:val="19"/>
        </w:rPr>
        <w:t xml:space="preserve">Less TDS (Form 16, 26AS) + Advance Tax</w:t>
      </w:r>
    </w:p>
    <w:p>
      <w:pPr>
        <w:pStyle w:val="ListParagraph"/>
        <w:numPr>
          <w:ilvl w:val="0"/>
          <w:numId w:val="3"/>
        </w:numPr>
        <w:spacing w:after="30" w:before="30"/>
      </w:pPr>
      <w:r>
        <w:rPr>
          <w:rFonts w:ascii="Arial" w:cs="Arial" w:eastAsia="Arial" w:hAnsi="Arial"/>
          <w:sz w:val="19"/>
          <w:szCs w:val="19"/>
        </w:rPr>
        <w:t xml:space="preserve">Add 234A/234B/234C/234F as applicable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6"/>
              <w:left w:val="single" w:color="833C00" w:sz="6"/>
              <w:bottom w:val="single" w:color="833C00" w:sz="6"/>
              <w:right w:val="single" w:color="833C00" w:sz="6"/>
            </w:tcBorders>
            <w:shd w:fill="FFF2CC" w:val="clear"/>
            <w:tcMar>
              <w:top w:type="dxa" w:w="100"/>
              <w:left w:type="dxa" w:w="160"/>
              <w:bottom w:type="dxa" w:w="100"/>
              <w:right w:type="dxa" w:w="160"/>
            </w:tcMar>
          </w:tcPr>
          <w:p>
            <w:r>
              <w:rPr>
                <w:rFonts w:ascii="Arial" w:cs="Arial" w:eastAsia="Arial" w:hAnsi="Arial"/>
                <w:i/>
                <w:iCs/>
                <w:sz w:val="19"/>
                <w:szCs w:val="19"/>
              </w:rPr>
              <w:t xml:space="preserve">ITR-4 ADVANCE TAX NOTE: Since 44AD/44ADA requires 100% advance tax by March 15, if a client has ₹10,00,000 tax liability and pays all of it by March 15, 234C = NIL. But if they paid only ₹8,00,000 by March 15, the ₹2,00,000 shortfall incurs 234C for 1 month. No quarterly installment requirement under these sections.</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6.6 ITR-4 — Balance Sheet and P&amp;L (Simplified)</w:t>
      </w:r>
    </w:p>
    <w:p>
      <w:pPr>
        <w:spacing w:after="80" w:before="60"/>
      </w:pPr>
      <w:r>
        <w:rPr>
          <w:rFonts w:ascii="Arial" w:cs="Arial" w:eastAsia="Arial" w:hAnsi="Arial"/>
          <w:sz w:val="20"/>
          <w:szCs w:val="20"/>
        </w:rPr>
        <w:t xml:space="preserve">Unlike ITR-3, ITR-4 does NOT require detailed P&amp;L or balance sheet. However, the form asks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5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Required in ITR-4</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Gross receipts / turnover</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YES — Mandatory</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Net profit (presumptive)</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Computed as per applicable rate — YES</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sundry debtors</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YES — closing balance</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sundry creditors</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YES — closing balance</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stock-in-trade</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YES — closing balance</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Cash balance at year end</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YES — closing balance</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Opening capital</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YES</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Drawings / Additions to capital</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YES</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secured and unsecured loans</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YES</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fixed assets</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YES — closing WDV</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0000" w:val="clear"/>
            <w:tcMar>
              <w:top w:type="dxa" w:w="160"/>
              <w:left w:type="dxa" w:w="240"/>
              <w:bottom w:type="dxa" w:w="160"/>
              <w:right w:type="dxa" w:w="240"/>
            </w:tcMar>
          </w:tcPr>
          <w:p>
            <w:r>
              <w:rPr>
                <w:rFonts w:ascii="Arial" w:cs="Arial" w:eastAsia="Arial" w:hAnsi="Arial"/>
                <w:b/>
                <w:bCs/>
                <w:color w:val="FFFFFF"/>
                <w:sz w:val="30"/>
                <w:szCs w:val="30"/>
              </w:rPr>
              <w:t xml:space="preserve">SECTION 7 — COMPLETE COMPUTATION SEQUENCES &amp; CRITICAL EDGE CASES</w:t>
            </w:r>
          </w:p>
        </w:tc>
      </w:tr>
    </w:tbl>
    <w:p>
      <w:pPr>
        <w:spacing w:after="80" w:before="0"/>
      </w:pPr>
      <w:r>
        <w:t xml:space="preserve"/>
      </w:r>
    </w:p>
    <w:p>
      <w:pPr>
        <w:pStyle w:val="Heading1"/>
        <w:spacing w:after="120" w:before="400"/>
      </w:pPr>
      <w:r>
        <w:rPr>
          <w:rFonts w:ascii="Arial" w:cs="Arial" w:eastAsia="Arial" w:hAnsi="Arial"/>
          <w:b/>
          <w:bCs/>
          <w:color w:val="1F3864"/>
          <w:sz w:val="32"/>
          <w:szCs w:val="32"/>
        </w:rPr>
        <w:t xml:space="preserve">7. Complete Tax Computation Sequences</w:t>
      </w:r>
    </w:p>
    <w:p>
      <w:pPr>
        <w:spacing w:after="80" w:before="0"/>
      </w:pPr>
      <w:r>
        <w:t xml:space="preserve"/>
      </w:r>
    </w:p>
    <w:p>
      <w:pPr>
        <w:pStyle w:val="Heading2"/>
        <w:spacing w:after="100" w:before="300"/>
      </w:pPr>
      <w:r>
        <w:rPr>
          <w:rFonts w:ascii="Arial" w:cs="Arial" w:eastAsia="Arial" w:hAnsi="Arial"/>
          <w:b/>
          <w:bCs/>
          <w:color w:val="2E5FA3"/>
          <w:sz w:val="26"/>
          <w:szCs w:val="26"/>
        </w:rPr>
        <w:t xml:space="preserve">7.1 Full Computation Sequence — Old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3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58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Formula / Source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Gross Total Income (GTI)</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Sum of all income heads after set-offs within each head</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2</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Chapter VI-A Deductions</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80C + 80CCC + 80CCD + 80D + 80E + 80G + 80TTA/TTB + others</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Income (TI)</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GTI − Chapter VI-A Deductions (minimum 0)</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4</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Round off Total Income</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Round to nearest ₹10 u/s 288A</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Compute tax on TI using applicable slab</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Age-based slabs (&lt; 60, 60-80, 80+)</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6</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Apply 87A Rebate</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If TI ≤ ₹5,00,000: rebate = min(tax, ₹12,500). Else = 0</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7</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after rebate</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Step 5 − Step 6 (minimum 0)</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8</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Compute Surcharge</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Apply rates from Section 1.4; compute marginal relief</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9</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Health &amp; Education Cess</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after rebate + Surcharge) × 4%</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10</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Tax Liability</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after rebate + Surcharge + Cess</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11</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Relief u/s 89 (if applicable)</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Deduct Form 10E-based relief</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12</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TDS (Salary + Others)</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From Form 16 + 26AS</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13</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TCS</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From 26AS</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14</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Advance Tax paid</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From challans</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15</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Net Tax Payable / (Refund)</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Steps 10 − 11 − 12 − 13 − 14</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16</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Add: 234A (if late filing)</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Only if Step 15 &gt; 0</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17</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Add: 234B (if advance tax short)</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Only if Step 15 &gt; 0</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18</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Add: 234C (if installments short)</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Only if Step 15 &gt; 0</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19</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Add: 234F (late filing fee)</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Based on filing date and income level</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20</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Final Demand / (Refund)</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Step 15 + 16 + 17 + 18 + 19</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7.2 Full Computation Sequence — New Regime (AY 2025-26)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2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6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Key Difference from Old Regime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1</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Gross Total Income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Standard deduction ₹75,000 (salary). Employer NPS (80CCD(2)) deductible.</w:t>
            </w:r>
          </w:p>
        </w:tc>
      </w:tr>
      <w:tr>
        <w:tc>
          <w:tcPr>
            <w:tcW w:type="dxa" w:w="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2</w:t>
            </w:r>
          </w:p>
        </w:tc>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Less: Permissible deductions</w:t>
            </w:r>
          </w:p>
        </w:tc>
        <w:tc>
          <w:tcPr>
            <w:tcW w:type="dxa" w:w="63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ONLY: Standard deduction, 80CCD(2), 80JJAA, certain notified deductions</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Total Income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GTI − minimal deductions</w:t>
            </w:r>
          </w:p>
        </w:tc>
      </w:tr>
      <w:tr>
        <w:tc>
          <w:tcPr>
            <w:tcW w:type="dxa" w:w="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4</w:t>
            </w:r>
          </w:p>
        </w:tc>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Round off to ₹10</w:t>
            </w:r>
          </w:p>
        </w:tc>
        <w:tc>
          <w:tcPr>
            <w:tcW w:type="dxa" w:w="63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Same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5</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on TI (new regime slabs)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3L-7L-10L-12L-15L slabs</w:t>
            </w:r>
          </w:p>
        </w:tc>
      </w:tr>
      <w:tr>
        <w:tc>
          <w:tcPr>
            <w:tcW w:type="dxa" w:w="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6</w:t>
            </w:r>
          </w:p>
        </w:tc>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87A Rebate</w:t>
            </w:r>
          </w:p>
        </w:tc>
        <w:tc>
          <w:tcPr>
            <w:tcW w:type="dxa" w:w="63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If TI ≤ ₹7,00,000 → rebate = min(tax on normal income, ₹25,000)</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7</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after rebate + Surcharge + Cess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Max surcharge = 25% (new regime cap)</w:t>
            </w:r>
          </w:p>
        </w:tc>
      </w:tr>
      <w:tr>
        <w:tc>
          <w:tcPr>
            <w:tcW w:type="dxa" w:w="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8-20</w:t>
            </w:r>
          </w:p>
        </w:tc>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Same as old regime Steps 11-20</w:t>
            </w:r>
          </w:p>
        </w:tc>
        <w:tc>
          <w:tcPr>
            <w:tcW w:type="dxa" w:w="636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val="false"/>
                <w:bCs w:val="false"/>
                <w:color w:val="000000"/>
                <w:sz w:val="17"/>
                <w:szCs w:val="17"/>
              </w:rPr>
              <w:t xml:space="preserve">All interest, TDS, advance tax same</w:t>
            </w:r>
          </w:p>
        </w:tc>
      </w:tr>
    </w:tbl>
    <w:p>
      <w:pPr>
        <w:spacing w:after="80" w:before="0"/>
      </w:pPr>
      <w:r>
        <w:t xml:space="preserve"/>
      </w:r>
    </w:p>
    <w:p>
      <w:pPr>
        <w:pStyle w:val="Heading2"/>
        <w:spacing w:after="100" w:before="300"/>
      </w:pPr>
      <w:r>
        <w:rPr>
          <w:rFonts w:ascii="Arial" w:cs="Arial" w:eastAsia="Arial" w:hAnsi="Arial"/>
          <w:b/>
          <w:bCs/>
          <w:color w:val="2E5FA3"/>
          <w:sz w:val="26"/>
          <w:szCs w:val="26"/>
        </w:rPr>
        <w:t xml:space="preserve">7.3 Critical Computation Edge Cases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Edge Case</w:t>
            </w:r>
          </w:p>
        </w:tc>
        <w:tc>
          <w:tcPr>
            <w:tcW w:type="dxa" w:w="63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Correct Treatment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at exactly ₹7,00,000 (new regime, AY 2025-26)</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87A rebate applies — tax = NIL. Income of ₹7,00,001 → NO rebate; full slab tax on ₹7,00,001 applies (approx ₹25,010). This is a cliff — advise client to keep income ≤ ₹7,00,000 or ensure income does not land just above threshold.</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Income at exactly ₹12,00,000 (new regime, AY 2026-27)</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Same cliff issue. At ₹12,00,000 → NIL tax. At ₹12,00,001 → approx ₹61,500 tax. ERP should warn client.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Surcharge threshold cliff (₹50,01,000)</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Marginal relief computation mandatory. Tax payable with 10% surcharge minus (tax on ₹50,00,000 + income over ₹50L) = net marginal relief. Always compute marginal relief at ₹50L, ₹1Cr, ₹2Cr, ₹5Cr.</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Negative GTI (all losses exceed all income)</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GTI = 0 (cannot be negative). Tax = 0. Losses carried forward as per rules.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TDS &gt; Tax Liability (refund case)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Tax payable (Step 15) is negative → becomes REFUND. Add bank account details in return. No 234A/B/C applies if tax payable is zero or negative.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Two employers in same FY, each gave standard deduction</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Only ONE standard deduction of ₹75,000/₹50,000 is allowable in total. If both Form 16s claim standard deduction → taxpayer/advocate must correct — declare correct figure in ITR.</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Property sold and reinvested (54/54EC) within time limit but sale in FY, investment in next FY</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Capital gain exempt subject to deposit in Capital Gains Account Scheme (CGAS) before due date of ITR filing. Investment may be made later within prescribed period. If not deposited in CGAS, exemption claim invalid.</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HPL loss &gt; ₹2 lakh with only salary income — can excess loss be deducted in ITR-1?</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NO. Only ₹2,00,000 HP loss can be set off against salary. Excess loss cannot be carried forward in ITR-1. Taxpayer must file ITR-2 to carry forward excess HP loss.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Advance tax paid in wrong assessment year's challan</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Challan can be corrected through the bank or NSDL within 3-6 months. If not corrected, advance tax credit will not appear in correct year — 234B risk.</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Interest income accrued on NSC</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NSC interest is taxable on accrual basis (if opted for accrual) or on maturity basis. Consistent method required across all years. NSC interest also qualifies for 80C deduction in old regime.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Agricultural income combined with non-agricultural income (partial exemption computation)</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Agricultural income itself is exempt. However, for individuals with non-agricultural income &gt; basic exemption: Tax is computed by adding agricultural income to net income, computing tax on combined amount, then deducting tax on (agricultural income + basic exemption). This partial integration applies when agri income &gt; ₹5,000 AND non-agri income &gt; basic exemption. ITR-2 must be used (not ITR-1 if agri &gt; ₹5,000).</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ITR filed after due date — can 80C deduction be claimed?</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YES — Chapter VI-A deductions are available even on belated return. Only LOSSES cannot be carried forward on belated return.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Minor child's income clubbed in parent's hands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Minor's income (from investments, not from manual work/skill) clubbed in higher income parent. Exemption per minor per year: ₹1,500 u/s 10(32) per minor child. Declare in Schedule SPI.</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Cash gifts received from non-relatives &gt; ₹50,000 in aggregate</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Taxable as income from other sources u/s 56(2)(x). Gifts from relatives (spouse, parents, siblings, children) exempt without limit. Gifts on marriage exempt (from anyone). Gifts via Will or inheritance exempt. ERP should include field for gift disclosure.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Employee pays NPS voluntarily — claim in old vs new regime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Old regime: 80C (₹1.5L limit, employee contribution) + 80CCD(1B) extra ₹50,000. New regime: Only employer's NPS contribution u/s 80CCD(2) is deductible; employee's own NPS contribution NOT deductible in new regime.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Partnership firm profit — how does partner file?</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000000"/>
                <w:sz w:val="17"/>
                <w:szCs w:val="17"/>
              </w:rPr>
              <w:t xml:space="preserve">Partner's share of profit: Exempt u/s 10(2A) in partner's hands. Interest and salary from firm: Taxable in partner's hands as business income. File ITR-3.</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single" w:color="2E5FA3" w:sz="8"/>
              <w:bottom w:val="single" w:color="2E5FA3" w:sz="8"/>
              <w:right w:val="single" w:color="2E5FA3" w:sz="8"/>
            </w:tcBorders>
            <w:shd w:fill="D6E4F7" w:val="clear"/>
            <w:tcMar>
              <w:top w:type="dxa" w:w="200"/>
              <w:left w:type="dxa" w:w="300"/>
              <w:bottom w:type="dxa" w:w="200"/>
              <w:right w:type="dxa" w:w="300"/>
            </w:tcMar>
          </w:tcPr>
          <w:p>
            <w:pPr>
              <w:jc w:val="center"/>
            </w:pPr>
            <w:r>
              <w:rPr>
                <w:rFonts w:ascii="Arial" w:cs="Arial" w:eastAsia="Arial" w:hAnsi="Arial"/>
                <w:b/>
                <w:bCs/>
                <w:color w:val="1F3864"/>
                <w:sz w:val="24"/>
                <w:szCs w:val="24"/>
              </w:rPr>
              <w:t xml:space="preserve">END OF ITR FIELD GUIDE — AY 2025-26 &amp; AY 2026-27</w:t>
            </w:r>
          </w:p>
          <w:p>
            <w:pPr>
              <w:spacing w:before="80"/>
              <w:jc w:val="center"/>
            </w:pPr>
            <w:r>
              <w:rPr>
                <w:rFonts w:ascii="Arial" w:cs="Arial" w:eastAsia="Arial" w:hAnsi="Arial"/>
                <w:i/>
                <w:iCs/>
                <w:color w:val="2E5FA3"/>
                <w:sz w:val="18"/>
                <w:szCs w:val="18"/>
              </w:rPr>
              <w:t xml:space="preserve">Always verify with latest CBDT circulars, Finance Act notifications, and official ITD schema before implementation</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pBdr>
      <w:tabs>
        <w:tab w:val="right" w:pos="9026"/>
      </w:tabs>
      <w:spacing w:before="100"/>
    </w:pPr>
    <w:r>
      <w:rPr>
        <w:rFonts w:ascii="Arial" w:cs="Arial" w:eastAsia="Arial" w:hAnsi="Arial"/>
        <w:i/>
        <w:iCs/>
        <w:color w:val="595959"/>
        <w:sz w:val="14"/>
        <w:szCs w:val="14"/>
      </w:rPr>
      <w:t xml:space="preserve">This document is a reference guide — verify all calculations against current Finance Act and CBDT notifications</w:t>
    </w:r>
    <w:r>
      <w:rPr>
        <w:rFonts w:ascii="Arial" w:cs="Arial" w:eastAsia="Arial" w:hAnsi="Arial"/>
        <w:color w:val="59595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pBdr>
      <w:spacing w:after="100"/>
    </w:pPr>
    <w:r>
      <w:rPr>
        <w:rFonts w:ascii="Arial" w:cs="Arial" w:eastAsia="Arial" w:hAnsi="Arial"/>
        <w:color w:val="595959"/>
        <w:sz w:val="16"/>
        <w:szCs w:val="16"/>
      </w:rPr>
      <w:t xml:space="preserve">ITR Field Guide &amp; Calculation Reference — AY 2025-26 &amp; AY 2026-27</w:t>
    </w:r>
    <w:r>
      <w:rPr>
        <w:rFonts w:ascii="Arial" w:cs="Arial" w:eastAsia="Arial" w:hAnsi="Arial"/>
        <w:i/>
        <w:iCs/>
        <w:color w:val="595959"/>
        <w:sz w:val="16"/>
        <w:szCs w:val="16"/>
      </w:rPr>
      <w:t xml:space="preserve">    |    For internal ERP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20"/>
      <w:outlineLvl w:val="2"/>
    </w:pPr>
    <w:rPr>
      <w:rFonts w:ascii="Arial" w:cs="Arial" w:eastAsia="Arial" w:hAnsi="Arial"/>
      <w:b/>
      <w:bCs/>
      <w:color w:val="833C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2026-04-03T09:18:21.093Z</dcterms:created>
  <dcterms:modified xsi:type="dcterms:W3CDTF">2026-04-03T09:18:21.095Z</dcterms:modified>
</cp:coreProperties>
</file>

<file path=docProps/custom.xml><?xml version="1.0" encoding="utf-8"?>
<Properties xmlns="http://schemas.openxmlformats.org/officeDocument/2006/custom-properties" xmlns:vt="http://schemas.openxmlformats.org/officeDocument/2006/docPropsVTypes"/>
</file>