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00"/>
          <w:sz w:val="28"/>
        </w:rPr>
        <w:t>Popees Baby Care Products Limited - Nandan Initial Screening Note</w:t>
      </w:r>
    </w:p>
    <w:p>
      <w:r>
        <w:rPr>
          <w:rFonts w:ascii="Calibri" w:hAnsi="Calibri"/>
          <w:color w:val="000000"/>
        </w:rPr>
        <w:t>Date: 08 June 2026</w:t>
      </w:r>
    </w:p>
    <w:p>
      <w:r>
        <w:rPr>
          <w:rFonts w:ascii="Calibri" w:hAnsi="Calibri"/>
          <w:color w:val="000000"/>
        </w:rPr>
        <w:t>Prepared by: Nandan Fund, Initial Screener</w:t>
      </w:r>
    </w:p>
    <w:p>
      <w:r>
        <w:rPr>
          <w:rFonts w:ascii="Calibri" w:hAnsi="Calibri"/>
          <w:color w:val="000000"/>
        </w:rPr>
        <w:t>Ask: INR 30 Crore (per pitch deck - Rs 12 Cr COCO store expansion, Rs 8 Cr working capital, Rs 5 Cr marketing, Rs 3 Cr technology/supply-chain/warehouse, Rs 2 Cr contingency)</w:t>
      </w:r>
    </w:p>
    <w:p>
      <w:r>
        <w:rPr>
          <w:rFonts w:ascii="Calibri" w:hAnsi="Calibri"/>
          <w:color w:val="000000"/>
        </w:rPr>
        <w:t>Tenure: Not provided</w:t>
      </w:r>
    </w:p>
    <w:p>
      <w:r>
        <w:rPr>
          <w:rFonts w:ascii="Calibri" w:hAnsi="Calibri"/>
          <w:color w:val="000000"/>
        </w:rPr>
        <w:t>Securities offered: Not provided</w:t>
      </w:r>
    </w:p>
    <w:p>
      <w:r>
        <w:rPr>
          <w:rFonts w:ascii="Calibri" w:hAnsi="Calibri"/>
          <w:color w:val="000000"/>
        </w:rPr>
        <w:t>Financials used: Standalone; audited FY24 and FY25, plus FY26 provisional (full-year) MIS. Consolidated financials not provided.</w:t>
      </w:r>
    </w:p>
    <w:p>
      <w:r>
        <w:rPr>
          <w:rFonts w:ascii="Calibri" w:hAnsi="Calibri"/>
          <w:color w:val="000000"/>
        </w:rPr>
        <w:t>Recommendation: Proceed to diligence, with conditions</w:t>
      </w:r>
    </w:p>
    <w:p>
      <w:pPr>
        <w:pBdr>
          <w:bottom w:val="single" w:sz="6" w:space="1" w:color="000000"/>
        </w:pBdr>
      </w:pPr>
    </w:p>
    <w:p>
      <w:pPr>
        <w:pStyle w:val="Heading2"/>
      </w:pPr>
      <w:r>
        <w:rPr>
          <w:rFonts w:ascii="Calibri" w:hAnsi="Calibri"/>
          <w:b/>
          <w:color w:val="000000"/>
          <w:sz w:val="24"/>
        </w:rPr>
        <w:t>Section 0 - Company, Industry and Founder Overview</w:t>
      </w:r>
    </w:p>
    <w:p>
      <w:pPr>
        <w:pStyle w:val="Heading3"/>
      </w:pPr>
      <w:r>
        <w:rPr>
          <w:rFonts w:ascii="Calibri" w:hAnsi="Calibri"/>
          <w:b/>
          <w:color w:val="000000"/>
          <w:sz w:val="22"/>
        </w:rPr>
        <w:t>About the Company</w:t>
      </w:r>
    </w:p>
    <w:p>
      <w:r>
        <w:rPr>
          <w:rFonts w:ascii="Calibri" w:hAnsi="Calibri"/>
          <w:color w:val="000000"/>
        </w:rPr>
        <w:t>Popees is a Kerala-based babywear and baby-care brand that manufactures and sells infant and toddler garments, plus a growing range of baby FMCG and accessories, to Indian (and some GCC) consumers. It is vertically integrated: own and leased garment factories in Kerala, Karnataka and Tirupur feed a multi-channel network of ~105 exclusive and franchise stores alongside distributor wholesale and online marketplaces. Revenue is overwhelmingly product sales (transactional), part B2C through owned and franchise stores and part B2B through distributors and large-format retail.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Vertical</w:t>
            </w:r>
          </w:p>
        </w:tc>
        <w:tc>
          <w:tcPr>
            <w:tcW w:type="dxa" w:w="2880"/>
          </w:tcPr>
          <w:p>
            <w:r>
              <w:rPr>
                <w:rFonts w:ascii="Calibri" w:hAnsi="Calibri"/>
                <w:b/>
                <w:color w:val="000000"/>
                <w:sz w:val="20"/>
              </w:rPr>
              <w:t>What it is</w:t>
            </w:r>
          </w:p>
        </w:tc>
        <w:tc>
          <w:tcPr>
            <w:tcW w:type="dxa" w:w="2880"/>
          </w:tcPr>
          <w:p>
            <w:r>
              <w:rPr>
                <w:rFonts w:ascii="Calibri" w:hAnsi="Calibri"/>
                <w:b/>
                <w:color w:val="000000"/>
                <w:sz w:val="20"/>
              </w:rPr>
              <w:t>% of revenue</w:t>
            </w:r>
          </w:p>
        </w:tc>
      </w:tr>
      <w:tr>
        <w:tc>
          <w:tcPr>
            <w:tcW w:type="dxa" w:w="2880"/>
          </w:tcPr>
          <w:p>
            <w:r>
              <w:rPr>
                <w:rFonts w:ascii="Calibri" w:hAnsi="Calibri"/>
                <w:color w:val="000000"/>
                <w:sz w:val="20"/>
              </w:rPr>
              <w:t>Baby &amp; kids apparel</w:t>
            </w:r>
          </w:p>
        </w:tc>
        <w:tc>
          <w:tcPr>
            <w:tcW w:type="dxa" w:w="2880"/>
          </w:tcPr>
          <w:p>
            <w:r>
              <w:rPr>
                <w:rFonts w:ascii="Calibri" w:hAnsi="Calibri"/>
                <w:color w:val="000000"/>
                <w:sz w:val="20"/>
              </w:rPr>
              <w:t>Core knitted/woven babywear, in-house manufactured; sold via EBOs, franchise, wholesale, online</w:t>
            </w:r>
          </w:p>
        </w:tc>
        <w:tc>
          <w:tcPr>
            <w:tcW w:type="dxa" w:w="2880"/>
          </w:tcPr>
          <w:p>
            <w:r>
              <w:rPr>
                <w:rFonts w:ascii="Calibri" w:hAnsi="Calibri"/>
                <w:color w:val="000000"/>
                <w:sz w:val="20"/>
              </w:rPr>
              <w:t>Dominant (majority); not separately disclosed</w:t>
            </w:r>
          </w:p>
        </w:tc>
      </w:tr>
      <w:tr>
        <w:tc>
          <w:tcPr>
            <w:tcW w:type="dxa" w:w="2880"/>
          </w:tcPr>
          <w:p>
            <w:r>
              <w:rPr>
                <w:rFonts w:ascii="Calibri" w:hAnsi="Calibri"/>
                <w:color w:val="000000"/>
                <w:sz w:val="20"/>
              </w:rPr>
              <w:t>Baby FMCG</w:t>
            </w:r>
          </w:p>
        </w:tc>
        <w:tc>
          <w:tcPr>
            <w:tcW w:type="dxa" w:w="2880"/>
          </w:tcPr>
          <w:p>
            <w:r>
              <w:rPr>
                <w:rFonts w:ascii="Calibri" w:hAnsi="Calibri"/>
                <w:color w:val="000000"/>
                <w:sz w:val="20"/>
              </w:rPr>
              <w:t>Diapers, lotion, bamboo wipes, soap, fabric wash; mostly third-party manufactured under the Popees brand</w:t>
            </w:r>
          </w:p>
        </w:tc>
        <w:tc>
          <w:tcPr>
            <w:tcW w:type="dxa" w:w="2880"/>
          </w:tcPr>
          <w:p>
            <w:r>
              <w:rPr>
                <w:rFonts w:ascii="Calibri" w:hAnsi="Calibri"/>
                <w:color w:val="000000"/>
                <w:sz w:val="20"/>
              </w:rPr>
              <w:t>Growing minority; n.a.</w:t>
            </w:r>
          </w:p>
        </w:tc>
      </w:tr>
      <w:tr>
        <w:tc>
          <w:tcPr>
            <w:tcW w:type="dxa" w:w="2880"/>
          </w:tcPr>
          <w:p>
            <w:r>
              <w:rPr>
                <w:rFonts w:ascii="Calibri" w:hAnsi="Calibri"/>
                <w:color w:val="000000"/>
                <w:sz w:val="20"/>
              </w:rPr>
              <w:t>Accessories / supportives</w:t>
            </w:r>
          </w:p>
        </w:tc>
        <w:tc>
          <w:tcPr>
            <w:tcW w:type="dxa" w:w="2880"/>
          </w:tcPr>
          <w:p>
            <w:r>
              <w:rPr>
                <w:rFonts w:ascii="Calibri" w:hAnsi="Calibri"/>
                <w:color w:val="000000"/>
                <w:sz w:val="20"/>
              </w:rPr>
              <w:t>Teethers, bottles, strollers, soft toys, hospital and maternity kits</w:t>
            </w:r>
          </w:p>
        </w:tc>
        <w:tc>
          <w:tcPr>
            <w:tcW w:type="dxa" w:w="2880"/>
          </w:tcPr>
          <w:p>
            <w:r>
              <w:rPr>
                <w:rFonts w:ascii="Calibri" w:hAnsi="Calibri"/>
                <w:color w:val="000000"/>
                <w:sz w:val="20"/>
              </w:rPr>
              <w:t>Small; n.a.</w:t>
            </w:r>
          </w:p>
        </w:tc>
      </w:tr>
    </w:tbl>
    <w:p/>
    <w:p>
      <w:r>
        <w:rPr>
          <w:rFonts w:ascii="Calibri" w:hAnsi="Calibri"/>
          <w:color w:val="000000"/>
        </w:rPr>
        <w:t>Business model: product sales, transactional, across COCO, FICO (12% commission on net sales), FOCO and FOFO store formats, plus distributor wholesale and e-commerce (Ajio, Amazon, Meesho). Stage: mature and scaling, about Rs 162 Cr revenue (FY26 provisional), profitable, crossed Rs 100 Cr turnover around 2021.</w:t>
      </w:r>
    </w:p>
    <w:p>
      <w:r>
        <w:rPr>
          <w:rFonts w:ascii="Calibri" w:hAnsi="Calibri"/>
          <w:color w:val="000000"/>
        </w:rPr>
        <w:t>(Legal and ownership: standalone public limited company, recently converted from private limited; promoter Shaju Thomas holds 73.76%. Part of a 12-entity Popees Group, several of which are being merged into PBCPL across FY26-FY27. Standalone financials used; consolidated not provided. From company_structure.md.)</w:t>
      </w:r>
    </w:p>
    <w:p>
      <w:pPr>
        <w:pStyle w:val="Heading3"/>
      </w:pPr>
      <w:r>
        <w:rPr>
          <w:rFonts w:ascii="Calibri" w:hAnsi="Calibri"/>
          <w:b/>
          <w:color w:val="000000"/>
          <w:sz w:val="22"/>
        </w:rPr>
        <w:t>About the Industry</w:t>
      </w:r>
    </w:p>
    <w:p>
      <w:r>
        <w:rPr>
          <w:rFonts w:ascii="Calibri" w:hAnsi="Calibri"/>
          <w:color w:val="000000"/>
        </w:rPr>
        <w:t>India's baby and mother-care market - babywear plus baby FMCG - is large and structurally growing, supported by roughly 143 million children aged 0-6, rising incomes, urbanisation and a shift from unbranded to branded babywear. Organised penetration is still low, which is the growth thesis, but it is a crowded value segment. (Market-size figures here are indicative, drawn from the deck and general knowledge, to be confirmed against a sector report in diligence.)</w:t>
      </w:r>
    </w:p>
    <w:p>
      <w:r>
        <w:rPr>
          <w:rFonts w:ascii="Calibri" w:hAnsi="Calibri"/>
          <w:color w:val="000000"/>
        </w:rPr>
        <w:t>Vintage: the Popees brand has run for about 20 years (founded 2003, first factory 2005 per the deck), though the legal entity PBCPL dates to 2016 (~10 years). That is a long vintage for a regional babywear brand and implies real brand equity in South India, established manufacturing know-how, and survival through several demand cycles including COVID. Resilience reads as moderate-to-strong regionally, less proven outside South India where the store roll-out is only now beginning.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Player archetype</w:t>
            </w:r>
          </w:p>
        </w:tc>
        <w:tc>
          <w:tcPr>
            <w:tcW w:type="dxa" w:w="2880"/>
          </w:tcPr>
          <w:p>
            <w:r>
              <w:rPr>
                <w:rFonts w:ascii="Calibri" w:hAnsi="Calibri"/>
                <w:b/>
                <w:color w:val="000000"/>
                <w:sz w:val="20"/>
              </w:rPr>
              <w:t>Example(s)</w:t>
            </w:r>
          </w:p>
        </w:tc>
        <w:tc>
          <w:tcPr>
            <w:tcW w:type="dxa" w:w="2880"/>
          </w:tcPr>
          <w:p>
            <w:r>
              <w:rPr>
                <w:rFonts w:ascii="Calibri" w:hAnsi="Calibri"/>
                <w:b/>
                <w:color w:val="000000"/>
                <w:sz w:val="20"/>
              </w:rPr>
              <w:t>Business model in one line</w:t>
            </w:r>
          </w:p>
        </w:tc>
      </w:tr>
      <w:tr>
        <w:tc>
          <w:tcPr>
            <w:tcW w:type="dxa" w:w="2880"/>
          </w:tcPr>
          <w:p>
            <w:r>
              <w:rPr>
                <w:rFonts w:ascii="Calibri" w:hAnsi="Calibri"/>
                <w:color w:val="000000"/>
                <w:sz w:val="20"/>
              </w:rPr>
              <w:t>Organised baby-retail platforms</w:t>
            </w:r>
          </w:p>
        </w:tc>
        <w:tc>
          <w:tcPr>
            <w:tcW w:type="dxa" w:w="2880"/>
          </w:tcPr>
          <w:p>
            <w:r>
              <w:rPr>
                <w:rFonts w:ascii="Calibri" w:hAnsi="Calibri"/>
                <w:color w:val="000000"/>
                <w:sz w:val="20"/>
              </w:rPr>
              <w:t>FirstCry (listed)</w:t>
            </w:r>
          </w:p>
        </w:tc>
        <w:tc>
          <w:tcPr>
            <w:tcW w:type="dxa" w:w="2880"/>
          </w:tcPr>
          <w:p>
            <w:r>
              <w:rPr>
                <w:rFonts w:ascii="Calibri" w:hAnsi="Calibri"/>
                <w:color w:val="000000"/>
                <w:sz w:val="20"/>
              </w:rPr>
              <w:t>Omni-channel mother-and-baby marketplace plus private labels, national scale</w:t>
            </w:r>
          </w:p>
        </w:tc>
      </w:tr>
      <w:tr>
        <w:tc>
          <w:tcPr>
            <w:tcW w:type="dxa" w:w="2880"/>
          </w:tcPr>
          <w:p>
            <w:r>
              <w:rPr>
                <w:rFonts w:ascii="Calibri" w:hAnsi="Calibri"/>
                <w:color w:val="000000"/>
                <w:sz w:val="20"/>
              </w:rPr>
              <w:t>Listed knitwear / apparel majors</w:t>
            </w:r>
          </w:p>
        </w:tc>
        <w:tc>
          <w:tcPr>
            <w:tcW w:type="dxa" w:w="2880"/>
          </w:tcPr>
          <w:p>
            <w:r>
              <w:rPr>
                <w:rFonts w:ascii="Calibri" w:hAnsi="Calibri"/>
                <w:color w:val="000000"/>
                <w:sz w:val="20"/>
              </w:rPr>
              <w:t>Lux Industries, Rupa, Dollar, Page Industries</w:t>
            </w:r>
          </w:p>
        </w:tc>
        <w:tc>
          <w:tcPr>
            <w:tcW w:type="dxa" w:w="2880"/>
          </w:tcPr>
          <w:p>
            <w:r>
              <w:rPr>
                <w:rFonts w:ascii="Calibri" w:hAnsi="Calibri"/>
                <w:color w:val="000000"/>
                <w:sz w:val="20"/>
              </w:rPr>
              <w:t>Branded knitted garments, manufacturing-led, gross margins ~30-55%</w:t>
            </w:r>
          </w:p>
        </w:tc>
      </w:tr>
      <w:tr>
        <w:tc>
          <w:tcPr>
            <w:tcW w:type="dxa" w:w="2880"/>
          </w:tcPr>
          <w:p>
            <w:r>
              <w:rPr>
                <w:rFonts w:ascii="Calibri" w:hAnsi="Calibri"/>
                <w:color w:val="000000"/>
                <w:sz w:val="20"/>
              </w:rPr>
              <w:t>Branded kidswear specialists</w:t>
            </w:r>
          </w:p>
        </w:tc>
        <w:tc>
          <w:tcPr>
            <w:tcW w:type="dxa" w:w="2880"/>
          </w:tcPr>
          <w:p>
            <w:r>
              <w:rPr>
                <w:rFonts w:ascii="Calibri" w:hAnsi="Calibri"/>
                <w:color w:val="000000"/>
                <w:sz w:val="20"/>
              </w:rPr>
              <w:t>Gini &amp; Jony, Hopscotch, Nino Bambino</w:t>
            </w:r>
          </w:p>
        </w:tc>
        <w:tc>
          <w:tcPr>
            <w:tcW w:type="dxa" w:w="2880"/>
          </w:tcPr>
          <w:p>
            <w:r>
              <w:rPr>
                <w:rFonts w:ascii="Calibri" w:hAnsi="Calibri"/>
                <w:color w:val="000000"/>
                <w:sz w:val="20"/>
              </w:rPr>
              <w:t>Kidswear brands, mix of retail and online, mostly unlisted</w:t>
            </w:r>
          </w:p>
        </w:tc>
      </w:tr>
      <w:tr>
        <w:tc>
          <w:tcPr>
            <w:tcW w:type="dxa" w:w="2880"/>
          </w:tcPr>
          <w:p>
            <w:r>
              <w:rPr>
                <w:rFonts w:ascii="Calibri" w:hAnsi="Calibri"/>
                <w:color w:val="000000"/>
                <w:sz w:val="20"/>
              </w:rPr>
              <w:t>Regional / unorganised</w:t>
            </w:r>
          </w:p>
        </w:tc>
        <w:tc>
          <w:tcPr>
            <w:tcW w:type="dxa" w:w="2880"/>
          </w:tcPr>
          <w:p>
            <w:r>
              <w:rPr>
                <w:rFonts w:ascii="Calibri" w:hAnsi="Calibri"/>
                <w:color w:val="000000"/>
                <w:sz w:val="20"/>
              </w:rPr>
              <w:t>local babywear makers, FOCO/FOFO operators</w:t>
            </w:r>
          </w:p>
        </w:tc>
        <w:tc>
          <w:tcPr>
            <w:tcW w:type="dxa" w:w="2880"/>
          </w:tcPr>
          <w:p>
            <w:r>
              <w:rPr>
                <w:rFonts w:ascii="Calibri" w:hAnsi="Calibri"/>
                <w:color w:val="000000"/>
                <w:sz w:val="20"/>
              </w:rPr>
              <w:t>Price-led, fragmented, limited brand - the segment Popees is consolidating</w:t>
            </w:r>
          </w:p>
        </w:tc>
      </w:tr>
    </w:tbl>
    <w:p/>
    <w:p>
      <w:r>
        <w:rPr>
          <w:rFonts w:ascii="Calibri" w:hAnsi="Calibri"/>
          <w:color w:val="000000"/>
        </w:rPr>
        <w:t>The competitive reality is that this is a value-segment, trend-sensitive category where a few well-capitalised national players (FirstCry above all) and a long tail of unorganised makers both press on price. The defensible edge has to come from in-house manufacturing cost control, brand trust and store economics rather than from pricing power.</w:t>
      </w:r>
    </w:p>
    <w:p>
      <w:pPr>
        <w:pStyle w:val="Heading3"/>
      </w:pPr>
      <w:r>
        <w:rPr>
          <w:rFonts w:ascii="Calibri" w:hAnsi="Calibri"/>
          <w:b/>
          <w:color w:val="000000"/>
          <w:sz w:val="22"/>
        </w:rPr>
        <w:t>About the Founder(s)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Founder</w:t>
            </w:r>
          </w:p>
        </w:tc>
        <w:tc>
          <w:tcPr>
            <w:tcW w:type="dxa" w:w="1728"/>
          </w:tcPr>
          <w:p>
            <w:r>
              <w:rPr>
                <w:rFonts w:ascii="Calibri" w:hAnsi="Calibri"/>
                <w:b/>
                <w:color w:val="000000"/>
                <w:sz w:val="20"/>
              </w:rPr>
              <w:t>Role</w:t>
            </w:r>
          </w:p>
        </w:tc>
        <w:tc>
          <w:tcPr>
            <w:tcW w:type="dxa" w:w="1728"/>
          </w:tcPr>
          <w:p>
            <w:r>
              <w:rPr>
                <w:rFonts w:ascii="Calibri" w:hAnsi="Calibri"/>
                <w:b/>
                <w:color w:val="000000"/>
                <w:sz w:val="20"/>
              </w:rPr>
              <w:t>Background (source)</w:t>
            </w:r>
          </w:p>
        </w:tc>
        <w:tc>
          <w:tcPr>
            <w:tcW w:type="dxa" w:w="1728"/>
          </w:tcPr>
          <w:p>
            <w:r>
              <w:rPr>
                <w:rFonts w:ascii="Calibri" w:hAnsi="Calibri"/>
                <w:b/>
                <w:color w:val="000000"/>
                <w:sz w:val="20"/>
              </w:rPr>
              <w:t>Relevant exp.</w:t>
            </w:r>
          </w:p>
        </w:tc>
        <w:tc>
          <w:tcPr>
            <w:tcW w:type="dxa" w:w="1728"/>
          </w:tcPr>
          <w:p>
            <w:r>
              <w:rPr>
                <w:rFonts w:ascii="Calibri" w:hAnsi="Calibri"/>
                <w:b/>
                <w:color w:val="000000"/>
                <w:sz w:val="20"/>
              </w:rPr>
              <w:t>Relevance / flags</w:t>
            </w:r>
          </w:p>
        </w:tc>
      </w:tr>
      <w:tr>
        <w:tc>
          <w:tcPr>
            <w:tcW w:type="dxa" w:w="1728"/>
          </w:tcPr>
          <w:p>
            <w:r>
              <w:rPr>
                <w:rFonts w:ascii="Calibri" w:hAnsi="Calibri"/>
                <w:color w:val="000000"/>
                <w:sz w:val="20"/>
              </w:rPr>
              <w:t>Shaju Thomas</w:t>
            </w:r>
          </w:p>
        </w:tc>
        <w:tc>
          <w:tcPr>
            <w:tcW w:type="dxa" w:w="1728"/>
          </w:tcPr>
          <w:p>
            <w:r>
              <w:rPr>
                <w:rFonts w:ascii="Calibri" w:hAnsi="Calibri"/>
                <w:color w:val="000000"/>
                <w:sz w:val="20"/>
              </w:rPr>
              <w:t>Founder &amp; CMD; 73.76% shareholder</w:t>
            </w:r>
          </w:p>
        </w:tc>
        <w:tc>
          <w:tcPr>
            <w:tcW w:type="dxa" w:w="1728"/>
          </w:tcPr>
          <w:p>
            <w:r>
              <w:rPr>
                <w:rFonts w:ascii="Calibri" w:hAnsi="Calibri"/>
                <w:color w:val="000000"/>
                <w:sz w:val="20"/>
              </w:rPr>
              <w:t>Journalism and factory background; built Popees from a Kerala factory into a multi-state babywear brand; described as a pioneer of Kerala's baby-care industry (deck; audited related-party note confirms directorship, DIN 06412983)</w:t>
            </w:r>
          </w:p>
        </w:tc>
        <w:tc>
          <w:tcPr>
            <w:tcW w:type="dxa" w:w="1728"/>
          </w:tcPr>
          <w:p>
            <w:r>
              <w:rPr>
                <w:rFonts w:ascii="Calibri" w:hAnsi="Calibri"/>
                <w:color w:val="000000"/>
                <w:sz w:val="20"/>
              </w:rPr>
              <w:t>23+ yrs (deck)</w:t>
            </w:r>
          </w:p>
        </w:tc>
        <w:tc>
          <w:tcPr>
            <w:tcW w:type="dxa" w:w="1728"/>
          </w:tcPr>
          <w:p>
            <w:r>
              <w:rPr>
                <w:rFonts w:ascii="Calibri" w:hAnsi="Calibri"/>
                <w:color w:val="000000"/>
                <w:sz w:val="20"/>
              </w:rPr>
              <w:t>Strong fit, two decades in the exact category. Flag: heavy concentration of control and a Rs 6.58 Cr company loan to the director (Sections 5-6)</w:t>
            </w:r>
          </w:p>
        </w:tc>
      </w:tr>
      <w:tr>
        <w:tc>
          <w:tcPr>
            <w:tcW w:type="dxa" w:w="1728"/>
          </w:tcPr>
          <w:p>
            <w:r>
              <w:rPr>
                <w:rFonts w:ascii="Calibri" w:hAnsi="Calibri"/>
                <w:color w:val="000000"/>
                <w:sz w:val="20"/>
              </w:rPr>
              <w:t>Linta P Jose</w:t>
            </w:r>
          </w:p>
        </w:tc>
        <w:tc>
          <w:tcPr>
            <w:tcW w:type="dxa" w:w="1728"/>
          </w:tcPr>
          <w:p>
            <w:r>
              <w:rPr>
                <w:rFonts w:ascii="Calibri" w:hAnsi="Calibri"/>
                <w:color w:val="000000"/>
                <w:sz w:val="20"/>
              </w:rPr>
              <w:t>Director; 0.77% shareholder</w:t>
            </w:r>
          </w:p>
        </w:tc>
        <w:tc>
          <w:tcPr>
            <w:tcW w:type="dxa" w:w="1728"/>
          </w:tcPr>
          <w:p>
            <w:r>
              <w:rPr>
                <w:rFonts w:ascii="Calibri" w:hAnsi="Calibri"/>
                <w:color w:val="000000"/>
                <w:sz w:val="20"/>
              </w:rPr>
              <w:t>17 years in babywear design and R&amp;D; award-winning entrepreneur; leads product innovation and brand (deck; DIN 06413031)</w:t>
            </w:r>
          </w:p>
        </w:tc>
        <w:tc>
          <w:tcPr>
            <w:tcW w:type="dxa" w:w="1728"/>
          </w:tcPr>
          <w:p>
            <w:r>
              <w:rPr>
                <w:rFonts w:ascii="Calibri" w:hAnsi="Calibri"/>
                <w:color w:val="000000"/>
                <w:sz w:val="20"/>
              </w:rPr>
              <w:t>17 yrs (deck)</w:t>
            </w:r>
          </w:p>
        </w:tc>
        <w:tc>
          <w:tcPr>
            <w:tcW w:type="dxa" w:w="1728"/>
          </w:tcPr>
          <w:p>
            <w:r>
              <w:rPr>
                <w:rFonts w:ascii="Calibri" w:hAnsi="Calibri"/>
                <w:color w:val="000000"/>
                <w:sz w:val="20"/>
              </w:rPr>
              <w:t>Strong fit, product and design depth in babywear</w:t>
            </w:r>
          </w:p>
        </w:tc>
      </w:tr>
      <w:tr>
        <w:tc>
          <w:tcPr>
            <w:tcW w:type="dxa" w:w="1728"/>
          </w:tcPr>
          <w:p>
            <w:r>
              <w:rPr>
                <w:rFonts w:ascii="Calibri" w:hAnsi="Calibri"/>
                <w:color w:val="000000"/>
                <w:sz w:val="20"/>
              </w:rPr>
              <w:t>Tiji Thomas</w:t>
            </w:r>
          </w:p>
        </w:tc>
        <w:tc>
          <w:tcPr>
            <w:tcW w:type="dxa" w:w="1728"/>
          </w:tcPr>
          <w:p>
            <w:r>
              <w:rPr>
                <w:rFonts w:ascii="Calibri" w:hAnsi="Calibri"/>
                <w:color w:val="000000"/>
                <w:sz w:val="20"/>
              </w:rPr>
              <w:t>Director</w:t>
            </w:r>
          </w:p>
        </w:tc>
        <w:tc>
          <w:tcPr>
            <w:tcW w:type="dxa" w:w="1728"/>
          </w:tcPr>
          <w:p>
            <w:r>
              <w:rPr>
                <w:rFonts w:ascii="Calibri" w:hAnsi="Calibri"/>
                <w:color w:val="000000"/>
                <w:sz w:val="20"/>
              </w:rPr>
              <w:t>Named as KMP/director in the audited related-party note; no public bio reviewed</w:t>
            </w:r>
          </w:p>
        </w:tc>
        <w:tc>
          <w:tcPr>
            <w:tcW w:type="dxa" w:w="1728"/>
          </w:tcPr>
          <w:p>
            <w:r>
              <w:rPr>
                <w:rFonts w:ascii="Calibri" w:hAnsi="Calibri"/>
                <w:color w:val="000000"/>
                <w:sz w:val="20"/>
              </w:rPr>
              <w:t>n.a.</w:t>
            </w:r>
          </w:p>
        </w:tc>
        <w:tc>
          <w:tcPr>
            <w:tcW w:type="dxa" w:w="1728"/>
          </w:tcPr>
          <w:p>
            <w:r>
              <w:rPr>
                <w:rFonts w:ascii="Calibri" w:hAnsi="Calibri"/>
                <w:color w:val="000000"/>
                <w:sz w:val="20"/>
              </w:rPr>
              <w:t>Background to be confirmed in diligence</w:t>
            </w:r>
          </w:p>
        </w:tc>
      </w:tr>
    </w:tbl>
    <w:p/>
    <w:p>
      <w:r>
        <w:rPr>
          <w:rFonts w:ascii="Calibri" w:hAnsi="Calibri"/>
          <w:color w:val="000000"/>
        </w:rPr>
        <w:t>Both principal promoters clear the relevant-experience bar for Section 2 Rule 4 comfortably. Sources: pitch deck, audited FY25 shareholding and related-party notes, group-structure sheet. LinkedIn profiles were not independently verified in this run; founder tenures are as stated in the deck and should be confirmed against public record in diligence. No adverse litigation surfaced from the documents provided; a formal promoter background and governance check is a diligence step.</w:t>
      </w:r>
    </w:p>
    <w:p>
      <w:pPr>
        <w:pBdr>
          <w:bottom w:val="single" w:sz="6" w:space="1" w:color="000000"/>
        </w:pBdr>
      </w:pPr>
    </w:p>
    <w:p>
      <w:pPr>
        <w:pStyle w:val="Heading2"/>
      </w:pPr>
      <w:r>
        <w:rPr>
          <w:rFonts w:ascii="Calibri" w:hAnsi="Calibri"/>
          <w:b/>
          <w:color w:val="000000"/>
          <w:sz w:val="24"/>
        </w:rPr>
        <w:t>Section 1 - Preliminary Rejection Check</w:t>
      </w:r>
    </w:p>
    <w:p>
      <w:r>
        <w:rPr>
          <w:rFonts w:ascii="Calibri" w:hAnsi="Calibri"/>
          <w:color w:val="000000"/>
        </w:rPr>
        <w:t>(Three rules. We reject the deal if two or more are triggered, though the full note still runs regardless.)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Rule</w:t>
            </w:r>
          </w:p>
        </w:tc>
        <w:tc>
          <w:tcPr>
            <w:tcW w:type="dxa" w:w="2880"/>
          </w:tcPr>
          <w:p>
            <w:r>
              <w:rPr>
                <w:rFonts w:ascii="Calibri" w:hAnsi="Calibri"/>
                <w:b/>
                <w:color w:val="000000"/>
                <w:sz w:val="20"/>
              </w:rPr>
              <w:t>Triggered?</w:t>
            </w:r>
          </w:p>
        </w:tc>
        <w:tc>
          <w:tcPr>
            <w:tcW w:type="dxa" w:w="2880"/>
          </w:tcPr>
          <w:p>
            <w:r>
              <w:rPr>
                <w:rFonts w:ascii="Calibri" w:hAnsi="Calibri"/>
                <w:b/>
                <w:color w:val="000000"/>
                <w:sz w:val="20"/>
              </w:rPr>
              <w:t>Finding</w:t>
            </w:r>
          </w:p>
        </w:tc>
      </w:tr>
      <w:tr>
        <w:tc>
          <w:tcPr>
            <w:tcW w:type="dxa" w:w="2880"/>
          </w:tcPr>
          <w:p>
            <w:r>
              <w:rPr>
                <w:rFonts w:ascii="Calibri" w:hAnsi="Calibri"/>
                <w:color w:val="000000"/>
                <w:sz w:val="20"/>
              </w:rPr>
              <w:t>1, Deep Technology</w:t>
            </w:r>
          </w:p>
        </w:tc>
        <w:tc>
          <w:tcPr>
            <w:tcW w:type="dxa" w:w="2880"/>
          </w:tcPr>
          <w:p>
            <w:r>
              <w:rPr>
                <w:rFonts w:ascii="Calibri" w:hAnsi="Calibri"/>
                <w:color w:val="000000"/>
                <w:sz w:val="20"/>
              </w:rPr>
              <w:t>No</w:t>
            </w:r>
          </w:p>
        </w:tc>
        <w:tc>
          <w:tcPr>
            <w:tcW w:type="dxa" w:w="2880"/>
          </w:tcPr>
          <w:p>
            <w:r>
              <w:rPr>
                <w:rFonts w:ascii="Calibri" w:hAnsi="Calibri"/>
                <w:color w:val="000000"/>
                <w:sz w:val="20"/>
              </w:rPr>
              <w:t>Vertically integrated baby garments and baby-care FMCG with ~Rs 162 Cr of predictable product revenue (FY26 provisional). No IP/research-stage product, no grant or milestone dependence.</w:t>
            </w:r>
          </w:p>
        </w:tc>
      </w:tr>
      <w:tr>
        <w:tc>
          <w:tcPr>
            <w:tcW w:type="dxa" w:w="2880"/>
          </w:tcPr>
          <w:p>
            <w:r>
              <w:rPr>
                <w:rFonts w:ascii="Calibri" w:hAnsi="Calibri"/>
                <w:color w:val="000000"/>
                <w:sz w:val="20"/>
              </w:rPr>
              <w:t>2, Government Revenue (over 30%)</w:t>
            </w:r>
          </w:p>
        </w:tc>
        <w:tc>
          <w:tcPr>
            <w:tcW w:type="dxa" w:w="2880"/>
          </w:tcPr>
          <w:p>
            <w:r>
              <w:rPr>
                <w:rFonts w:ascii="Calibri" w:hAnsi="Calibri"/>
                <w:color w:val="000000"/>
                <w:sz w:val="20"/>
              </w:rPr>
              <w:t>No</w:t>
            </w:r>
          </w:p>
        </w:tc>
        <w:tc>
          <w:tcPr>
            <w:tcW w:type="dxa" w:w="2880"/>
          </w:tcPr>
          <w:p>
            <w:r>
              <w:rPr>
                <w:rFonts w:ascii="Calibri" w:hAnsi="Calibri"/>
                <w:color w:val="000000"/>
                <w:sz w:val="20"/>
              </w:rPr>
              <w:t>Customers are private retailers, distributors, franchisees and marketplaces (BR Trading, Fashion Factory, V-Mart, Future Lifestyle, Ajio, Amazon, Meesho). No government, PSU, PSB or municipal client identified. Government revenue effectively nil.</w:t>
            </w:r>
          </w:p>
        </w:tc>
      </w:tr>
      <w:tr>
        <w:tc>
          <w:tcPr>
            <w:tcW w:type="dxa" w:w="2880"/>
          </w:tcPr>
          <w:p>
            <w:r>
              <w:rPr>
                <w:rFonts w:ascii="Calibri" w:hAnsi="Calibri"/>
                <w:color w:val="000000"/>
                <w:sz w:val="20"/>
              </w:rPr>
              <w:t>3, Negative Unit Economics (CM2 at or below 0, or CM1 below 0)</w:t>
            </w:r>
          </w:p>
        </w:tc>
        <w:tc>
          <w:tcPr>
            <w:tcW w:type="dxa" w:w="2880"/>
          </w:tcPr>
          <w:p>
            <w:r>
              <w:rPr>
                <w:rFonts w:ascii="Calibri" w:hAnsi="Calibri"/>
                <w:color w:val="000000"/>
                <w:sz w:val="20"/>
              </w:rPr>
              <w:t>No</w:t>
            </w:r>
          </w:p>
        </w:tc>
        <w:tc>
          <w:tcPr>
            <w:tcW w:type="dxa" w:w="2880"/>
          </w:tcPr>
          <w:p>
            <w:r>
              <w:rPr>
                <w:rFonts w:ascii="Calibri" w:hAnsi="Calibri"/>
                <w:color w:val="000000"/>
                <w:sz w:val="20"/>
              </w:rPr>
              <w:t>FY26 CM2 = Rs 46.86 Cr (28.9% of revenue); gross margin 33.4%, CM1 29.6%. CM1 firmly positive, so not selling below cost. MIS is annual, so a quarterly CM2 path cannot be built; the full-period margin is clearly positive.</w:t>
            </w:r>
          </w:p>
        </w:tc>
      </w:tr>
    </w:tbl>
    <w:p/>
    <w:p>
      <w:r>
        <w:rPr>
          <w:rFonts w:ascii="Calibri" w:hAnsi="Calibri"/>
          <w:color w:val="000000"/>
        </w:rPr>
        <w:t>Outcome: PASS, 0 of 3 triggered.</w:t>
      </w:r>
    </w:p>
    <w:p>
      <w:pPr>
        <w:pBdr>
          <w:bottom w:val="single" w:sz="6" w:space="1" w:color="000000"/>
        </w:pBdr>
      </w:pPr>
    </w:p>
    <w:p>
      <w:pPr>
        <w:pStyle w:val="Heading2"/>
      </w:pPr>
      <w:r>
        <w:rPr>
          <w:rFonts w:ascii="Calibri" w:hAnsi="Calibri"/>
          <w:b/>
          <w:color w:val="000000"/>
          <w:sz w:val="24"/>
        </w:rPr>
        <w:t>Section 2 - Initial Screening Criteria</w:t>
      </w:r>
    </w:p>
    <w:p>
      <w:r>
        <w:rPr>
          <w:rFonts w:ascii="Calibri" w:hAnsi="Calibri"/>
          <w:color w:val="000000"/>
        </w:rPr>
        <w:t>(Six criteria. We need at least four met. Five or six is clean, exactly four is borderline, three or fewer is a screen-out.)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w:t>
            </w:r>
          </w:p>
        </w:tc>
        <w:tc>
          <w:tcPr>
            <w:tcW w:type="dxa" w:w="2160"/>
          </w:tcPr>
          <w:p>
            <w:r>
              <w:rPr>
                <w:rFonts w:ascii="Calibri" w:hAnsi="Calibri"/>
                <w:b/>
                <w:color w:val="000000"/>
                <w:sz w:val="20"/>
              </w:rPr>
              <w:t>Criterion</w:t>
            </w:r>
          </w:p>
        </w:tc>
        <w:tc>
          <w:tcPr>
            <w:tcW w:type="dxa" w:w="2160"/>
          </w:tcPr>
          <w:p>
            <w:r>
              <w:rPr>
                <w:rFonts w:ascii="Calibri" w:hAnsi="Calibri"/>
                <w:b/>
                <w:color w:val="000000"/>
                <w:sz w:val="20"/>
              </w:rPr>
              <w:t>Met?</w:t>
            </w:r>
          </w:p>
        </w:tc>
        <w:tc>
          <w:tcPr>
            <w:tcW w:type="dxa" w:w="2160"/>
          </w:tcPr>
          <w:p>
            <w:r>
              <w:rPr>
                <w:rFonts w:ascii="Calibri" w:hAnsi="Calibri"/>
                <w:b/>
                <w:color w:val="000000"/>
                <w:sz w:val="20"/>
              </w:rPr>
              <w:t>Basis</w:t>
            </w:r>
          </w:p>
        </w:tc>
      </w:tr>
      <w:tr>
        <w:tc>
          <w:tcPr>
            <w:tcW w:type="dxa" w:w="2160"/>
          </w:tcPr>
          <w:p>
            <w:r>
              <w:rPr>
                <w:rFonts w:ascii="Calibri" w:hAnsi="Calibri"/>
                <w:color w:val="000000"/>
                <w:sz w:val="20"/>
              </w:rPr>
              <w:t>1</w:t>
            </w:r>
          </w:p>
        </w:tc>
        <w:tc>
          <w:tcPr>
            <w:tcW w:type="dxa" w:w="2160"/>
          </w:tcPr>
          <w:p>
            <w:r>
              <w:rPr>
                <w:rFonts w:ascii="Calibri" w:hAnsi="Calibri"/>
                <w:color w:val="000000"/>
                <w:sz w:val="20"/>
              </w:rPr>
              <w:t>Operating history over 2 yrs</w:t>
            </w:r>
          </w:p>
        </w:tc>
        <w:tc>
          <w:tcPr>
            <w:tcW w:type="dxa" w:w="2160"/>
          </w:tcPr>
          <w:p>
            <w:r>
              <w:rPr>
                <w:rFonts w:ascii="Calibri" w:hAnsi="Calibri"/>
                <w:color w:val="000000"/>
                <w:sz w:val="20"/>
              </w:rPr>
              <w:t>Met</w:t>
            </w:r>
          </w:p>
        </w:tc>
        <w:tc>
          <w:tcPr>
            <w:tcW w:type="dxa" w:w="2160"/>
          </w:tcPr>
          <w:p>
            <w:r>
              <w:rPr>
                <w:rFonts w:ascii="Calibri" w:hAnsi="Calibri"/>
                <w:color w:val="000000"/>
                <w:sz w:val="20"/>
              </w:rPr>
              <w:t>Brand ~20 yrs (founded 2003); entity PBCPL incorporated Jun 2016 (~10 yrs). Either basis clears 2 years.</w:t>
            </w:r>
          </w:p>
        </w:tc>
      </w:tr>
      <w:tr>
        <w:tc>
          <w:tcPr>
            <w:tcW w:type="dxa" w:w="2160"/>
          </w:tcPr>
          <w:p>
            <w:r>
              <w:rPr>
                <w:rFonts w:ascii="Calibri" w:hAnsi="Calibri"/>
                <w:color w:val="000000"/>
                <w:sz w:val="20"/>
              </w:rPr>
              <w:t>2</w:t>
            </w:r>
          </w:p>
        </w:tc>
        <w:tc>
          <w:tcPr>
            <w:tcW w:type="dxa" w:w="2160"/>
          </w:tcPr>
          <w:p>
            <w:r>
              <w:rPr>
                <w:rFonts w:ascii="Calibri" w:hAnsi="Calibri"/>
                <w:color w:val="000000"/>
                <w:sz w:val="20"/>
              </w:rPr>
              <w:t>Annualised revenue over Rs 15 Cr</w:t>
            </w:r>
          </w:p>
        </w:tc>
        <w:tc>
          <w:tcPr>
            <w:tcW w:type="dxa" w:w="2160"/>
          </w:tcPr>
          <w:p>
            <w:r>
              <w:rPr>
                <w:rFonts w:ascii="Calibri" w:hAnsi="Calibri"/>
                <w:color w:val="000000"/>
                <w:sz w:val="20"/>
              </w:rPr>
              <w:t>Met</w:t>
            </w:r>
          </w:p>
        </w:tc>
        <w:tc>
          <w:tcPr>
            <w:tcW w:type="dxa" w:w="2160"/>
          </w:tcPr>
          <w:p>
            <w:r>
              <w:rPr>
                <w:rFonts w:ascii="Calibri" w:hAnsi="Calibri"/>
                <w:color w:val="000000"/>
                <w:sz w:val="20"/>
              </w:rPr>
              <w:t>FY26 provisional revenue Rs 162.00 Cr (full 12 months, no annualisation). FY25 audited Rs 135.30 Cr, FY24 Rs 122.45 Cr. Deck reports Rs 106.44 Cr to Nov-2025, consistent with a ~Rs 160 Cr year.</w:t>
            </w:r>
          </w:p>
        </w:tc>
      </w:tr>
      <w:tr>
        <w:tc>
          <w:tcPr>
            <w:tcW w:type="dxa" w:w="2160"/>
          </w:tcPr>
          <w:p>
            <w:r>
              <w:rPr>
                <w:rFonts w:ascii="Calibri" w:hAnsi="Calibri"/>
                <w:color w:val="000000"/>
                <w:sz w:val="20"/>
              </w:rPr>
              <w:t>3</w:t>
            </w:r>
          </w:p>
        </w:tc>
        <w:tc>
          <w:tcPr>
            <w:tcW w:type="dxa" w:w="2160"/>
          </w:tcPr>
          <w:p>
            <w:r>
              <w:rPr>
                <w:rFonts w:ascii="Calibri" w:hAnsi="Calibri"/>
                <w:color w:val="000000"/>
                <w:sz w:val="20"/>
              </w:rPr>
              <w:t>D/TNW at or below 3x</w:t>
            </w:r>
          </w:p>
        </w:tc>
        <w:tc>
          <w:tcPr>
            <w:tcW w:type="dxa" w:w="2160"/>
          </w:tcPr>
          <w:p>
            <w:r>
              <w:rPr>
                <w:rFonts w:ascii="Calibri" w:hAnsi="Calibri"/>
                <w:color w:val="000000"/>
                <w:sz w:val="20"/>
              </w:rPr>
              <w:t>Met</w:t>
            </w:r>
          </w:p>
        </w:tc>
        <w:tc>
          <w:tcPr>
            <w:tcW w:type="dxa" w:w="2160"/>
          </w:tcPr>
          <w:p>
            <w:r>
              <w:rPr>
                <w:rFonts w:ascii="Calibri" w:hAnsi="Calibri"/>
                <w:color w:val="000000"/>
                <w:sz w:val="20"/>
              </w:rPr>
              <w:t>D/TNW (FY25 audited, with debtor ageing haircuts) = 0.49x (Debt Rs 29.54 Cr / TNW Rs 60.86 Cr). MIS D/E (FY26) = 0.23x (Debt Rs 23.94 Cr / Equity Rs 104.15 Cr), below the 2.5x flag. Low leverage both ways. See Annexure A.</w:t>
            </w:r>
          </w:p>
        </w:tc>
      </w:tr>
      <w:tr>
        <w:tc>
          <w:tcPr>
            <w:tcW w:type="dxa" w:w="2160"/>
          </w:tcPr>
          <w:p>
            <w:r>
              <w:rPr>
                <w:rFonts w:ascii="Calibri" w:hAnsi="Calibri"/>
                <w:color w:val="000000"/>
                <w:sz w:val="20"/>
              </w:rPr>
              <w:t>4</w:t>
            </w:r>
          </w:p>
        </w:tc>
        <w:tc>
          <w:tcPr>
            <w:tcW w:type="dxa" w:w="2160"/>
          </w:tcPr>
          <w:p>
            <w:r>
              <w:rPr>
                <w:rFonts w:ascii="Calibri" w:hAnsi="Calibri"/>
                <w:color w:val="000000"/>
                <w:sz w:val="20"/>
              </w:rPr>
              <w:t>Promoter experience over 4 yrs</w:t>
            </w:r>
          </w:p>
        </w:tc>
        <w:tc>
          <w:tcPr>
            <w:tcW w:type="dxa" w:w="2160"/>
          </w:tcPr>
          <w:p>
            <w:r>
              <w:rPr>
                <w:rFonts w:ascii="Calibri" w:hAnsi="Calibri"/>
                <w:color w:val="000000"/>
                <w:sz w:val="20"/>
              </w:rPr>
              <w:t>Met</w:t>
            </w:r>
          </w:p>
        </w:tc>
        <w:tc>
          <w:tcPr>
            <w:tcW w:type="dxa" w:w="2160"/>
          </w:tcPr>
          <w:p>
            <w:r>
              <w:rPr>
                <w:rFonts w:ascii="Calibri" w:hAnsi="Calibri"/>
                <w:color w:val="000000"/>
                <w:sz w:val="20"/>
              </w:rPr>
              <w:t>Shaju Thomas 23+ yrs, Linta P Jose 17 yrs, both in babywear (Section 0).</w:t>
            </w:r>
          </w:p>
        </w:tc>
      </w:tr>
      <w:tr>
        <w:tc>
          <w:tcPr>
            <w:tcW w:type="dxa" w:w="2160"/>
          </w:tcPr>
          <w:p>
            <w:r>
              <w:rPr>
                <w:rFonts w:ascii="Calibri" w:hAnsi="Calibri"/>
                <w:color w:val="000000"/>
                <w:sz w:val="20"/>
              </w:rPr>
              <w:t>5</w:t>
            </w:r>
          </w:p>
        </w:tc>
        <w:tc>
          <w:tcPr>
            <w:tcW w:type="dxa" w:w="2160"/>
          </w:tcPr>
          <w:p>
            <w:r>
              <w:rPr>
                <w:rFonts w:ascii="Calibri" w:hAnsi="Calibri"/>
                <w:color w:val="000000"/>
                <w:sz w:val="20"/>
              </w:rPr>
              <w:t>Debtors over 180 days below 10% of revenue</w:t>
            </w:r>
          </w:p>
        </w:tc>
        <w:tc>
          <w:tcPr>
            <w:tcW w:type="dxa" w:w="2160"/>
          </w:tcPr>
          <w:p>
            <w:r>
              <w:rPr>
                <w:rFonts w:ascii="Calibri" w:hAnsi="Calibri"/>
                <w:color w:val="000000"/>
                <w:sz w:val="20"/>
              </w:rPr>
              <w:t>Not met</w:t>
            </w:r>
          </w:p>
        </w:tc>
        <w:tc>
          <w:tcPr>
            <w:tcW w:type="dxa" w:w="2160"/>
          </w:tcPr>
          <w:p>
            <w:r>
              <w:rPr>
                <w:rFonts w:ascii="Calibri" w:hAnsi="Calibri"/>
                <w:color w:val="000000"/>
                <w:sz w:val="20"/>
              </w:rPr>
              <w:t>Debtors &gt;180 days = Rs 18.94 Cr (31-Mar-2026 ageing) = 11.69% of FY26 revenue, above the 10% ceiling. FY25 audited basis gives 11.55% - a consistent breach. See Annexure B.</w:t>
            </w:r>
          </w:p>
        </w:tc>
      </w:tr>
      <w:tr>
        <w:tc>
          <w:tcPr>
            <w:tcW w:type="dxa" w:w="2160"/>
          </w:tcPr>
          <w:p>
            <w:r>
              <w:rPr>
                <w:rFonts w:ascii="Calibri" w:hAnsi="Calibri"/>
                <w:color w:val="000000"/>
                <w:sz w:val="20"/>
              </w:rPr>
              <w:t>6</w:t>
            </w:r>
          </w:p>
        </w:tc>
        <w:tc>
          <w:tcPr>
            <w:tcW w:type="dxa" w:w="2160"/>
          </w:tcPr>
          <w:p>
            <w:r>
              <w:rPr>
                <w:rFonts w:ascii="Calibri" w:hAnsi="Calibri"/>
                <w:color w:val="000000"/>
                <w:sz w:val="20"/>
              </w:rPr>
              <w:t>Operating-profitable or runway over 6 mo</w:t>
            </w:r>
          </w:p>
        </w:tc>
        <w:tc>
          <w:tcPr>
            <w:tcW w:type="dxa" w:w="2160"/>
          </w:tcPr>
          <w:p>
            <w:r>
              <w:rPr>
                <w:rFonts w:ascii="Calibri" w:hAnsi="Calibri"/>
                <w:color w:val="000000"/>
                <w:sz w:val="20"/>
              </w:rPr>
              <w:t>Not met</w:t>
            </w:r>
          </w:p>
        </w:tc>
        <w:tc>
          <w:tcPr>
            <w:tcW w:type="dxa" w:w="2160"/>
          </w:tcPr>
          <w:p>
            <w:r>
              <w:rPr>
                <w:rFonts w:ascii="Calibri" w:hAnsi="Calibri"/>
                <w:color w:val="000000"/>
                <w:sz w:val="20"/>
              </w:rPr>
              <w:t>Headline OCF is positive (FY26 +Rs 6.56 Cr), but after capex (Rs 3.22 Cr) and interest (Rs 4.96 Cr) period cash generation is -Rs 1.61 Cr; base-case runway ~4.6 months on Rs 0.61 Cr of cash, below the 6-month floor. The shortfall is largely a Rs 4.5 Cr rise in the loan to the director plus growth capex, not pure operating burn. See Annexure C.</w:t>
            </w:r>
          </w:p>
        </w:tc>
      </w:tr>
    </w:tbl>
    <w:p/>
    <w:p>
      <w:r>
        <w:rPr>
          <w:rFonts w:ascii="Calibri" w:hAnsi="Calibri"/>
          <w:color w:val="000000"/>
        </w:rPr>
        <w:t>Outcome: 4 of 6 met, PASS (borderline).</w:t>
      </w:r>
    </w:p>
    <w:p>
      <w:r>
        <w:rPr>
          <w:rFonts w:ascii="Calibri" w:hAnsi="Calibri"/>
          <w:color w:val="000000"/>
        </w:rPr>
        <w:t>Flags: exactly four met, so this is a borderline pass. The two misses - receivables over 180 days (~11.7%) and a thin sub-6-month base-case runway - are precisely where a venture-debt lender carries the most risk, so they drive the conditions in our recommendation. The single largest receivable, BR Trading Manjeri, is Rs 16.73 Cr, 39% of the book, though it sits entirely within 180 days. The D/TNW criterion is a clean, comfortable pass. We continue the analysis below; the borderline result is reflected in our recommendation.</w:t>
      </w:r>
    </w:p>
    <w:p>
      <w:r>
        <w:rPr>
          <w:rFonts w:ascii="Calibri" w:hAnsi="Calibri"/>
          <w:color w:val="000000"/>
        </w:rPr>
        <w:t>The D/TNW that drives criterion 3 is built up in full in Annexure A. The working below summarises it.</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0"/>
              </w:rPr>
              <w:t>Adjusted Tangible Net Worth build (FY25 audited)</w:t>
            </w:r>
          </w:p>
        </w:tc>
        <w:tc>
          <w:tcPr>
            <w:tcW w:type="dxa" w:w="4320"/>
          </w:tcPr>
          <w:p>
            <w:r>
              <w:rPr>
                <w:rFonts w:ascii="Calibri" w:hAnsi="Calibri"/>
                <w:b/>
                <w:color w:val="000000"/>
                <w:sz w:val="20"/>
              </w:rPr>
              <w:t>Rs Cr</w:t>
            </w:r>
          </w:p>
        </w:tc>
      </w:tr>
      <w:tr>
        <w:tc>
          <w:tcPr>
            <w:tcW w:type="dxa" w:w="4320"/>
          </w:tcPr>
          <w:p>
            <w:r>
              <w:rPr>
                <w:rFonts w:ascii="Calibri" w:hAnsi="Calibri"/>
                <w:color w:val="000000"/>
                <w:sz w:val="20"/>
              </w:rPr>
              <w:t>Equity plus Reserves and Surplus</w:t>
            </w:r>
          </w:p>
        </w:tc>
        <w:tc>
          <w:tcPr>
            <w:tcW w:type="dxa" w:w="4320"/>
          </w:tcPr>
          <w:p>
            <w:r>
              <w:rPr>
                <w:rFonts w:ascii="Calibri" w:hAnsi="Calibri"/>
                <w:color w:val="000000"/>
                <w:sz w:val="20"/>
              </w:rPr>
              <w:t>78.71</w:t>
            </w:r>
          </w:p>
        </w:tc>
      </w:tr>
      <w:tr>
        <w:tc>
          <w:tcPr>
            <w:tcW w:type="dxa" w:w="4320"/>
          </w:tcPr>
          <w:p>
            <w:r>
              <w:rPr>
                <w:rFonts w:ascii="Calibri" w:hAnsi="Calibri"/>
                <w:color w:val="000000"/>
                <w:sz w:val="20"/>
              </w:rPr>
              <w:t>(+) CCDs / quasi-equity</w:t>
            </w:r>
          </w:p>
        </w:tc>
        <w:tc>
          <w:tcPr>
            <w:tcW w:type="dxa" w:w="4320"/>
          </w:tcPr>
          <w:p>
            <w:r>
              <w:rPr>
                <w:rFonts w:ascii="Calibri" w:hAnsi="Calibri"/>
                <w:color w:val="000000"/>
                <w:sz w:val="20"/>
              </w:rPr>
              <w:t>0.00</w:t>
            </w:r>
          </w:p>
        </w:tc>
      </w:tr>
      <w:tr>
        <w:tc>
          <w:tcPr>
            <w:tcW w:type="dxa" w:w="4320"/>
          </w:tcPr>
          <w:p>
            <w:r>
              <w:rPr>
                <w:rFonts w:ascii="Calibri" w:hAnsi="Calibri"/>
                <w:color w:val="000000"/>
                <w:sz w:val="20"/>
              </w:rPr>
              <w:t>(-) Intangibles (incl. Goodwill 4.28), DTA</w:t>
            </w:r>
          </w:p>
        </w:tc>
        <w:tc>
          <w:tcPr>
            <w:tcW w:type="dxa" w:w="4320"/>
          </w:tcPr>
          <w:p>
            <w:r>
              <w:rPr>
                <w:rFonts w:ascii="Calibri" w:hAnsi="Calibri"/>
                <w:color w:val="000000"/>
                <w:sz w:val="20"/>
              </w:rPr>
              <w:t>(5.04)</w:t>
            </w:r>
          </w:p>
        </w:tc>
      </w:tr>
      <w:tr>
        <w:tc>
          <w:tcPr>
            <w:tcW w:type="dxa" w:w="4320"/>
          </w:tcPr>
          <w:p>
            <w:r>
              <w:rPr>
                <w:rFonts w:ascii="Calibri" w:hAnsi="Calibri"/>
                <w:color w:val="000000"/>
                <w:sz w:val="20"/>
              </w:rPr>
              <w:t>(-) Debtor ageing haircuts (180 to 365d at 75%, over 365d at 100%)</w:t>
            </w:r>
          </w:p>
        </w:tc>
        <w:tc>
          <w:tcPr>
            <w:tcW w:type="dxa" w:w="4320"/>
          </w:tcPr>
          <w:p>
            <w:r>
              <w:rPr>
                <w:rFonts w:ascii="Calibri" w:hAnsi="Calibri"/>
                <w:color w:val="000000"/>
                <w:sz w:val="20"/>
              </w:rPr>
              <w:t>(12.81)</w:t>
            </w:r>
          </w:p>
        </w:tc>
      </w:tr>
      <w:tr>
        <w:tc>
          <w:tcPr>
            <w:tcW w:type="dxa" w:w="4320"/>
          </w:tcPr>
          <w:p>
            <w:r>
              <w:rPr>
                <w:rFonts w:ascii="Calibri" w:hAnsi="Calibri"/>
                <w:color w:val="000000"/>
                <w:sz w:val="20"/>
              </w:rPr>
              <w:t>Adjusted Tangible Net Worth</w:t>
            </w:r>
          </w:p>
        </w:tc>
        <w:tc>
          <w:tcPr>
            <w:tcW w:type="dxa" w:w="4320"/>
          </w:tcPr>
          <w:p>
            <w:r>
              <w:rPr>
                <w:rFonts w:ascii="Calibri" w:hAnsi="Calibri"/>
                <w:color w:val="000000"/>
                <w:sz w:val="20"/>
              </w:rPr>
              <w:t>60.86</w:t>
            </w:r>
          </w:p>
        </w:tc>
      </w:tr>
      <w:tr>
        <w:tc>
          <w:tcPr>
            <w:tcW w:type="dxa" w:w="4320"/>
          </w:tcPr>
          <w:p>
            <w:r>
              <w:rPr>
                <w:rFonts w:ascii="Calibri" w:hAnsi="Calibri"/>
                <w:color w:val="000000"/>
                <w:sz w:val="20"/>
              </w:rPr>
              <w:t>Total existing debt (excl. CCDs, Nandan's proposed debt excluded)</w:t>
            </w:r>
          </w:p>
        </w:tc>
        <w:tc>
          <w:tcPr>
            <w:tcW w:type="dxa" w:w="4320"/>
          </w:tcPr>
          <w:p>
            <w:r>
              <w:rPr>
                <w:rFonts w:ascii="Calibri" w:hAnsi="Calibri"/>
                <w:color w:val="000000"/>
                <w:sz w:val="20"/>
              </w:rPr>
              <w:t>29.54</w:t>
            </w:r>
          </w:p>
        </w:tc>
      </w:tr>
      <w:tr>
        <w:tc>
          <w:tcPr>
            <w:tcW w:type="dxa" w:w="4320"/>
          </w:tcPr>
          <w:p>
            <w:r>
              <w:rPr>
                <w:rFonts w:ascii="Calibri" w:hAnsi="Calibri"/>
                <w:color w:val="000000"/>
                <w:sz w:val="20"/>
              </w:rPr>
              <w:t>D / TNW</w:t>
            </w:r>
          </w:p>
        </w:tc>
        <w:tc>
          <w:tcPr>
            <w:tcW w:type="dxa" w:w="4320"/>
          </w:tcPr>
          <w:p>
            <w:r>
              <w:rPr>
                <w:rFonts w:ascii="Calibri" w:hAnsi="Calibri"/>
                <w:color w:val="000000"/>
                <w:sz w:val="20"/>
              </w:rPr>
              <w:t>0.49x</w:t>
            </w:r>
          </w:p>
        </w:tc>
      </w:tr>
    </w:tbl>
    <w:p/>
    <w:p>
      <w:pPr>
        <w:pBdr>
          <w:bottom w:val="single" w:sz="6" w:space="1" w:color="000000"/>
        </w:pBdr>
      </w:pPr>
    </w:p>
    <w:p>
      <w:pPr>
        <w:pStyle w:val="Heading2"/>
      </w:pPr>
      <w:r>
        <w:rPr>
          <w:rFonts w:ascii="Calibri" w:hAnsi="Calibri"/>
          <w:b/>
          <w:color w:val="000000"/>
          <w:sz w:val="24"/>
        </w:rPr>
        <w:t>Section 3 - Cash Flow Analysis</w:t>
      </w:r>
    </w:p>
    <w:p>
      <w:r>
        <w:rPr>
          <w:rFonts w:ascii="Calibri" w:hAnsi="Calibri"/>
          <w:color w:val="000000"/>
        </w:rPr>
        <w:t>For a debt fund, repayment comes from cash. The question is whether the business throws off enough real cash to service (ICR) and retire (Debt to FCF) its borrowings without leaning on refinancing. OCF below is stated before interest, on the actual cash flow statements.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Metric</w:t>
            </w:r>
          </w:p>
        </w:tc>
        <w:tc>
          <w:tcPr>
            <w:tcW w:type="dxa" w:w="1440"/>
          </w:tcPr>
          <w:p>
            <w:r>
              <w:rPr>
                <w:rFonts w:ascii="Calibri" w:hAnsi="Calibri"/>
                <w:b/>
                <w:color w:val="000000"/>
                <w:sz w:val="20"/>
              </w:rPr>
              <w:t>FY24</w:t>
            </w:r>
          </w:p>
        </w:tc>
        <w:tc>
          <w:tcPr>
            <w:tcW w:type="dxa" w:w="1440"/>
          </w:tcPr>
          <w:p>
            <w:r>
              <w:rPr>
                <w:rFonts w:ascii="Calibri" w:hAnsi="Calibri"/>
                <w:b/>
                <w:color w:val="000000"/>
                <w:sz w:val="20"/>
              </w:rPr>
              <w:t>FY25</w:t>
            </w:r>
          </w:p>
        </w:tc>
        <w:tc>
          <w:tcPr>
            <w:tcW w:type="dxa" w:w="1440"/>
          </w:tcPr>
          <w:p>
            <w:r>
              <w:rPr>
                <w:rFonts w:ascii="Calibri" w:hAnsi="Calibri"/>
                <w:b/>
                <w:color w:val="000000"/>
                <w:sz w:val="20"/>
              </w:rPr>
              <w:t>FY26 (prov)</w:t>
            </w:r>
          </w:p>
        </w:tc>
        <w:tc>
          <w:tcPr>
            <w:tcW w:type="dxa" w:w="1440"/>
          </w:tcPr>
          <w:p>
            <w:r>
              <w:rPr>
                <w:rFonts w:ascii="Calibri" w:hAnsi="Calibri"/>
                <w:b/>
                <w:color w:val="000000"/>
                <w:sz w:val="20"/>
              </w:rPr>
              <w:t>Threshold</w:t>
            </w:r>
          </w:p>
        </w:tc>
        <w:tc>
          <w:tcPr>
            <w:tcW w:type="dxa" w:w="1440"/>
          </w:tcPr>
          <w:p>
            <w:r>
              <w:rPr>
                <w:rFonts w:ascii="Calibri" w:hAnsi="Calibri"/>
                <w:b/>
                <w:color w:val="000000"/>
                <w:sz w:val="20"/>
              </w:rPr>
              <w:t>Flag</w:t>
            </w:r>
          </w:p>
        </w:tc>
      </w:tr>
      <w:tr>
        <w:tc>
          <w:tcPr>
            <w:tcW w:type="dxa" w:w="1440"/>
          </w:tcPr>
          <w:p>
            <w:r>
              <w:rPr>
                <w:rFonts w:ascii="Calibri" w:hAnsi="Calibri"/>
                <w:color w:val="000000"/>
                <w:sz w:val="20"/>
              </w:rPr>
              <w:t>OCF (Rs Cr)</w:t>
            </w:r>
          </w:p>
        </w:tc>
        <w:tc>
          <w:tcPr>
            <w:tcW w:type="dxa" w:w="1440"/>
          </w:tcPr>
          <w:p>
            <w:r>
              <w:rPr>
                <w:rFonts w:ascii="Calibri" w:hAnsi="Calibri"/>
                <w:color w:val="000000"/>
                <w:sz w:val="20"/>
              </w:rPr>
              <w:t>6.49</w:t>
            </w:r>
          </w:p>
        </w:tc>
        <w:tc>
          <w:tcPr>
            <w:tcW w:type="dxa" w:w="1440"/>
          </w:tcPr>
          <w:p>
            <w:r>
              <w:rPr>
                <w:rFonts w:ascii="Calibri" w:hAnsi="Calibri"/>
                <w:color w:val="000000"/>
                <w:sz w:val="20"/>
              </w:rPr>
              <w:t>(39.74)</w:t>
            </w:r>
          </w:p>
        </w:tc>
        <w:tc>
          <w:tcPr>
            <w:tcW w:type="dxa" w:w="1440"/>
          </w:tcPr>
          <w:p>
            <w:r>
              <w:rPr>
                <w:rFonts w:ascii="Calibri" w:hAnsi="Calibri"/>
                <w:color w:val="000000"/>
                <w:sz w:val="20"/>
              </w:rPr>
              <w:t>6.56</w:t>
            </w:r>
          </w:p>
        </w:tc>
        <w:tc>
          <w:tcPr>
            <w:tcW w:type="dxa" w:w="1440"/>
          </w:tcPr>
          <w:p>
            <w:r>
              <w:rPr>
                <w:rFonts w:ascii="Calibri" w:hAnsi="Calibri"/>
                <w:color w:val="000000"/>
                <w:sz w:val="20"/>
              </w:rPr>
              <w:t>n.a.</w:t>
            </w:r>
          </w:p>
        </w:tc>
        <w:tc>
          <w:tcPr>
            <w:tcW w:type="dxa" w:w="1440"/>
          </w:tcPr>
          <w:p>
            <w:r>
              <w:rPr>
                <w:rFonts w:ascii="Calibri" w:hAnsi="Calibri"/>
                <w:color w:val="000000"/>
                <w:sz w:val="20"/>
              </w:rPr>
              <w:t>FY25 deeply negative</w:t>
            </w:r>
          </w:p>
        </w:tc>
      </w:tr>
      <w:tr>
        <w:tc>
          <w:tcPr>
            <w:tcW w:type="dxa" w:w="1440"/>
          </w:tcPr>
          <w:p>
            <w:r>
              <w:rPr>
                <w:rFonts w:ascii="Calibri" w:hAnsi="Calibri"/>
                <w:color w:val="000000"/>
                <w:sz w:val="20"/>
              </w:rPr>
              <w:t>Capex (Rs Cr)</w:t>
            </w:r>
          </w:p>
        </w:tc>
        <w:tc>
          <w:tcPr>
            <w:tcW w:type="dxa" w:w="1440"/>
          </w:tcPr>
          <w:p>
            <w:r>
              <w:rPr>
                <w:rFonts w:ascii="Calibri" w:hAnsi="Calibri"/>
                <w:color w:val="000000"/>
                <w:sz w:val="20"/>
              </w:rPr>
              <w:t>(0.47)</w:t>
            </w:r>
          </w:p>
        </w:tc>
        <w:tc>
          <w:tcPr>
            <w:tcW w:type="dxa" w:w="1440"/>
          </w:tcPr>
          <w:p>
            <w:r>
              <w:rPr>
                <w:rFonts w:ascii="Calibri" w:hAnsi="Calibri"/>
                <w:color w:val="000000"/>
                <w:sz w:val="20"/>
              </w:rPr>
              <w:t>(0.09)</w:t>
            </w:r>
          </w:p>
        </w:tc>
        <w:tc>
          <w:tcPr>
            <w:tcW w:type="dxa" w:w="1440"/>
          </w:tcPr>
          <w:p>
            <w:r>
              <w:rPr>
                <w:rFonts w:ascii="Calibri" w:hAnsi="Calibri"/>
                <w:color w:val="000000"/>
                <w:sz w:val="20"/>
              </w:rPr>
              <w:t>(3.22)</w:t>
            </w:r>
          </w:p>
        </w:tc>
        <w:tc>
          <w:tcPr>
            <w:tcW w:type="dxa" w:w="1440"/>
          </w:tcPr>
          <w:p>
            <w:r>
              <w:rPr>
                <w:rFonts w:ascii="Calibri" w:hAnsi="Calibri"/>
                <w:color w:val="000000"/>
                <w:sz w:val="20"/>
              </w:rPr>
              <w:t>n.a.</w:t>
            </w:r>
          </w:p>
        </w:tc>
        <w:tc>
          <w:tcPr>
            <w:tcW w:type="dxa" w:w="1440"/>
          </w:tcPr>
          <w:p/>
        </w:tc>
      </w:tr>
      <w:tr>
        <w:tc>
          <w:tcPr>
            <w:tcW w:type="dxa" w:w="1440"/>
          </w:tcPr>
          <w:p>
            <w:r>
              <w:rPr>
                <w:rFonts w:ascii="Calibri" w:hAnsi="Calibri"/>
                <w:color w:val="000000"/>
                <w:sz w:val="20"/>
              </w:rPr>
              <w:t>FCF (Rs Cr)</w:t>
            </w:r>
          </w:p>
        </w:tc>
        <w:tc>
          <w:tcPr>
            <w:tcW w:type="dxa" w:w="1440"/>
          </w:tcPr>
          <w:p>
            <w:r>
              <w:rPr>
                <w:rFonts w:ascii="Calibri" w:hAnsi="Calibri"/>
                <w:color w:val="000000"/>
                <w:sz w:val="20"/>
              </w:rPr>
              <w:t>6.01</w:t>
            </w:r>
          </w:p>
        </w:tc>
        <w:tc>
          <w:tcPr>
            <w:tcW w:type="dxa" w:w="1440"/>
          </w:tcPr>
          <w:p>
            <w:r>
              <w:rPr>
                <w:rFonts w:ascii="Calibri" w:hAnsi="Calibri"/>
                <w:color w:val="000000"/>
                <w:sz w:val="20"/>
              </w:rPr>
              <w:t>(39.83)</w:t>
            </w:r>
          </w:p>
        </w:tc>
        <w:tc>
          <w:tcPr>
            <w:tcW w:type="dxa" w:w="1440"/>
          </w:tcPr>
          <w:p>
            <w:r>
              <w:rPr>
                <w:rFonts w:ascii="Calibri" w:hAnsi="Calibri"/>
                <w:color w:val="000000"/>
                <w:sz w:val="20"/>
              </w:rPr>
              <w:t>3.35</w:t>
            </w:r>
          </w:p>
        </w:tc>
        <w:tc>
          <w:tcPr>
            <w:tcW w:type="dxa" w:w="1440"/>
          </w:tcPr>
          <w:p>
            <w:r>
              <w:rPr>
                <w:rFonts w:ascii="Calibri" w:hAnsi="Calibri"/>
                <w:color w:val="000000"/>
                <w:sz w:val="20"/>
              </w:rPr>
              <w:t>over 0</w:t>
            </w:r>
          </w:p>
        </w:tc>
        <w:tc>
          <w:tcPr>
            <w:tcW w:type="dxa" w:w="1440"/>
          </w:tcPr>
          <w:p>
            <w:r>
              <w:rPr>
                <w:rFonts w:ascii="Calibri" w:hAnsi="Calibri"/>
                <w:color w:val="000000"/>
                <w:sz w:val="20"/>
              </w:rPr>
              <w:t>FY25 negative</w:t>
            </w:r>
          </w:p>
        </w:tc>
      </w:tr>
      <w:tr>
        <w:tc>
          <w:tcPr>
            <w:tcW w:type="dxa" w:w="1440"/>
          </w:tcPr>
          <w:p>
            <w:r>
              <w:rPr>
                <w:rFonts w:ascii="Calibri" w:hAnsi="Calibri"/>
                <w:color w:val="000000"/>
                <w:sz w:val="20"/>
              </w:rPr>
              <w:t>Total Debt (Rs Cr)</w:t>
            </w:r>
          </w:p>
        </w:tc>
        <w:tc>
          <w:tcPr>
            <w:tcW w:type="dxa" w:w="1440"/>
          </w:tcPr>
          <w:p>
            <w:r>
              <w:rPr>
                <w:rFonts w:ascii="Calibri" w:hAnsi="Calibri"/>
                <w:color w:val="000000"/>
                <w:sz w:val="20"/>
              </w:rPr>
              <w:t>38.09</w:t>
            </w:r>
          </w:p>
        </w:tc>
        <w:tc>
          <w:tcPr>
            <w:tcW w:type="dxa" w:w="1440"/>
          </w:tcPr>
          <w:p>
            <w:r>
              <w:rPr>
                <w:rFonts w:ascii="Calibri" w:hAnsi="Calibri"/>
                <w:color w:val="000000"/>
                <w:sz w:val="20"/>
              </w:rPr>
              <w:t>29.54</w:t>
            </w:r>
          </w:p>
        </w:tc>
        <w:tc>
          <w:tcPr>
            <w:tcW w:type="dxa" w:w="1440"/>
          </w:tcPr>
          <w:p>
            <w:r>
              <w:rPr>
                <w:rFonts w:ascii="Calibri" w:hAnsi="Calibri"/>
                <w:color w:val="000000"/>
                <w:sz w:val="20"/>
              </w:rPr>
              <w:t>23.94</w:t>
            </w:r>
          </w:p>
        </w:tc>
        <w:tc>
          <w:tcPr>
            <w:tcW w:type="dxa" w:w="1440"/>
          </w:tcPr>
          <w:p>
            <w:r>
              <w:rPr>
                <w:rFonts w:ascii="Calibri" w:hAnsi="Calibri"/>
                <w:color w:val="000000"/>
                <w:sz w:val="20"/>
              </w:rPr>
              <w:t>n.a.</w:t>
            </w:r>
          </w:p>
        </w:tc>
        <w:tc>
          <w:tcPr>
            <w:tcW w:type="dxa" w:w="1440"/>
          </w:tcPr>
          <w:p>
            <w:r>
              <w:rPr>
                <w:rFonts w:ascii="Calibri" w:hAnsi="Calibri"/>
                <w:color w:val="000000"/>
                <w:sz w:val="20"/>
              </w:rPr>
              <w:t>Falling - good</w:t>
            </w:r>
          </w:p>
        </w:tc>
      </w:tr>
      <w:tr>
        <w:tc>
          <w:tcPr>
            <w:tcW w:type="dxa" w:w="1440"/>
          </w:tcPr>
          <w:p>
            <w:r>
              <w:rPr>
                <w:rFonts w:ascii="Calibri" w:hAnsi="Calibri"/>
                <w:color w:val="000000"/>
                <w:sz w:val="20"/>
              </w:rPr>
              <w:t>Debt / FCF</w:t>
            </w:r>
          </w:p>
        </w:tc>
        <w:tc>
          <w:tcPr>
            <w:tcW w:type="dxa" w:w="1440"/>
          </w:tcPr>
          <w:p>
            <w:r>
              <w:rPr>
                <w:rFonts w:ascii="Calibri" w:hAnsi="Calibri"/>
                <w:color w:val="000000"/>
                <w:sz w:val="20"/>
              </w:rPr>
              <w:t>6.34x</w:t>
            </w:r>
          </w:p>
        </w:tc>
        <w:tc>
          <w:tcPr>
            <w:tcW w:type="dxa" w:w="1440"/>
          </w:tcPr>
          <w:p>
            <w:r>
              <w:rPr>
                <w:rFonts w:ascii="Calibri" w:hAnsi="Calibri"/>
                <w:color w:val="000000"/>
                <w:sz w:val="20"/>
              </w:rPr>
              <w:t>n.m.</w:t>
            </w:r>
          </w:p>
        </w:tc>
        <w:tc>
          <w:tcPr>
            <w:tcW w:type="dxa" w:w="1440"/>
          </w:tcPr>
          <w:p>
            <w:r>
              <w:rPr>
                <w:rFonts w:ascii="Calibri" w:hAnsi="Calibri"/>
                <w:color w:val="000000"/>
                <w:sz w:val="20"/>
              </w:rPr>
              <w:t>7.15x</w:t>
            </w:r>
          </w:p>
        </w:tc>
        <w:tc>
          <w:tcPr>
            <w:tcW w:type="dxa" w:w="1440"/>
          </w:tcPr>
          <w:p>
            <w:r>
              <w:rPr>
                <w:rFonts w:ascii="Calibri" w:hAnsi="Calibri"/>
                <w:color w:val="000000"/>
                <w:sz w:val="20"/>
              </w:rPr>
              <w:t>6x or below</w:t>
            </w:r>
          </w:p>
        </w:tc>
        <w:tc>
          <w:tcPr>
            <w:tcW w:type="dxa" w:w="1440"/>
          </w:tcPr>
          <w:p>
            <w:r>
              <w:rPr>
                <w:rFonts w:ascii="Calibri" w:hAnsi="Calibri"/>
                <w:color w:val="000000"/>
                <w:sz w:val="20"/>
              </w:rPr>
              <w:t>Flag - above 6x; FY25 not meaningful (FCF negative)</w:t>
            </w:r>
          </w:p>
        </w:tc>
      </w:tr>
      <w:tr>
        <w:tc>
          <w:tcPr>
            <w:tcW w:type="dxa" w:w="1440"/>
          </w:tcPr>
          <w:p>
            <w:r>
              <w:rPr>
                <w:rFonts w:ascii="Calibri" w:hAnsi="Calibri"/>
                <w:color w:val="000000"/>
                <w:sz w:val="20"/>
              </w:rPr>
              <w:t>ICR, cash basis (FCF / Interest)</w:t>
            </w:r>
          </w:p>
        </w:tc>
        <w:tc>
          <w:tcPr>
            <w:tcW w:type="dxa" w:w="1440"/>
          </w:tcPr>
          <w:p>
            <w:r>
              <w:rPr>
                <w:rFonts w:ascii="Calibri" w:hAnsi="Calibri"/>
                <w:color w:val="000000"/>
                <w:sz w:val="20"/>
              </w:rPr>
              <w:t>0.85x</w:t>
            </w:r>
          </w:p>
        </w:tc>
        <w:tc>
          <w:tcPr>
            <w:tcW w:type="dxa" w:w="1440"/>
          </w:tcPr>
          <w:p>
            <w:r>
              <w:rPr>
                <w:rFonts w:ascii="Calibri" w:hAnsi="Calibri"/>
                <w:color w:val="000000"/>
                <w:sz w:val="20"/>
              </w:rPr>
              <w:t>(6.31x)</w:t>
            </w:r>
          </w:p>
        </w:tc>
        <w:tc>
          <w:tcPr>
            <w:tcW w:type="dxa" w:w="1440"/>
          </w:tcPr>
          <w:p>
            <w:r>
              <w:rPr>
                <w:rFonts w:ascii="Calibri" w:hAnsi="Calibri"/>
                <w:color w:val="000000"/>
                <w:sz w:val="20"/>
              </w:rPr>
              <w:t>0.68x</w:t>
            </w:r>
          </w:p>
        </w:tc>
        <w:tc>
          <w:tcPr>
            <w:tcW w:type="dxa" w:w="1440"/>
          </w:tcPr>
          <w:p>
            <w:r>
              <w:rPr>
                <w:rFonts w:ascii="Calibri" w:hAnsi="Calibri"/>
                <w:color w:val="000000"/>
                <w:sz w:val="20"/>
              </w:rPr>
              <w:t>1x or above</w:t>
            </w:r>
          </w:p>
        </w:tc>
        <w:tc>
          <w:tcPr>
            <w:tcW w:type="dxa" w:w="1440"/>
          </w:tcPr>
          <w:p>
            <w:r>
              <w:rPr>
                <w:rFonts w:ascii="Calibri" w:hAnsi="Calibri"/>
                <w:color w:val="000000"/>
                <w:sz w:val="20"/>
              </w:rPr>
              <w:t>Flag - below 1x every year</w:t>
            </w:r>
          </w:p>
        </w:tc>
      </w:tr>
    </w:tbl>
    <w:p/>
    <w:p>
      <w:r>
        <w:rPr>
          <w:rFonts w:ascii="Calibri" w:hAnsi="Calibri"/>
          <w:color w:val="000000"/>
        </w:rPr>
        <w:t>Our read: this is the central weakness. Popees is profitable on the P&amp;L and is steadily de-levering (debt Rs 38.1 Cr to Rs 29.5 Cr to Rs 23.9 Cr), but it does not generate enough free cash to cover its own interest in cash terms - cash ICR is below 1x in all three years, and Debt/FCF sits above the 6x comfort line whenever FCF is positive. The cause is working capital. FY25 operations consumed Rs 39.7 Cr of cash (an inventory build plus a Rs 36 Cr jump in advances to suppliers), funded almost entirely by a ~Rs 54 Cr equity raise. FY26 swings back to +Rs 6.6 Cr OCF as some advances unwind, but after Rs 3.2 Cr of store capex the free cash left (Rs 3.35 Cr) still does not fully cover Rs 4.96 Cr of interest. So debt today is serviced out of fresh equity, the unwinding of working capital, and rolling bank limits rather than out of durable free cash flow. For our facility this is the thing to structure around: cash conversion has to improve for the business to self-fund debt service. (DSCR is dropped; with long-term principal assumed refinanced it collapses to ICR.)</w:t>
      </w:r>
    </w:p>
    <w:p>
      <w:pPr>
        <w:pBdr>
          <w:bottom w:val="single" w:sz="6" w:space="1" w:color="000000"/>
        </w:pBdr>
      </w:pPr>
    </w:p>
    <w:p>
      <w:pPr>
        <w:pStyle w:val="Heading2"/>
      </w:pPr>
      <w:r>
        <w:rPr>
          <w:rFonts w:ascii="Calibri" w:hAnsi="Calibri"/>
          <w:b/>
          <w:color w:val="000000"/>
          <w:sz w:val="24"/>
        </w:rPr>
        <w:t>Section 4 - P&amp;L Analysis</w:t>
      </w:r>
    </w:p>
    <w:p>
      <w:r>
        <w:rPr>
          <w:rFonts w:ascii="Calibri" w:hAnsi="Calibri"/>
          <w:color w:val="000000"/>
        </w:rPr>
        <w:t>MIS-led for the contribution-margin detail, with the full waterfall built for every available year.</w:t>
      </w:r>
    </w:p>
    <w:p>
      <w:pPr>
        <w:pStyle w:val="Heading3"/>
      </w:pPr>
      <w:r>
        <w:rPr>
          <w:rFonts w:ascii="Calibri" w:hAnsi="Calibri"/>
          <w:b/>
          <w:color w:val="000000"/>
          <w:sz w:val="22"/>
        </w:rPr>
        <w:t>A. Margin Waterfall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0"/>
              </w:rPr>
              <w:t>Level</w:t>
            </w:r>
          </w:p>
        </w:tc>
        <w:tc>
          <w:tcPr>
            <w:tcW w:type="dxa" w:w="1080"/>
          </w:tcPr>
          <w:p>
            <w:r>
              <w:rPr>
                <w:rFonts w:ascii="Calibri" w:hAnsi="Calibri"/>
                <w:b/>
                <w:color w:val="000000"/>
                <w:sz w:val="20"/>
              </w:rPr>
              <w:t>FY24 Rs Cr</w:t>
            </w:r>
          </w:p>
        </w:tc>
        <w:tc>
          <w:tcPr>
            <w:tcW w:type="dxa" w:w="1080"/>
          </w:tcPr>
          <w:p>
            <w:r>
              <w:rPr>
                <w:rFonts w:ascii="Calibri" w:hAnsi="Calibri"/>
                <w:b/>
                <w:color w:val="000000"/>
                <w:sz w:val="20"/>
              </w:rPr>
              <w:t>FY24 %</w:t>
            </w:r>
          </w:p>
        </w:tc>
        <w:tc>
          <w:tcPr>
            <w:tcW w:type="dxa" w:w="1080"/>
          </w:tcPr>
          <w:p>
            <w:r>
              <w:rPr>
                <w:rFonts w:ascii="Calibri" w:hAnsi="Calibri"/>
                <w:b/>
                <w:color w:val="000000"/>
                <w:sz w:val="20"/>
              </w:rPr>
              <w:t>FY25 Rs Cr</w:t>
            </w:r>
          </w:p>
        </w:tc>
        <w:tc>
          <w:tcPr>
            <w:tcW w:type="dxa" w:w="1080"/>
          </w:tcPr>
          <w:p>
            <w:r>
              <w:rPr>
                <w:rFonts w:ascii="Calibri" w:hAnsi="Calibri"/>
                <w:b/>
                <w:color w:val="000000"/>
                <w:sz w:val="20"/>
              </w:rPr>
              <w:t>FY25 %</w:t>
            </w:r>
          </w:p>
        </w:tc>
        <w:tc>
          <w:tcPr>
            <w:tcW w:type="dxa" w:w="1080"/>
          </w:tcPr>
          <w:p>
            <w:r>
              <w:rPr>
                <w:rFonts w:ascii="Calibri" w:hAnsi="Calibri"/>
                <w:b/>
                <w:color w:val="000000"/>
                <w:sz w:val="20"/>
              </w:rPr>
              <w:t>FY26 prov Rs Cr</w:t>
            </w:r>
          </w:p>
        </w:tc>
        <w:tc>
          <w:tcPr>
            <w:tcW w:type="dxa" w:w="1080"/>
          </w:tcPr>
          <w:p>
            <w:r>
              <w:rPr>
                <w:rFonts w:ascii="Calibri" w:hAnsi="Calibri"/>
                <w:b/>
                <w:color w:val="000000"/>
                <w:sz w:val="20"/>
              </w:rPr>
              <w:t>FY26 %</w:t>
            </w:r>
          </w:p>
        </w:tc>
        <w:tc>
          <w:tcPr>
            <w:tcW w:type="dxa" w:w="1080"/>
          </w:tcPr>
          <w:p>
            <w:r>
              <w:rPr>
                <w:rFonts w:ascii="Calibri" w:hAnsi="Calibri"/>
                <w:b/>
                <w:color w:val="000000"/>
                <w:sz w:val="20"/>
              </w:rPr>
              <w:t>Trend</w:t>
            </w:r>
          </w:p>
        </w:tc>
      </w:tr>
      <w:tr>
        <w:tc>
          <w:tcPr>
            <w:tcW w:type="dxa" w:w="1080"/>
          </w:tcPr>
          <w:p>
            <w:r>
              <w:rPr>
                <w:rFonts w:ascii="Calibri" w:hAnsi="Calibri"/>
                <w:color w:val="000000"/>
                <w:sz w:val="20"/>
              </w:rPr>
              <w:t>Revenue</w:t>
            </w:r>
          </w:p>
        </w:tc>
        <w:tc>
          <w:tcPr>
            <w:tcW w:type="dxa" w:w="1080"/>
          </w:tcPr>
          <w:p>
            <w:r>
              <w:rPr>
                <w:rFonts w:ascii="Calibri" w:hAnsi="Calibri"/>
                <w:color w:val="000000"/>
                <w:sz w:val="20"/>
              </w:rPr>
              <w:t>122.45</w:t>
            </w:r>
          </w:p>
        </w:tc>
        <w:tc>
          <w:tcPr>
            <w:tcW w:type="dxa" w:w="1080"/>
          </w:tcPr>
          <w:p>
            <w:r>
              <w:rPr>
                <w:rFonts w:ascii="Calibri" w:hAnsi="Calibri"/>
                <w:color w:val="000000"/>
                <w:sz w:val="20"/>
              </w:rPr>
              <w:t>100</w:t>
            </w:r>
          </w:p>
        </w:tc>
        <w:tc>
          <w:tcPr>
            <w:tcW w:type="dxa" w:w="1080"/>
          </w:tcPr>
          <w:p>
            <w:r>
              <w:rPr>
                <w:rFonts w:ascii="Calibri" w:hAnsi="Calibri"/>
                <w:color w:val="000000"/>
                <w:sz w:val="20"/>
              </w:rPr>
              <w:t>135.30</w:t>
            </w:r>
          </w:p>
        </w:tc>
        <w:tc>
          <w:tcPr>
            <w:tcW w:type="dxa" w:w="1080"/>
          </w:tcPr>
          <w:p>
            <w:r>
              <w:rPr>
                <w:rFonts w:ascii="Calibri" w:hAnsi="Calibri"/>
                <w:color w:val="000000"/>
                <w:sz w:val="20"/>
              </w:rPr>
              <w:t>100</w:t>
            </w:r>
          </w:p>
        </w:tc>
        <w:tc>
          <w:tcPr>
            <w:tcW w:type="dxa" w:w="1080"/>
          </w:tcPr>
          <w:p>
            <w:r>
              <w:rPr>
                <w:rFonts w:ascii="Calibri" w:hAnsi="Calibri"/>
                <w:color w:val="000000"/>
                <w:sz w:val="20"/>
              </w:rPr>
              <w:t>162.00</w:t>
            </w:r>
          </w:p>
        </w:tc>
        <w:tc>
          <w:tcPr>
            <w:tcW w:type="dxa" w:w="1080"/>
          </w:tcPr>
          <w:p>
            <w:r>
              <w:rPr>
                <w:rFonts w:ascii="Calibri" w:hAnsi="Calibri"/>
                <w:color w:val="000000"/>
                <w:sz w:val="20"/>
              </w:rPr>
              <w:t>100</w:t>
            </w:r>
          </w:p>
        </w:tc>
        <w:tc>
          <w:tcPr>
            <w:tcW w:type="dxa" w:w="1080"/>
          </w:tcPr>
          <w:p>
            <w:r>
              <w:rPr>
                <w:rFonts w:ascii="Calibri" w:hAnsi="Calibri"/>
                <w:color w:val="000000"/>
                <w:sz w:val="20"/>
              </w:rPr>
              <w:t>Growth +10.5% then +19.7% YoY</w:t>
            </w:r>
          </w:p>
        </w:tc>
      </w:tr>
      <w:tr>
        <w:tc>
          <w:tcPr>
            <w:tcW w:type="dxa" w:w="1080"/>
          </w:tcPr>
          <w:p>
            <w:r>
              <w:rPr>
                <w:rFonts w:ascii="Calibri" w:hAnsi="Calibri"/>
                <w:color w:val="000000"/>
                <w:sz w:val="20"/>
              </w:rPr>
              <w:t>Gross Margin</w:t>
            </w:r>
          </w:p>
        </w:tc>
        <w:tc>
          <w:tcPr>
            <w:tcW w:type="dxa" w:w="1080"/>
          </w:tcPr>
          <w:p>
            <w:r>
              <w:rPr>
                <w:rFonts w:ascii="Calibri" w:hAnsi="Calibri"/>
                <w:color w:val="000000"/>
                <w:sz w:val="20"/>
              </w:rPr>
              <w:t>42.58</w:t>
            </w:r>
          </w:p>
        </w:tc>
        <w:tc>
          <w:tcPr>
            <w:tcW w:type="dxa" w:w="1080"/>
          </w:tcPr>
          <w:p>
            <w:r>
              <w:rPr>
                <w:rFonts w:ascii="Calibri" w:hAnsi="Calibri"/>
                <w:color w:val="000000"/>
                <w:sz w:val="20"/>
              </w:rPr>
              <w:t>34.8</w:t>
            </w:r>
          </w:p>
        </w:tc>
        <w:tc>
          <w:tcPr>
            <w:tcW w:type="dxa" w:w="1080"/>
          </w:tcPr>
          <w:p>
            <w:r>
              <w:rPr>
                <w:rFonts w:ascii="Calibri" w:hAnsi="Calibri"/>
                <w:color w:val="000000"/>
                <w:sz w:val="20"/>
              </w:rPr>
              <w:t>45.69</w:t>
            </w:r>
          </w:p>
        </w:tc>
        <w:tc>
          <w:tcPr>
            <w:tcW w:type="dxa" w:w="1080"/>
          </w:tcPr>
          <w:p>
            <w:r>
              <w:rPr>
                <w:rFonts w:ascii="Calibri" w:hAnsi="Calibri"/>
                <w:color w:val="000000"/>
                <w:sz w:val="20"/>
              </w:rPr>
              <w:t>33.8</w:t>
            </w:r>
          </w:p>
        </w:tc>
        <w:tc>
          <w:tcPr>
            <w:tcW w:type="dxa" w:w="1080"/>
          </w:tcPr>
          <w:p>
            <w:r>
              <w:rPr>
                <w:rFonts w:ascii="Calibri" w:hAnsi="Calibri"/>
                <w:color w:val="000000"/>
                <w:sz w:val="20"/>
              </w:rPr>
              <w:t>54.11</w:t>
            </w:r>
          </w:p>
        </w:tc>
        <w:tc>
          <w:tcPr>
            <w:tcW w:type="dxa" w:w="1080"/>
          </w:tcPr>
          <w:p>
            <w:r>
              <w:rPr>
                <w:rFonts w:ascii="Calibri" w:hAnsi="Calibri"/>
                <w:color w:val="000000"/>
                <w:sz w:val="20"/>
              </w:rPr>
              <w:t>33.4</w:t>
            </w:r>
          </w:p>
        </w:tc>
        <w:tc>
          <w:tcPr>
            <w:tcW w:type="dxa" w:w="1080"/>
          </w:tcPr>
          <w:p>
            <w:r>
              <w:rPr>
                <w:rFonts w:ascii="Calibri" w:hAnsi="Calibri"/>
                <w:color w:val="000000"/>
                <w:sz w:val="20"/>
              </w:rPr>
              <w:t>Stable ~33-35%, healthy for value babywear</w:t>
            </w:r>
          </w:p>
        </w:tc>
      </w:tr>
      <w:tr>
        <w:tc>
          <w:tcPr>
            <w:tcW w:type="dxa" w:w="1080"/>
          </w:tcPr>
          <w:p>
            <w:r>
              <w:rPr>
                <w:rFonts w:ascii="Calibri" w:hAnsi="Calibri"/>
                <w:color w:val="000000"/>
                <w:sz w:val="20"/>
              </w:rPr>
              <w:t>CM1</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47.92</w:t>
            </w:r>
          </w:p>
        </w:tc>
        <w:tc>
          <w:tcPr>
            <w:tcW w:type="dxa" w:w="1080"/>
          </w:tcPr>
          <w:p>
            <w:r>
              <w:rPr>
                <w:rFonts w:ascii="Calibri" w:hAnsi="Calibri"/>
                <w:color w:val="000000"/>
                <w:sz w:val="20"/>
              </w:rPr>
              <w:t>29.6</w:t>
            </w:r>
          </w:p>
        </w:tc>
        <w:tc>
          <w:tcPr>
            <w:tcW w:type="dxa" w:w="1080"/>
          </w:tcPr>
          <w:p>
            <w:r>
              <w:rPr>
                <w:rFonts w:ascii="Calibri" w:hAnsi="Calibri"/>
                <w:color w:val="000000"/>
                <w:sz w:val="20"/>
              </w:rPr>
              <w:t>MIS only - variable ops well covered</w:t>
            </w:r>
          </w:p>
        </w:tc>
      </w:tr>
      <w:tr>
        <w:tc>
          <w:tcPr>
            <w:tcW w:type="dxa" w:w="1080"/>
          </w:tcPr>
          <w:p>
            <w:r>
              <w:rPr>
                <w:rFonts w:ascii="Calibri" w:hAnsi="Calibri"/>
                <w:color w:val="000000"/>
                <w:sz w:val="20"/>
              </w:rPr>
              <w:t>CM2</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46.86</w:t>
            </w:r>
          </w:p>
        </w:tc>
        <w:tc>
          <w:tcPr>
            <w:tcW w:type="dxa" w:w="1080"/>
          </w:tcPr>
          <w:p>
            <w:r>
              <w:rPr>
                <w:rFonts w:ascii="Calibri" w:hAnsi="Calibri"/>
                <w:color w:val="000000"/>
                <w:sz w:val="20"/>
              </w:rPr>
              <w:t>28.9</w:t>
            </w:r>
          </w:p>
        </w:tc>
        <w:tc>
          <w:tcPr>
            <w:tcW w:type="dxa" w:w="1080"/>
          </w:tcPr>
          <w:p>
            <w:r>
              <w:rPr>
                <w:rFonts w:ascii="Calibri" w:hAnsi="Calibri"/>
                <w:color w:val="000000"/>
                <w:sz w:val="20"/>
              </w:rPr>
              <w:t>MIS only - unit economics strongly positive</w:t>
            </w:r>
          </w:p>
        </w:tc>
      </w:tr>
      <w:tr>
        <w:tc>
          <w:tcPr>
            <w:tcW w:type="dxa" w:w="1080"/>
          </w:tcPr>
          <w:p>
            <w:r>
              <w:rPr>
                <w:rFonts w:ascii="Calibri" w:hAnsi="Calibri"/>
                <w:color w:val="000000"/>
                <w:sz w:val="20"/>
              </w:rPr>
              <w:t>EBITDA</w:t>
            </w:r>
          </w:p>
        </w:tc>
        <w:tc>
          <w:tcPr>
            <w:tcW w:type="dxa" w:w="1080"/>
          </w:tcPr>
          <w:p>
            <w:r>
              <w:rPr>
                <w:rFonts w:ascii="Calibri" w:hAnsi="Calibri"/>
                <w:color w:val="000000"/>
                <w:sz w:val="20"/>
              </w:rPr>
              <w:t>11.48</w:t>
            </w:r>
          </w:p>
        </w:tc>
        <w:tc>
          <w:tcPr>
            <w:tcW w:type="dxa" w:w="1080"/>
          </w:tcPr>
          <w:p>
            <w:r>
              <w:rPr>
                <w:rFonts w:ascii="Calibri" w:hAnsi="Calibri"/>
                <w:color w:val="000000"/>
                <w:sz w:val="20"/>
              </w:rPr>
              <w:t>9.4</w:t>
            </w:r>
          </w:p>
        </w:tc>
        <w:tc>
          <w:tcPr>
            <w:tcW w:type="dxa" w:w="1080"/>
          </w:tcPr>
          <w:p>
            <w:r>
              <w:rPr>
                <w:rFonts w:ascii="Calibri" w:hAnsi="Calibri"/>
                <w:color w:val="000000"/>
                <w:sz w:val="20"/>
              </w:rPr>
              <w:t>18.13</w:t>
            </w:r>
          </w:p>
        </w:tc>
        <w:tc>
          <w:tcPr>
            <w:tcW w:type="dxa" w:w="1080"/>
          </w:tcPr>
          <w:p>
            <w:r>
              <w:rPr>
                <w:rFonts w:ascii="Calibri" w:hAnsi="Calibri"/>
                <w:color w:val="000000"/>
                <w:sz w:val="20"/>
              </w:rPr>
              <w:t>13.4</w:t>
            </w:r>
          </w:p>
        </w:tc>
        <w:tc>
          <w:tcPr>
            <w:tcW w:type="dxa" w:w="1080"/>
          </w:tcPr>
          <w:p>
            <w:r>
              <w:rPr>
                <w:rFonts w:ascii="Calibri" w:hAnsi="Calibri"/>
                <w:color w:val="000000"/>
                <w:sz w:val="20"/>
              </w:rPr>
              <w:t>29.96</w:t>
            </w:r>
          </w:p>
        </w:tc>
        <w:tc>
          <w:tcPr>
            <w:tcW w:type="dxa" w:w="1080"/>
          </w:tcPr>
          <w:p>
            <w:r>
              <w:rPr>
                <w:rFonts w:ascii="Calibri" w:hAnsi="Calibri"/>
                <w:color w:val="000000"/>
                <w:sz w:val="20"/>
              </w:rPr>
              <w:t>18.5</w:t>
            </w:r>
          </w:p>
        </w:tc>
        <w:tc>
          <w:tcPr>
            <w:tcW w:type="dxa" w:w="1080"/>
          </w:tcPr>
          <w:p>
            <w:r>
              <w:rPr>
                <w:rFonts w:ascii="Calibri" w:hAnsi="Calibri"/>
                <w:color w:val="000000"/>
                <w:sz w:val="20"/>
              </w:rPr>
              <w:t>Expanding sharply - operating leverage</w:t>
            </w:r>
          </w:p>
        </w:tc>
      </w:tr>
      <w:tr>
        <w:tc>
          <w:tcPr>
            <w:tcW w:type="dxa" w:w="1080"/>
          </w:tcPr>
          <w:p>
            <w:r>
              <w:rPr>
                <w:rFonts w:ascii="Calibri" w:hAnsi="Calibri"/>
                <w:color w:val="000000"/>
                <w:sz w:val="20"/>
              </w:rPr>
              <w:t>PAT</w:t>
            </w:r>
          </w:p>
        </w:tc>
        <w:tc>
          <w:tcPr>
            <w:tcW w:type="dxa" w:w="1080"/>
          </w:tcPr>
          <w:p>
            <w:r>
              <w:rPr>
                <w:rFonts w:ascii="Calibri" w:hAnsi="Calibri"/>
                <w:color w:val="000000"/>
                <w:sz w:val="20"/>
              </w:rPr>
              <w:t>1.83</w:t>
            </w:r>
          </w:p>
        </w:tc>
        <w:tc>
          <w:tcPr>
            <w:tcW w:type="dxa" w:w="1080"/>
          </w:tcPr>
          <w:p>
            <w:r>
              <w:rPr>
                <w:rFonts w:ascii="Calibri" w:hAnsi="Calibri"/>
                <w:color w:val="000000"/>
                <w:sz w:val="20"/>
              </w:rPr>
              <w:t>1.5</w:t>
            </w:r>
          </w:p>
        </w:tc>
        <w:tc>
          <w:tcPr>
            <w:tcW w:type="dxa" w:w="1080"/>
          </w:tcPr>
          <w:p>
            <w:r>
              <w:rPr>
                <w:rFonts w:ascii="Calibri" w:hAnsi="Calibri"/>
                <w:color w:val="000000"/>
                <w:sz w:val="20"/>
              </w:rPr>
              <w:t>7.37</w:t>
            </w:r>
          </w:p>
        </w:tc>
        <w:tc>
          <w:tcPr>
            <w:tcW w:type="dxa" w:w="1080"/>
          </w:tcPr>
          <w:p>
            <w:r>
              <w:rPr>
                <w:rFonts w:ascii="Calibri" w:hAnsi="Calibri"/>
                <w:color w:val="000000"/>
                <w:sz w:val="20"/>
              </w:rPr>
              <w:t>5.4</w:t>
            </w:r>
          </w:p>
        </w:tc>
        <w:tc>
          <w:tcPr>
            <w:tcW w:type="dxa" w:w="1080"/>
          </w:tcPr>
          <w:p>
            <w:r>
              <w:rPr>
                <w:rFonts w:ascii="Calibri" w:hAnsi="Calibri"/>
                <w:color w:val="000000"/>
                <w:sz w:val="20"/>
              </w:rPr>
              <w:t>18.31</w:t>
            </w:r>
          </w:p>
        </w:tc>
        <w:tc>
          <w:tcPr>
            <w:tcW w:type="dxa" w:w="1080"/>
          </w:tcPr>
          <w:p>
            <w:r>
              <w:rPr>
                <w:rFonts w:ascii="Calibri" w:hAnsi="Calibri"/>
                <w:color w:val="000000"/>
                <w:sz w:val="20"/>
              </w:rPr>
              <w:t>11.3</w:t>
            </w:r>
          </w:p>
        </w:tc>
        <w:tc>
          <w:tcPr>
            <w:tcW w:type="dxa" w:w="1080"/>
          </w:tcPr>
          <w:p>
            <w:r>
              <w:rPr>
                <w:rFonts w:ascii="Calibri" w:hAnsi="Calibri"/>
                <w:color w:val="000000"/>
                <w:sz w:val="20"/>
              </w:rPr>
              <w:t>Rising fast; cash conversion gates the quality</w:t>
            </w:r>
          </w:p>
        </w:tc>
      </w:tr>
    </w:tbl>
    <w:p/>
    <w:p>
      <w:r>
        <w:rPr>
          <w:rFonts w:ascii="Calibri" w:hAnsi="Calibri"/>
          <w:color w:val="000000"/>
        </w:rPr>
        <w:t>(CM1 and CM2 are "-" on audited-only years. CM2 here equals Section 1 Rule 3 CM2.)</w:t>
      </w:r>
    </w:p>
    <w:p>
      <w:pPr>
        <w:pStyle w:val="Heading3"/>
      </w:pPr>
      <w:r>
        <w:rPr>
          <w:rFonts w:ascii="Calibri" w:hAnsi="Calibri"/>
          <w:b/>
          <w:color w:val="000000"/>
          <w:sz w:val="22"/>
        </w:rPr>
        <w:t>B. Key Findings</w:t>
      </w:r>
    </w:p>
    <w:p>
      <w:r>
        <w:rPr>
          <w:rFonts w:ascii="Calibri" w:hAnsi="Calibri"/>
          <w:color w:val="000000"/>
        </w:rPr>
        <w:t>Unit economics are sound: FY26 CM2 of 28.9% means each rupee of sale comfortably covers materials, logistics, distributor commission and marketing before fixed costs. The margin trajectory is the strong part of the story - gross margin is flat at a respectable ~33-35%, but EBITDA margin has roughly doubled from 9.4% (FY24) to 18.5% (FY26 provisional) and PAT margin from 1.5% to 11.3%, because fixed costs fall as a share of revenue with scale (SG&amp;A employee 8.8% to 5.9%, finance cost 5.8% to 3.1%). That is real operating leverage. Two cautions. The FY26 figures are provisional and the implied profitability step-up is large, so they should be reconciled to audited FY26 and to GST/sales records; the deck's own FY26 projection (Rs 170.4 Cr) does not exactly match the MIS, so the management numbers are not internally tight. And the P&amp;L strength is not yet matched by cash - profit is real on accrual but sits in inventory, receivables and supplier advances, not the bank. Other income is immaterial (0.2% of revenue), so profit is not propped up by non-operating items. FY25 carried a Rs 3.83 Cr bad-debt write-off, a reminder that receivables quality has bitten before.</w:t>
      </w:r>
    </w:p>
    <w:p>
      <w:pPr>
        <w:pStyle w:val="Heading3"/>
      </w:pPr>
      <w:r>
        <w:rPr>
          <w:rFonts w:ascii="Calibri" w:hAnsi="Calibri"/>
          <w:b/>
          <w:color w:val="000000"/>
          <w:sz w:val="22"/>
        </w:rPr>
        <w:t>C. Industry Benchmark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Company</w:t>
            </w:r>
          </w:p>
        </w:tc>
        <w:tc>
          <w:tcPr>
            <w:tcW w:type="dxa" w:w="1728"/>
          </w:tcPr>
          <w:p>
            <w:r>
              <w:rPr>
                <w:rFonts w:ascii="Calibri" w:hAnsi="Calibri"/>
                <w:b/>
                <w:color w:val="000000"/>
                <w:sz w:val="20"/>
              </w:rPr>
              <w:t>Revenue (Rs Cr)</w:t>
            </w:r>
          </w:p>
        </w:tc>
        <w:tc>
          <w:tcPr>
            <w:tcW w:type="dxa" w:w="1728"/>
          </w:tcPr>
          <w:p>
            <w:r>
              <w:rPr>
                <w:rFonts w:ascii="Calibri" w:hAnsi="Calibri"/>
                <w:b/>
                <w:color w:val="000000"/>
                <w:sz w:val="20"/>
              </w:rPr>
              <w:t>Gross Margin %</w:t>
            </w:r>
          </w:p>
        </w:tc>
        <w:tc>
          <w:tcPr>
            <w:tcW w:type="dxa" w:w="1728"/>
          </w:tcPr>
          <w:p>
            <w:r>
              <w:rPr>
                <w:rFonts w:ascii="Calibri" w:hAnsi="Calibri"/>
                <w:b/>
                <w:color w:val="000000"/>
                <w:sz w:val="20"/>
              </w:rPr>
              <w:t>EBITDA %</w:t>
            </w:r>
          </w:p>
        </w:tc>
        <w:tc>
          <w:tcPr>
            <w:tcW w:type="dxa" w:w="1728"/>
          </w:tcPr>
          <w:p>
            <w:r>
              <w:rPr>
                <w:rFonts w:ascii="Calibri" w:hAnsi="Calibri"/>
                <w:b/>
                <w:color w:val="000000"/>
                <w:sz w:val="20"/>
              </w:rPr>
              <w:t>Notes</w:t>
            </w:r>
          </w:p>
        </w:tc>
      </w:tr>
      <w:tr>
        <w:tc>
          <w:tcPr>
            <w:tcW w:type="dxa" w:w="1728"/>
          </w:tcPr>
          <w:p>
            <w:r>
              <w:rPr>
                <w:rFonts w:ascii="Calibri" w:hAnsi="Calibri"/>
                <w:color w:val="000000"/>
                <w:sz w:val="20"/>
              </w:rPr>
              <w:t>Popees (FY26 prov)</w:t>
            </w:r>
          </w:p>
        </w:tc>
        <w:tc>
          <w:tcPr>
            <w:tcW w:type="dxa" w:w="1728"/>
          </w:tcPr>
          <w:p>
            <w:r>
              <w:rPr>
                <w:rFonts w:ascii="Calibri" w:hAnsi="Calibri"/>
                <w:color w:val="000000"/>
                <w:sz w:val="20"/>
              </w:rPr>
              <w:t>162</w:t>
            </w:r>
          </w:p>
        </w:tc>
        <w:tc>
          <w:tcPr>
            <w:tcW w:type="dxa" w:w="1728"/>
          </w:tcPr>
          <w:p>
            <w:r>
              <w:rPr>
                <w:rFonts w:ascii="Calibri" w:hAnsi="Calibri"/>
                <w:color w:val="000000"/>
                <w:sz w:val="20"/>
              </w:rPr>
              <w:t>33</w:t>
            </w:r>
          </w:p>
        </w:tc>
        <w:tc>
          <w:tcPr>
            <w:tcW w:type="dxa" w:w="1728"/>
          </w:tcPr>
          <w:p>
            <w:r>
              <w:rPr>
                <w:rFonts w:ascii="Calibri" w:hAnsi="Calibri"/>
                <w:color w:val="000000"/>
                <w:sz w:val="20"/>
              </w:rPr>
              <w:t>18</w:t>
            </w:r>
          </w:p>
        </w:tc>
        <w:tc>
          <w:tcPr>
            <w:tcW w:type="dxa" w:w="1728"/>
          </w:tcPr>
          <w:p>
            <w:r>
              <w:rPr>
                <w:rFonts w:ascii="Calibri" w:hAnsi="Calibri"/>
                <w:color w:val="000000"/>
                <w:sz w:val="20"/>
              </w:rPr>
              <w:t>Vertically integrated babywear + baby FMCG</w:t>
            </w:r>
          </w:p>
        </w:tc>
      </w:tr>
      <w:tr>
        <w:tc>
          <w:tcPr>
            <w:tcW w:type="dxa" w:w="1728"/>
          </w:tcPr>
          <w:p>
            <w:r>
              <w:rPr>
                <w:rFonts w:ascii="Calibri" w:hAnsi="Calibri"/>
                <w:color w:val="000000"/>
                <w:sz w:val="20"/>
              </w:rPr>
              <w:t>Lux Industries</w:t>
            </w:r>
          </w:p>
        </w:tc>
        <w:tc>
          <w:tcPr>
            <w:tcW w:type="dxa" w:w="1728"/>
          </w:tcPr>
          <w:p>
            <w:r>
              <w:rPr>
                <w:rFonts w:ascii="Calibri" w:hAnsi="Calibri"/>
                <w:color w:val="000000"/>
                <w:sz w:val="20"/>
              </w:rPr>
              <w:t>~2,400</w:t>
            </w:r>
          </w:p>
        </w:tc>
        <w:tc>
          <w:tcPr>
            <w:tcW w:type="dxa" w:w="1728"/>
          </w:tcPr>
          <w:p>
            <w:r>
              <w:rPr>
                <w:rFonts w:ascii="Calibri" w:hAnsi="Calibri"/>
                <w:color w:val="000000"/>
                <w:sz w:val="20"/>
              </w:rPr>
              <w:t>~32</w:t>
            </w:r>
          </w:p>
        </w:tc>
        <w:tc>
          <w:tcPr>
            <w:tcW w:type="dxa" w:w="1728"/>
          </w:tcPr>
          <w:p>
            <w:r>
              <w:rPr>
                <w:rFonts w:ascii="Calibri" w:hAnsi="Calibri"/>
                <w:color w:val="000000"/>
                <w:sz w:val="20"/>
              </w:rPr>
              <w:t>~10-12</w:t>
            </w:r>
          </w:p>
        </w:tc>
        <w:tc>
          <w:tcPr>
            <w:tcW w:type="dxa" w:w="1728"/>
          </w:tcPr>
          <w:p>
            <w:r>
              <w:rPr>
                <w:rFonts w:ascii="Calibri" w:hAnsi="Calibri"/>
                <w:color w:val="000000"/>
                <w:sz w:val="20"/>
              </w:rPr>
              <w:t>Listed knitted garments - closest cost-structure peer</w:t>
            </w:r>
          </w:p>
        </w:tc>
      </w:tr>
      <w:tr>
        <w:tc>
          <w:tcPr>
            <w:tcW w:type="dxa" w:w="1728"/>
          </w:tcPr>
          <w:p>
            <w:r>
              <w:rPr>
                <w:rFonts w:ascii="Calibri" w:hAnsi="Calibri"/>
                <w:color w:val="000000"/>
                <w:sz w:val="20"/>
              </w:rPr>
              <w:t>Rupa &amp; Co</w:t>
            </w:r>
          </w:p>
        </w:tc>
        <w:tc>
          <w:tcPr>
            <w:tcW w:type="dxa" w:w="1728"/>
          </w:tcPr>
          <w:p>
            <w:r>
              <w:rPr>
                <w:rFonts w:ascii="Calibri" w:hAnsi="Calibri"/>
                <w:color w:val="000000"/>
                <w:sz w:val="20"/>
              </w:rPr>
              <w:t>~1,300</w:t>
            </w:r>
          </w:p>
        </w:tc>
        <w:tc>
          <w:tcPr>
            <w:tcW w:type="dxa" w:w="1728"/>
          </w:tcPr>
          <w:p>
            <w:r>
              <w:rPr>
                <w:rFonts w:ascii="Calibri" w:hAnsi="Calibri"/>
                <w:color w:val="000000"/>
                <w:sz w:val="20"/>
              </w:rPr>
              <w:t>~33</w:t>
            </w:r>
          </w:p>
        </w:tc>
        <w:tc>
          <w:tcPr>
            <w:tcW w:type="dxa" w:w="1728"/>
          </w:tcPr>
          <w:p>
            <w:r>
              <w:rPr>
                <w:rFonts w:ascii="Calibri" w:hAnsi="Calibri"/>
                <w:color w:val="000000"/>
                <w:sz w:val="20"/>
              </w:rPr>
              <w:t>~9-11</w:t>
            </w:r>
          </w:p>
        </w:tc>
        <w:tc>
          <w:tcPr>
            <w:tcW w:type="dxa" w:w="1728"/>
          </w:tcPr>
          <w:p>
            <w:r>
              <w:rPr>
                <w:rFonts w:ascii="Calibri" w:hAnsi="Calibri"/>
                <w:color w:val="000000"/>
                <w:sz w:val="20"/>
              </w:rPr>
              <w:t>Listed knitwear, similar gross-margin band</w:t>
            </w:r>
          </w:p>
        </w:tc>
      </w:tr>
      <w:tr>
        <w:tc>
          <w:tcPr>
            <w:tcW w:type="dxa" w:w="1728"/>
          </w:tcPr>
          <w:p>
            <w:r>
              <w:rPr>
                <w:rFonts w:ascii="Calibri" w:hAnsi="Calibri"/>
                <w:color w:val="000000"/>
                <w:sz w:val="20"/>
              </w:rPr>
              <w:t>FirstCry (Brainbees)</w:t>
            </w:r>
          </w:p>
        </w:tc>
        <w:tc>
          <w:tcPr>
            <w:tcW w:type="dxa" w:w="1728"/>
          </w:tcPr>
          <w:p>
            <w:r>
              <w:rPr>
                <w:rFonts w:ascii="Calibri" w:hAnsi="Calibri"/>
                <w:color w:val="000000"/>
                <w:sz w:val="20"/>
              </w:rPr>
              <w:t>~6,500</w:t>
            </w:r>
          </w:p>
        </w:tc>
        <w:tc>
          <w:tcPr>
            <w:tcW w:type="dxa" w:w="1728"/>
          </w:tcPr>
          <w:p>
            <w:r>
              <w:rPr>
                <w:rFonts w:ascii="Calibri" w:hAnsi="Calibri"/>
                <w:color w:val="000000"/>
                <w:sz w:val="20"/>
              </w:rPr>
              <w:t>~30</w:t>
            </w:r>
          </w:p>
        </w:tc>
        <w:tc>
          <w:tcPr>
            <w:tcW w:type="dxa" w:w="1728"/>
          </w:tcPr>
          <w:p>
            <w:r>
              <w:rPr>
                <w:rFonts w:ascii="Calibri" w:hAnsi="Calibri"/>
                <w:color w:val="000000"/>
                <w:sz w:val="20"/>
              </w:rPr>
              <w:t>low/neg</w:t>
            </w:r>
          </w:p>
        </w:tc>
        <w:tc>
          <w:tcPr>
            <w:tcW w:type="dxa" w:w="1728"/>
          </w:tcPr>
          <w:p>
            <w:r>
              <w:rPr>
                <w:rFonts w:ascii="Calibri" w:hAnsi="Calibri"/>
                <w:color w:val="000000"/>
                <w:sz w:val="20"/>
              </w:rPr>
              <w:t>Listed mother-and-baby platform, margin pressured by retail/marketing</w:t>
            </w:r>
          </w:p>
        </w:tc>
      </w:tr>
      <w:tr>
        <w:tc>
          <w:tcPr>
            <w:tcW w:type="dxa" w:w="1728"/>
          </w:tcPr>
          <w:p>
            <w:r>
              <w:rPr>
                <w:rFonts w:ascii="Calibri" w:hAnsi="Calibri"/>
                <w:color w:val="000000"/>
                <w:sz w:val="20"/>
              </w:rPr>
              <w:t>Industry average (knitwear/baby apparel)</w:t>
            </w:r>
          </w:p>
        </w:tc>
        <w:tc>
          <w:tcPr>
            <w:tcW w:type="dxa" w:w="1728"/>
          </w:tcPr>
          <w:p>
            <w:r>
              <w:rPr>
                <w:rFonts w:ascii="Calibri" w:hAnsi="Calibri"/>
                <w:color w:val="000000"/>
                <w:sz w:val="20"/>
              </w:rPr>
              <w:t>-</w:t>
            </w:r>
          </w:p>
        </w:tc>
        <w:tc>
          <w:tcPr>
            <w:tcW w:type="dxa" w:w="1728"/>
          </w:tcPr>
          <w:p>
            <w:r>
              <w:rPr>
                <w:rFonts w:ascii="Calibri" w:hAnsi="Calibri"/>
                <w:color w:val="000000"/>
                <w:sz w:val="20"/>
              </w:rPr>
              <w:t>~30-35</w:t>
            </w:r>
          </w:p>
        </w:tc>
        <w:tc>
          <w:tcPr>
            <w:tcW w:type="dxa" w:w="1728"/>
          </w:tcPr>
          <w:p>
            <w:r>
              <w:rPr>
                <w:rFonts w:ascii="Calibri" w:hAnsi="Calibri"/>
                <w:color w:val="000000"/>
                <w:sz w:val="20"/>
              </w:rPr>
              <w:t>~10-13</w:t>
            </w:r>
          </w:p>
        </w:tc>
        <w:tc>
          <w:tcPr>
            <w:tcW w:type="dxa" w:w="1728"/>
          </w:tcPr>
          <w:p/>
        </w:tc>
      </w:tr>
    </w:tbl>
    <w:p/>
    <w:p>
      <w:r>
        <w:rPr>
          <w:rFonts w:ascii="Calibri" w:hAnsi="Calibri"/>
          <w:color w:val="000000"/>
        </w:rPr>
        <w:t>Peer figures are indicative (general knowledge), to be confirmed against current filings in diligence. On that basis Popees' gross margin (~33%) sits in the knitwear band, and its FY26 provisional EBITDA (~18%) is above the listed knitwear peers and well above FirstCry. A positive signal, but the size of the provisional, unaudited margin jump means the outperformance must be verified; the more conservative FY25 audited EBITDA of 13.4% is already in line with peers.</w:t>
      </w:r>
    </w:p>
    <w:p>
      <w:pPr>
        <w:pStyle w:val="Heading4"/>
      </w:pPr>
      <w:r>
        <w:rPr>
          <w:rFonts w:ascii="Calibri" w:hAnsi="Calibri"/>
          <w:b/>
          <w:color w:val="000000"/>
          <w:sz w:val="22"/>
        </w:rPr>
        <w:t>Supporting Data, Trend Tables</w:t>
      </w:r>
    </w:p>
    <w:p>
      <w:r>
        <w:rPr>
          <w:rFonts w:ascii="Calibri" w:hAnsi="Calibri"/>
          <w:color w:val="000000"/>
        </w:rPr>
        <w:t>Annual trend (% of revenue)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Metric</w:t>
            </w:r>
          </w:p>
        </w:tc>
        <w:tc>
          <w:tcPr>
            <w:tcW w:type="dxa" w:w="1728"/>
          </w:tcPr>
          <w:p>
            <w:r>
              <w:rPr>
                <w:rFonts w:ascii="Calibri" w:hAnsi="Calibri"/>
                <w:b/>
                <w:color w:val="000000"/>
                <w:sz w:val="20"/>
              </w:rPr>
              <w:t>FY24 %</w:t>
            </w:r>
          </w:p>
        </w:tc>
        <w:tc>
          <w:tcPr>
            <w:tcW w:type="dxa" w:w="1728"/>
          </w:tcPr>
          <w:p>
            <w:r>
              <w:rPr>
                <w:rFonts w:ascii="Calibri" w:hAnsi="Calibri"/>
                <w:b/>
                <w:color w:val="000000"/>
                <w:sz w:val="20"/>
              </w:rPr>
              <w:t>FY25 %</w:t>
            </w:r>
          </w:p>
        </w:tc>
        <w:tc>
          <w:tcPr>
            <w:tcW w:type="dxa" w:w="1728"/>
          </w:tcPr>
          <w:p>
            <w:r>
              <w:rPr>
                <w:rFonts w:ascii="Calibri" w:hAnsi="Calibri"/>
                <w:b/>
                <w:color w:val="000000"/>
                <w:sz w:val="20"/>
              </w:rPr>
              <w:t>FY26 prov %</w:t>
            </w:r>
          </w:p>
        </w:tc>
        <w:tc>
          <w:tcPr>
            <w:tcW w:type="dxa" w:w="1728"/>
          </w:tcPr>
          <w:p>
            <w:r>
              <w:rPr>
                <w:rFonts w:ascii="Calibri" w:hAnsi="Calibri"/>
                <w:b/>
                <w:color w:val="000000"/>
                <w:sz w:val="20"/>
              </w:rPr>
              <w:t>Trend</w:t>
            </w:r>
          </w:p>
        </w:tc>
      </w:tr>
      <w:tr>
        <w:tc>
          <w:tcPr>
            <w:tcW w:type="dxa" w:w="1728"/>
          </w:tcPr>
          <w:p>
            <w:r>
              <w:rPr>
                <w:rFonts w:ascii="Calibri" w:hAnsi="Calibri"/>
                <w:color w:val="000000"/>
                <w:sz w:val="20"/>
              </w:rPr>
              <w:t>Revenue YoY growth %</w:t>
            </w:r>
          </w:p>
        </w:tc>
        <w:tc>
          <w:tcPr>
            <w:tcW w:type="dxa" w:w="1728"/>
          </w:tcPr>
          <w:p>
            <w:r>
              <w:rPr>
                <w:rFonts w:ascii="Calibri" w:hAnsi="Calibri"/>
                <w:color w:val="000000"/>
                <w:sz w:val="20"/>
              </w:rPr>
              <w:t>-</w:t>
            </w:r>
          </w:p>
        </w:tc>
        <w:tc>
          <w:tcPr>
            <w:tcW w:type="dxa" w:w="1728"/>
          </w:tcPr>
          <w:p>
            <w:r>
              <w:rPr>
                <w:rFonts w:ascii="Calibri" w:hAnsi="Calibri"/>
                <w:color w:val="000000"/>
                <w:sz w:val="20"/>
              </w:rPr>
              <w:t>+10.5</w:t>
            </w:r>
          </w:p>
        </w:tc>
        <w:tc>
          <w:tcPr>
            <w:tcW w:type="dxa" w:w="1728"/>
          </w:tcPr>
          <w:p>
            <w:r>
              <w:rPr>
                <w:rFonts w:ascii="Calibri" w:hAnsi="Calibri"/>
                <w:color w:val="000000"/>
                <w:sz w:val="20"/>
              </w:rPr>
              <w:t>+19.7</w:t>
            </w:r>
          </w:p>
        </w:tc>
        <w:tc>
          <w:tcPr>
            <w:tcW w:type="dxa" w:w="1728"/>
          </w:tcPr>
          <w:p>
            <w:r>
              <w:rPr>
                <w:rFonts w:ascii="Calibri" w:hAnsi="Calibri"/>
                <w:color w:val="000000"/>
                <w:sz w:val="20"/>
              </w:rPr>
              <w:t>Accelerating</w:t>
            </w:r>
          </w:p>
        </w:tc>
      </w:tr>
      <w:tr>
        <w:tc>
          <w:tcPr>
            <w:tcW w:type="dxa" w:w="1728"/>
          </w:tcPr>
          <w:p>
            <w:r>
              <w:rPr>
                <w:rFonts w:ascii="Calibri" w:hAnsi="Calibri"/>
                <w:color w:val="000000"/>
                <w:sz w:val="20"/>
              </w:rPr>
              <w:t>Gross Margin %</w:t>
            </w:r>
          </w:p>
        </w:tc>
        <w:tc>
          <w:tcPr>
            <w:tcW w:type="dxa" w:w="1728"/>
          </w:tcPr>
          <w:p>
            <w:r>
              <w:rPr>
                <w:rFonts w:ascii="Calibri" w:hAnsi="Calibri"/>
                <w:color w:val="000000"/>
                <w:sz w:val="20"/>
              </w:rPr>
              <w:t>34.8</w:t>
            </w:r>
          </w:p>
        </w:tc>
        <w:tc>
          <w:tcPr>
            <w:tcW w:type="dxa" w:w="1728"/>
          </w:tcPr>
          <w:p>
            <w:r>
              <w:rPr>
                <w:rFonts w:ascii="Calibri" w:hAnsi="Calibri"/>
                <w:color w:val="000000"/>
                <w:sz w:val="20"/>
              </w:rPr>
              <w:t>33.8</w:t>
            </w:r>
          </w:p>
        </w:tc>
        <w:tc>
          <w:tcPr>
            <w:tcW w:type="dxa" w:w="1728"/>
          </w:tcPr>
          <w:p>
            <w:r>
              <w:rPr>
                <w:rFonts w:ascii="Calibri" w:hAnsi="Calibri"/>
                <w:color w:val="000000"/>
                <w:sz w:val="20"/>
              </w:rPr>
              <w:t>33.4</w:t>
            </w:r>
          </w:p>
        </w:tc>
        <w:tc>
          <w:tcPr>
            <w:tcW w:type="dxa" w:w="1728"/>
          </w:tcPr>
          <w:p>
            <w:r>
              <w:rPr>
                <w:rFonts w:ascii="Calibri" w:hAnsi="Calibri"/>
                <w:color w:val="000000"/>
                <w:sz w:val="20"/>
              </w:rPr>
              <w:t>Stable</w:t>
            </w:r>
          </w:p>
        </w:tc>
      </w:tr>
      <w:tr>
        <w:tc>
          <w:tcPr>
            <w:tcW w:type="dxa" w:w="1728"/>
          </w:tcPr>
          <w:p>
            <w:r>
              <w:rPr>
                <w:rFonts w:ascii="Calibri" w:hAnsi="Calibri"/>
                <w:color w:val="000000"/>
                <w:sz w:val="20"/>
              </w:rPr>
              <w:t>CM1 %</w:t>
            </w:r>
          </w:p>
        </w:tc>
        <w:tc>
          <w:tcPr>
            <w:tcW w:type="dxa" w:w="1728"/>
          </w:tcPr>
          <w:p>
            <w:r>
              <w:rPr>
                <w:rFonts w:ascii="Calibri" w:hAnsi="Calibri"/>
                <w:color w:val="000000"/>
                <w:sz w:val="20"/>
              </w:rPr>
              <w:t>-</w:t>
            </w:r>
          </w:p>
        </w:tc>
        <w:tc>
          <w:tcPr>
            <w:tcW w:type="dxa" w:w="1728"/>
          </w:tcPr>
          <w:p>
            <w:r>
              <w:rPr>
                <w:rFonts w:ascii="Calibri" w:hAnsi="Calibri"/>
                <w:color w:val="000000"/>
                <w:sz w:val="20"/>
              </w:rPr>
              <w:t>-</w:t>
            </w:r>
          </w:p>
        </w:tc>
        <w:tc>
          <w:tcPr>
            <w:tcW w:type="dxa" w:w="1728"/>
          </w:tcPr>
          <w:p>
            <w:r>
              <w:rPr>
                <w:rFonts w:ascii="Calibri" w:hAnsi="Calibri"/>
                <w:color w:val="000000"/>
                <w:sz w:val="20"/>
              </w:rPr>
              <w:t>29.6</w:t>
            </w:r>
          </w:p>
        </w:tc>
        <w:tc>
          <w:tcPr>
            <w:tcW w:type="dxa" w:w="1728"/>
          </w:tcPr>
          <w:p>
            <w:r>
              <w:rPr>
                <w:rFonts w:ascii="Calibri" w:hAnsi="Calibri"/>
                <w:color w:val="000000"/>
                <w:sz w:val="20"/>
              </w:rPr>
              <w:t>MIS period</w:t>
            </w:r>
          </w:p>
        </w:tc>
      </w:tr>
      <w:tr>
        <w:tc>
          <w:tcPr>
            <w:tcW w:type="dxa" w:w="1728"/>
          </w:tcPr>
          <w:p>
            <w:r>
              <w:rPr>
                <w:rFonts w:ascii="Calibri" w:hAnsi="Calibri"/>
                <w:color w:val="000000"/>
                <w:sz w:val="20"/>
              </w:rPr>
              <w:t>CM2 %</w:t>
            </w:r>
          </w:p>
        </w:tc>
        <w:tc>
          <w:tcPr>
            <w:tcW w:type="dxa" w:w="1728"/>
          </w:tcPr>
          <w:p>
            <w:r>
              <w:rPr>
                <w:rFonts w:ascii="Calibri" w:hAnsi="Calibri"/>
                <w:color w:val="000000"/>
                <w:sz w:val="20"/>
              </w:rPr>
              <w:t>-</w:t>
            </w:r>
          </w:p>
        </w:tc>
        <w:tc>
          <w:tcPr>
            <w:tcW w:type="dxa" w:w="1728"/>
          </w:tcPr>
          <w:p>
            <w:r>
              <w:rPr>
                <w:rFonts w:ascii="Calibri" w:hAnsi="Calibri"/>
                <w:color w:val="000000"/>
                <w:sz w:val="20"/>
              </w:rPr>
              <w:t>-</w:t>
            </w:r>
          </w:p>
        </w:tc>
        <w:tc>
          <w:tcPr>
            <w:tcW w:type="dxa" w:w="1728"/>
          </w:tcPr>
          <w:p>
            <w:r>
              <w:rPr>
                <w:rFonts w:ascii="Calibri" w:hAnsi="Calibri"/>
                <w:color w:val="000000"/>
                <w:sz w:val="20"/>
              </w:rPr>
              <w:t>28.9</w:t>
            </w:r>
          </w:p>
        </w:tc>
        <w:tc>
          <w:tcPr>
            <w:tcW w:type="dxa" w:w="1728"/>
          </w:tcPr>
          <w:p>
            <w:r>
              <w:rPr>
                <w:rFonts w:ascii="Calibri" w:hAnsi="Calibri"/>
                <w:color w:val="000000"/>
                <w:sz w:val="20"/>
              </w:rPr>
              <w:t>Unit economics positive</w:t>
            </w:r>
          </w:p>
        </w:tc>
      </w:tr>
      <w:tr>
        <w:tc>
          <w:tcPr>
            <w:tcW w:type="dxa" w:w="1728"/>
          </w:tcPr>
          <w:p>
            <w:r>
              <w:rPr>
                <w:rFonts w:ascii="Calibri" w:hAnsi="Calibri"/>
                <w:color w:val="000000"/>
                <w:sz w:val="20"/>
              </w:rPr>
              <w:t>EBITDA %</w:t>
            </w:r>
          </w:p>
        </w:tc>
        <w:tc>
          <w:tcPr>
            <w:tcW w:type="dxa" w:w="1728"/>
          </w:tcPr>
          <w:p>
            <w:r>
              <w:rPr>
                <w:rFonts w:ascii="Calibri" w:hAnsi="Calibri"/>
                <w:color w:val="000000"/>
                <w:sz w:val="20"/>
              </w:rPr>
              <w:t>9.4</w:t>
            </w:r>
          </w:p>
        </w:tc>
        <w:tc>
          <w:tcPr>
            <w:tcW w:type="dxa" w:w="1728"/>
          </w:tcPr>
          <w:p>
            <w:r>
              <w:rPr>
                <w:rFonts w:ascii="Calibri" w:hAnsi="Calibri"/>
                <w:color w:val="000000"/>
                <w:sz w:val="20"/>
              </w:rPr>
              <w:t>13.4</w:t>
            </w:r>
          </w:p>
        </w:tc>
        <w:tc>
          <w:tcPr>
            <w:tcW w:type="dxa" w:w="1728"/>
          </w:tcPr>
          <w:p>
            <w:r>
              <w:rPr>
                <w:rFonts w:ascii="Calibri" w:hAnsi="Calibri"/>
                <w:color w:val="000000"/>
                <w:sz w:val="20"/>
              </w:rPr>
              <w:t>18.5</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EBIT %</w:t>
            </w:r>
          </w:p>
        </w:tc>
        <w:tc>
          <w:tcPr>
            <w:tcW w:type="dxa" w:w="1728"/>
          </w:tcPr>
          <w:p>
            <w:r>
              <w:rPr>
                <w:rFonts w:ascii="Calibri" w:hAnsi="Calibri"/>
                <w:color w:val="000000"/>
                <w:sz w:val="20"/>
              </w:rPr>
              <w:t>7.9</w:t>
            </w:r>
          </w:p>
        </w:tc>
        <w:tc>
          <w:tcPr>
            <w:tcW w:type="dxa" w:w="1728"/>
          </w:tcPr>
          <w:p>
            <w:r>
              <w:rPr>
                <w:rFonts w:ascii="Calibri" w:hAnsi="Calibri"/>
                <w:color w:val="000000"/>
                <w:sz w:val="20"/>
              </w:rPr>
              <w:t>12.4</w:t>
            </w:r>
          </w:p>
        </w:tc>
        <w:tc>
          <w:tcPr>
            <w:tcW w:type="dxa" w:w="1728"/>
          </w:tcPr>
          <w:p>
            <w:r>
              <w:rPr>
                <w:rFonts w:ascii="Calibri" w:hAnsi="Calibri"/>
                <w:color w:val="000000"/>
                <w:sz w:val="20"/>
              </w:rPr>
              <w:t>17.6</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PBT %</w:t>
            </w:r>
          </w:p>
        </w:tc>
        <w:tc>
          <w:tcPr>
            <w:tcW w:type="dxa" w:w="1728"/>
          </w:tcPr>
          <w:p>
            <w:r>
              <w:rPr>
                <w:rFonts w:ascii="Calibri" w:hAnsi="Calibri"/>
                <w:color w:val="000000"/>
                <w:sz w:val="20"/>
              </w:rPr>
              <w:t>2.2</w:t>
            </w:r>
          </w:p>
        </w:tc>
        <w:tc>
          <w:tcPr>
            <w:tcW w:type="dxa" w:w="1728"/>
          </w:tcPr>
          <w:p>
            <w:r>
              <w:rPr>
                <w:rFonts w:ascii="Calibri" w:hAnsi="Calibri"/>
                <w:color w:val="000000"/>
                <w:sz w:val="20"/>
              </w:rPr>
              <w:t>7.7</w:t>
            </w:r>
          </w:p>
        </w:tc>
        <w:tc>
          <w:tcPr>
            <w:tcW w:type="dxa" w:w="1728"/>
          </w:tcPr>
          <w:p>
            <w:r>
              <w:rPr>
                <w:rFonts w:ascii="Calibri" w:hAnsi="Calibri"/>
                <w:color w:val="000000"/>
                <w:sz w:val="20"/>
              </w:rPr>
              <w:t>14.6</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PAT %</w:t>
            </w:r>
          </w:p>
        </w:tc>
        <w:tc>
          <w:tcPr>
            <w:tcW w:type="dxa" w:w="1728"/>
          </w:tcPr>
          <w:p>
            <w:r>
              <w:rPr>
                <w:rFonts w:ascii="Calibri" w:hAnsi="Calibri"/>
                <w:color w:val="000000"/>
                <w:sz w:val="20"/>
              </w:rPr>
              <w:t>1.5</w:t>
            </w:r>
          </w:p>
        </w:tc>
        <w:tc>
          <w:tcPr>
            <w:tcW w:type="dxa" w:w="1728"/>
          </w:tcPr>
          <w:p>
            <w:r>
              <w:rPr>
                <w:rFonts w:ascii="Calibri" w:hAnsi="Calibri"/>
                <w:color w:val="000000"/>
                <w:sz w:val="20"/>
              </w:rPr>
              <w:t>5.4</w:t>
            </w:r>
          </w:p>
        </w:tc>
        <w:tc>
          <w:tcPr>
            <w:tcW w:type="dxa" w:w="1728"/>
          </w:tcPr>
          <w:p>
            <w:r>
              <w:rPr>
                <w:rFonts w:ascii="Calibri" w:hAnsi="Calibri"/>
                <w:color w:val="000000"/>
                <w:sz w:val="20"/>
              </w:rPr>
              <w:t>11.3</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Employee cost % (SG&amp;A)</w:t>
            </w:r>
          </w:p>
        </w:tc>
        <w:tc>
          <w:tcPr>
            <w:tcW w:type="dxa" w:w="1728"/>
          </w:tcPr>
          <w:p>
            <w:r>
              <w:rPr>
                <w:rFonts w:ascii="Calibri" w:hAnsi="Calibri"/>
                <w:color w:val="000000"/>
                <w:sz w:val="20"/>
              </w:rPr>
              <w:t>8.8</w:t>
            </w:r>
          </w:p>
        </w:tc>
        <w:tc>
          <w:tcPr>
            <w:tcW w:type="dxa" w:w="1728"/>
          </w:tcPr>
          <w:p>
            <w:r>
              <w:rPr>
                <w:rFonts w:ascii="Calibri" w:hAnsi="Calibri"/>
                <w:color w:val="000000"/>
                <w:sz w:val="20"/>
              </w:rPr>
              <w:t>6.9</w:t>
            </w:r>
          </w:p>
        </w:tc>
        <w:tc>
          <w:tcPr>
            <w:tcW w:type="dxa" w:w="1728"/>
          </w:tcPr>
          <w:p>
            <w:r>
              <w:rPr>
                <w:rFonts w:ascii="Calibri" w:hAnsi="Calibri"/>
                <w:color w:val="000000"/>
                <w:sz w:val="20"/>
              </w:rPr>
              <w:t>5.9</w:t>
            </w:r>
          </w:p>
        </w:tc>
        <w:tc>
          <w:tcPr>
            <w:tcW w:type="dxa" w:w="1728"/>
          </w:tcPr>
          <w:p>
            <w:r>
              <w:rPr>
                <w:rFonts w:ascii="Calibri" w:hAnsi="Calibri"/>
                <w:color w:val="000000"/>
                <w:sz w:val="20"/>
              </w:rPr>
              <w:t>Declining - scale absorbing headcount</w:t>
            </w:r>
          </w:p>
        </w:tc>
      </w:tr>
      <w:tr>
        <w:tc>
          <w:tcPr>
            <w:tcW w:type="dxa" w:w="1728"/>
          </w:tcPr>
          <w:p>
            <w:r>
              <w:rPr>
                <w:rFonts w:ascii="Calibri" w:hAnsi="Calibri"/>
                <w:color w:val="000000"/>
                <w:sz w:val="20"/>
              </w:rPr>
              <w:t>Finance cost %</w:t>
            </w:r>
          </w:p>
        </w:tc>
        <w:tc>
          <w:tcPr>
            <w:tcW w:type="dxa" w:w="1728"/>
          </w:tcPr>
          <w:p>
            <w:r>
              <w:rPr>
                <w:rFonts w:ascii="Calibri" w:hAnsi="Calibri"/>
                <w:color w:val="000000"/>
                <w:sz w:val="20"/>
              </w:rPr>
              <w:t>5.8</w:t>
            </w:r>
          </w:p>
        </w:tc>
        <w:tc>
          <w:tcPr>
            <w:tcW w:type="dxa" w:w="1728"/>
          </w:tcPr>
          <w:p>
            <w:r>
              <w:rPr>
                <w:rFonts w:ascii="Calibri" w:hAnsi="Calibri"/>
                <w:color w:val="000000"/>
                <w:sz w:val="20"/>
              </w:rPr>
              <w:t>4.7</w:t>
            </w:r>
          </w:p>
        </w:tc>
        <w:tc>
          <w:tcPr>
            <w:tcW w:type="dxa" w:w="1728"/>
          </w:tcPr>
          <w:p>
            <w:r>
              <w:rPr>
                <w:rFonts w:ascii="Calibri" w:hAnsi="Calibri"/>
                <w:color w:val="000000"/>
                <w:sz w:val="20"/>
              </w:rPr>
              <w:t>3.1</w:t>
            </w:r>
          </w:p>
        </w:tc>
        <w:tc>
          <w:tcPr>
            <w:tcW w:type="dxa" w:w="1728"/>
          </w:tcPr>
          <w:p>
            <w:r>
              <w:rPr>
                <w:rFonts w:ascii="Calibri" w:hAnsi="Calibri"/>
                <w:color w:val="000000"/>
                <w:sz w:val="20"/>
              </w:rPr>
              <w:t>Declining - de-levering</w:t>
            </w:r>
          </w:p>
        </w:tc>
      </w:tr>
      <w:tr>
        <w:tc>
          <w:tcPr>
            <w:tcW w:type="dxa" w:w="1728"/>
          </w:tcPr>
          <w:p>
            <w:r>
              <w:rPr>
                <w:rFonts w:ascii="Calibri" w:hAnsi="Calibri"/>
                <w:color w:val="000000"/>
                <w:sz w:val="20"/>
              </w:rPr>
              <w:t>Marketing %</w:t>
            </w:r>
          </w:p>
        </w:tc>
        <w:tc>
          <w:tcPr>
            <w:tcW w:type="dxa" w:w="1728"/>
          </w:tcPr>
          <w:p>
            <w:r>
              <w:rPr>
                <w:rFonts w:ascii="Calibri" w:hAnsi="Calibri"/>
                <w:color w:val="000000"/>
                <w:sz w:val="20"/>
              </w:rPr>
              <w:t>low</w:t>
            </w:r>
          </w:p>
        </w:tc>
        <w:tc>
          <w:tcPr>
            <w:tcW w:type="dxa" w:w="1728"/>
          </w:tcPr>
          <w:p>
            <w:r>
              <w:rPr>
                <w:rFonts w:ascii="Calibri" w:hAnsi="Calibri"/>
                <w:color w:val="000000"/>
                <w:sz w:val="20"/>
              </w:rPr>
              <w:t>low</w:t>
            </w:r>
          </w:p>
        </w:tc>
        <w:tc>
          <w:tcPr>
            <w:tcW w:type="dxa" w:w="1728"/>
          </w:tcPr>
          <w:p>
            <w:r>
              <w:rPr>
                <w:rFonts w:ascii="Calibri" w:hAnsi="Calibri"/>
                <w:color w:val="000000"/>
                <w:sz w:val="20"/>
              </w:rPr>
              <w:t>~0.7</w:t>
            </w:r>
          </w:p>
        </w:tc>
        <w:tc>
          <w:tcPr>
            <w:tcW w:type="dxa" w:w="1728"/>
          </w:tcPr>
          <w:p>
            <w:r>
              <w:rPr>
                <w:rFonts w:ascii="Calibri" w:hAnsi="Calibri"/>
                <w:color w:val="000000"/>
                <w:sz w:val="20"/>
              </w:rPr>
              <w:t>Very low - questions the EBO growth plan's intensity</w:t>
            </w:r>
          </w:p>
        </w:tc>
      </w:tr>
      <w:tr>
        <w:tc>
          <w:tcPr>
            <w:tcW w:type="dxa" w:w="1728"/>
          </w:tcPr>
          <w:p>
            <w:r>
              <w:rPr>
                <w:rFonts w:ascii="Calibri" w:hAnsi="Calibri"/>
                <w:color w:val="000000"/>
                <w:sz w:val="20"/>
              </w:rPr>
              <w:t>Rent / fixed overhead %</w:t>
            </w:r>
          </w:p>
        </w:tc>
        <w:tc>
          <w:tcPr>
            <w:tcW w:type="dxa" w:w="1728"/>
          </w:tcPr>
          <w:p>
            <w:r>
              <w:rPr>
                <w:rFonts w:ascii="Calibri" w:hAnsi="Calibri"/>
                <w:color w:val="000000"/>
                <w:sz w:val="20"/>
              </w:rPr>
              <w:t>-</w:t>
            </w:r>
          </w:p>
        </w:tc>
        <w:tc>
          <w:tcPr>
            <w:tcW w:type="dxa" w:w="1728"/>
          </w:tcPr>
          <w:p>
            <w:r>
              <w:rPr>
                <w:rFonts w:ascii="Calibri" w:hAnsi="Calibri"/>
                <w:color w:val="000000"/>
                <w:sz w:val="20"/>
              </w:rPr>
              <w:t>~1.4</w:t>
            </w:r>
          </w:p>
        </w:tc>
        <w:tc>
          <w:tcPr>
            <w:tcW w:type="dxa" w:w="1728"/>
          </w:tcPr>
          <w:p>
            <w:r>
              <w:rPr>
                <w:rFonts w:ascii="Calibri" w:hAnsi="Calibri"/>
                <w:color w:val="000000"/>
                <w:sz w:val="20"/>
              </w:rPr>
              <w:t>~1.7</w:t>
            </w:r>
          </w:p>
        </w:tc>
        <w:tc>
          <w:tcPr>
            <w:tcW w:type="dxa" w:w="1728"/>
          </w:tcPr>
          <w:p>
            <w:r>
              <w:rPr>
                <w:rFonts w:ascii="Calibri" w:hAnsi="Calibri"/>
                <w:color w:val="000000"/>
                <w:sz w:val="20"/>
              </w:rPr>
              <w:t>Contained; will rise with COCO roll-out</w:t>
            </w:r>
          </w:p>
        </w:tc>
      </w:tr>
    </w:tbl>
    <w:p/>
    <w:p>
      <w:r>
        <w:rPr>
          <w:rFonts w:ascii="Calibri" w:hAnsi="Calibri"/>
          <w:color w:val="000000"/>
        </w:rPr>
        <w:t>Quarterly trend: MIS is annual, so a quarterly breakdown is not available.</w:t>
      </w:r>
    </w:p>
    <w:p>
      <w:pPr>
        <w:pBdr>
          <w:bottom w:val="single" w:sz="6" w:space="1" w:color="000000"/>
        </w:pBdr>
      </w:pPr>
    </w:p>
    <w:p>
      <w:pPr>
        <w:pStyle w:val="Heading2"/>
      </w:pPr>
      <w:r>
        <w:rPr>
          <w:rFonts w:ascii="Calibri" w:hAnsi="Calibri"/>
          <w:b/>
          <w:color w:val="000000"/>
          <w:sz w:val="24"/>
        </w:rPr>
        <w:t>Section 5 - Balance Sheet Analysis</w:t>
      </w:r>
    </w:p>
    <w:p>
      <w:r>
        <w:rPr>
          <w:rFonts w:ascii="Calibri" w:hAnsi="Calibri"/>
          <w:color w:val="000000"/>
        </w:rPr>
        <w:t>How the business is funded and how efficiently capital is used, and whether short-term money is being stretched to cover long-term assets.</w:t>
      </w:r>
    </w:p>
    <w:p>
      <w:pPr>
        <w:pStyle w:val="Heading3"/>
      </w:pPr>
      <w:r>
        <w:rPr>
          <w:rFonts w:ascii="Calibri" w:hAnsi="Calibri"/>
          <w:b/>
          <w:color w:val="000000"/>
          <w:sz w:val="22"/>
        </w:rPr>
        <w:t>A. Efficiency and Cash Conversion Cycle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0"/>
              </w:rPr>
              <w:t>Metric</w:t>
            </w:r>
          </w:p>
        </w:tc>
        <w:tc>
          <w:tcPr>
            <w:tcW w:type="dxa" w:w="1080"/>
          </w:tcPr>
          <w:p>
            <w:r>
              <w:rPr>
                <w:rFonts w:ascii="Calibri" w:hAnsi="Calibri"/>
                <w:b/>
                <w:color w:val="000000"/>
                <w:sz w:val="20"/>
              </w:rPr>
              <w:t>FY24</w:t>
            </w:r>
          </w:p>
        </w:tc>
        <w:tc>
          <w:tcPr>
            <w:tcW w:type="dxa" w:w="1080"/>
          </w:tcPr>
          <w:p>
            <w:r>
              <w:rPr>
                <w:rFonts w:ascii="Calibri" w:hAnsi="Calibri"/>
                <w:b/>
                <w:color w:val="000000"/>
                <w:sz w:val="20"/>
              </w:rPr>
              <w:t>FY25</w:t>
            </w:r>
          </w:p>
        </w:tc>
        <w:tc>
          <w:tcPr>
            <w:tcW w:type="dxa" w:w="1080"/>
          </w:tcPr>
          <w:p>
            <w:r>
              <w:rPr>
                <w:rFonts w:ascii="Calibri" w:hAnsi="Calibri"/>
                <w:b/>
                <w:color w:val="000000"/>
                <w:sz w:val="20"/>
              </w:rPr>
              <w:t>FY26 prov</w:t>
            </w:r>
          </w:p>
        </w:tc>
        <w:tc>
          <w:tcPr>
            <w:tcW w:type="dxa" w:w="1080"/>
          </w:tcPr>
          <w:p/>
        </w:tc>
        <w:tc>
          <w:tcPr>
            <w:tcW w:type="dxa" w:w="1080"/>
          </w:tcPr>
          <w:p>
            <w:r>
              <w:rPr>
                <w:rFonts w:ascii="Calibri" w:hAnsi="Calibri"/>
                <w:b/>
                <w:color w:val="000000"/>
                <w:sz w:val="20"/>
              </w:rPr>
              <w:t>Popees (FY26)</w:t>
            </w:r>
          </w:p>
        </w:tc>
        <w:tc>
          <w:tcPr>
            <w:tcW w:type="dxa" w:w="1080"/>
          </w:tcPr>
          <w:p>
            <w:r>
              <w:rPr>
                <w:rFonts w:ascii="Calibri" w:hAnsi="Calibri"/>
                <w:b/>
                <w:color w:val="000000"/>
                <w:sz w:val="20"/>
              </w:rPr>
              <w:t>Lux Industries</w:t>
            </w:r>
          </w:p>
        </w:tc>
        <w:tc>
          <w:tcPr>
            <w:tcW w:type="dxa" w:w="1080"/>
          </w:tcPr>
          <w:p>
            <w:r>
              <w:rPr>
                <w:rFonts w:ascii="Calibri" w:hAnsi="Calibri"/>
                <w:b/>
                <w:color w:val="000000"/>
                <w:sz w:val="20"/>
              </w:rPr>
              <w:t>FirstCry</w:t>
            </w:r>
          </w:p>
        </w:tc>
      </w:tr>
      <w:tr>
        <w:tc>
          <w:tcPr>
            <w:tcW w:type="dxa" w:w="1080"/>
          </w:tcPr>
          <w:p>
            <w:r>
              <w:rPr>
                <w:rFonts w:ascii="Calibri" w:hAnsi="Calibri"/>
                <w:color w:val="000000"/>
                <w:sz w:val="20"/>
              </w:rPr>
              <w:t>Debtor Days</w:t>
            </w:r>
          </w:p>
        </w:tc>
        <w:tc>
          <w:tcPr>
            <w:tcW w:type="dxa" w:w="1080"/>
          </w:tcPr>
          <w:p>
            <w:r>
              <w:rPr>
                <w:rFonts w:ascii="Calibri" w:hAnsi="Calibri"/>
                <w:color w:val="000000"/>
                <w:sz w:val="20"/>
              </w:rPr>
              <w:t>140</w:t>
            </w:r>
          </w:p>
        </w:tc>
        <w:tc>
          <w:tcPr>
            <w:tcW w:type="dxa" w:w="1080"/>
          </w:tcPr>
          <w:p>
            <w:r>
              <w:rPr>
                <w:rFonts w:ascii="Calibri" w:hAnsi="Calibri"/>
                <w:color w:val="000000"/>
                <w:sz w:val="20"/>
              </w:rPr>
              <w:t>137</w:t>
            </w:r>
          </w:p>
        </w:tc>
        <w:tc>
          <w:tcPr>
            <w:tcW w:type="dxa" w:w="1080"/>
          </w:tcPr>
          <w:p>
            <w:r>
              <w:rPr>
                <w:rFonts w:ascii="Calibri" w:hAnsi="Calibri"/>
                <w:color w:val="000000"/>
                <w:sz w:val="20"/>
              </w:rPr>
              <w:t>97</w:t>
            </w:r>
          </w:p>
        </w:tc>
        <w:tc>
          <w:tcPr>
            <w:tcW w:type="dxa" w:w="1080"/>
          </w:tcPr>
          <w:p/>
        </w:tc>
        <w:tc>
          <w:tcPr>
            <w:tcW w:type="dxa" w:w="1080"/>
          </w:tcPr>
          <w:p>
            <w:r>
              <w:rPr>
                <w:rFonts w:ascii="Calibri" w:hAnsi="Calibri"/>
                <w:color w:val="000000"/>
                <w:sz w:val="20"/>
              </w:rPr>
              <w:t>97</w:t>
            </w:r>
          </w:p>
        </w:tc>
        <w:tc>
          <w:tcPr>
            <w:tcW w:type="dxa" w:w="1080"/>
          </w:tcPr>
          <w:p>
            <w:r>
              <w:rPr>
                <w:rFonts w:ascii="Calibri" w:hAnsi="Calibri"/>
                <w:color w:val="000000"/>
                <w:sz w:val="20"/>
              </w:rPr>
              <w:t>~95-110</w:t>
            </w:r>
          </w:p>
        </w:tc>
        <w:tc>
          <w:tcPr>
            <w:tcW w:type="dxa" w:w="1080"/>
          </w:tcPr>
          <w:p>
            <w:r>
              <w:rPr>
                <w:rFonts w:ascii="Calibri" w:hAnsi="Calibri"/>
                <w:color w:val="000000"/>
                <w:sz w:val="20"/>
              </w:rPr>
              <w:t>~15-25</w:t>
            </w:r>
          </w:p>
        </w:tc>
      </w:tr>
      <w:tr>
        <w:tc>
          <w:tcPr>
            <w:tcW w:type="dxa" w:w="1080"/>
          </w:tcPr>
          <w:p>
            <w:r>
              <w:rPr>
                <w:rFonts w:ascii="Calibri" w:hAnsi="Calibri"/>
                <w:color w:val="000000"/>
                <w:sz w:val="20"/>
              </w:rPr>
              <w:t>Inventory Days</w:t>
            </w:r>
          </w:p>
        </w:tc>
        <w:tc>
          <w:tcPr>
            <w:tcW w:type="dxa" w:w="1080"/>
          </w:tcPr>
          <w:p>
            <w:r>
              <w:rPr>
                <w:rFonts w:ascii="Calibri" w:hAnsi="Calibri"/>
                <w:color w:val="000000"/>
                <w:sz w:val="20"/>
              </w:rPr>
              <w:t>160</w:t>
            </w:r>
          </w:p>
        </w:tc>
        <w:tc>
          <w:tcPr>
            <w:tcW w:type="dxa" w:w="1080"/>
          </w:tcPr>
          <w:p>
            <w:r>
              <w:rPr>
                <w:rFonts w:ascii="Calibri" w:hAnsi="Calibri"/>
                <w:color w:val="000000"/>
                <w:sz w:val="20"/>
              </w:rPr>
              <w:t>196</w:t>
            </w:r>
          </w:p>
        </w:tc>
        <w:tc>
          <w:tcPr>
            <w:tcW w:type="dxa" w:w="1080"/>
          </w:tcPr>
          <w:p>
            <w:r>
              <w:rPr>
                <w:rFonts w:ascii="Calibri" w:hAnsi="Calibri"/>
                <w:color w:val="000000"/>
                <w:sz w:val="20"/>
              </w:rPr>
              <w:t>268</w:t>
            </w:r>
          </w:p>
        </w:tc>
        <w:tc>
          <w:tcPr>
            <w:tcW w:type="dxa" w:w="1080"/>
          </w:tcPr>
          <w:p/>
        </w:tc>
        <w:tc>
          <w:tcPr>
            <w:tcW w:type="dxa" w:w="1080"/>
          </w:tcPr>
          <w:p>
            <w:r>
              <w:rPr>
                <w:rFonts w:ascii="Calibri" w:hAnsi="Calibri"/>
                <w:color w:val="000000"/>
                <w:sz w:val="20"/>
              </w:rPr>
              <w:t>268</w:t>
            </w:r>
          </w:p>
        </w:tc>
        <w:tc>
          <w:tcPr>
            <w:tcW w:type="dxa" w:w="1080"/>
          </w:tcPr>
          <w:p>
            <w:r>
              <w:rPr>
                <w:rFonts w:ascii="Calibri" w:hAnsi="Calibri"/>
                <w:color w:val="000000"/>
                <w:sz w:val="20"/>
              </w:rPr>
              <w:t>~150-180</w:t>
            </w:r>
          </w:p>
        </w:tc>
        <w:tc>
          <w:tcPr>
            <w:tcW w:type="dxa" w:w="1080"/>
          </w:tcPr>
          <w:p>
            <w:r>
              <w:rPr>
                <w:rFonts w:ascii="Calibri" w:hAnsi="Calibri"/>
                <w:color w:val="000000"/>
                <w:sz w:val="20"/>
              </w:rPr>
              <w:t>~60-80</w:t>
            </w:r>
          </w:p>
        </w:tc>
      </w:tr>
      <w:tr>
        <w:tc>
          <w:tcPr>
            <w:tcW w:type="dxa" w:w="1080"/>
          </w:tcPr>
          <w:p>
            <w:r>
              <w:rPr>
                <w:rFonts w:ascii="Calibri" w:hAnsi="Calibri"/>
                <w:color w:val="000000"/>
                <w:sz w:val="20"/>
              </w:rPr>
              <w:t>Creditor Days</w:t>
            </w:r>
          </w:p>
        </w:tc>
        <w:tc>
          <w:tcPr>
            <w:tcW w:type="dxa" w:w="1080"/>
          </w:tcPr>
          <w:p>
            <w:r>
              <w:rPr>
                <w:rFonts w:ascii="Calibri" w:hAnsi="Calibri"/>
                <w:color w:val="000000"/>
                <w:sz w:val="20"/>
              </w:rPr>
              <w:t>105</w:t>
            </w:r>
          </w:p>
        </w:tc>
        <w:tc>
          <w:tcPr>
            <w:tcW w:type="dxa" w:w="1080"/>
          </w:tcPr>
          <w:p>
            <w:r>
              <w:rPr>
                <w:rFonts w:ascii="Calibri" w:hAnsi="Calibri"/>
                <w:color w:val="000000"/>
                <w:sz w:val="20"/>
              </w:rPr>
              <w:t>119</w:t>
            </w:r>
          </w:p>
        </w:tc>
        <w:tc>
          <w:tcPr>
            <w:tcW w:type="dxa" w:w="1080"/>
          </w:tcPr>
          <w:p>
            <w:r>
              <w:rPr>
                <w:rFonts w:ascii="Calibri" w:hAnsi="Calibri"/>
                <w:color w:val="000000"/>
                <w:sz w:val="20"/>
              </w:rPr>
              <w:t>75</w:t>
            </w:r>
          </w:p>
        </w:tc>
        <w:tc>
          <w:tcPr>
            <w:tcW w:type="dxa" w:w="1080"/>
          </w:tcPr>
          <w:p/>
        </w:tc>
        <w:tc>
          <w:tcPr>
            <w:tcW w:type="dxa" w:w="1080"/>
          </w:tcPr>
          <w:p>
            <w:r>
              <w:rPr>
                <w:rFonts w:ascii="Calibri" w:hAnsi="Calibri"/>
                <w:color w:val="000000"/>
                <w:sz w:val="20"/>
              </w:rPr>
              <w:t>75</w:t>
            </w:r>
          </w:p>
        </w:tc>
        <w:tc>
          <w:tcPr>
            <w:tcW w:type="dxa" w:w="1080"/>
          </w:tcPr>
          <w:p>
            <w:r>
              <w:rPr>
                <w:rFonts w:ascii="Calibri" w:hAnsi="Calibri"/>
                <w:color w:val="000000"/>
                <w:sz w:val="20"/>
              </w:rPr>
              <w:t>~30-45</w:t>
            </w:r>
          </w:p>
        </w:tc>
        <w:tc>
          <w:tcPr>
            <w:tcW w:type="dxa" w:w="1080"/>
          </w:tcPr>
          <w:p>
            <w:r>
              <w:rPr>
                <w:rFonts w:ascii="Calibri" w:hAnsi="Calibri"/>
                <w:color w:val="000000"/>
                <w:sz w:val="20"/>
              </w:rPr>
              <w:t>~45-60</w:t>
            </w:r>
          </w:p>
        </w:tc>
      </w:tr>
      <w:tr>
        <w:tc>
          <w:tcPr>
            <w:tcW w:type="dxa" w:w="1080"/>
          </w:tcPr>
          <w:p>
            <w:r>
              <w:rPr>
                <w:rFonts w:ascii="Calibri" w:hAnsi="Calibri"/>
                <w:color w:val="000000"/>
                <w:sz w:val="20"/>
              </w:rPr>
              <w:t>CCC (days)</w:t>
            </w:r>
          </w:p>
        </w:tc>
        <w:tc>
          <w:tcPr>
            <w:tcW w:type="dxa" w:w="1080"/>
          </w:tcPr>
          <w:p>
            <w:r>
              <w:rPr>
                <w:rFonts w:ascii="Calibri" w:hAnsi="Calibri"/>
                <w:color w:val="000000"/>
                <w:sz w:val="20"/>
              </w:rPr>
              <w:t>194</w:t>
            </w:r>
          </w:p>
        </w:tc>
        <w:tc>
          <w:tcPr>
            <w:tcW w:type="dxa" w:w="1080"/>
          </w:tcPr>
          <w:p>
            <w:r>
              <w:rPr>
                <w:rFonts w:ascii="Calibri" w:hAnsi="Calibri"/>
                <w:color w:val="000000"/>
                <w:sz w:val="20"/>
              </w:rPr>
              <w:t>214</w:t>
            </w:r>
          </w:p>
        </w:tc>
        <w:tc>
          <w:tcPr>
            <w:tcW w:type="dxa" w:w="1080"/>
          </w:tcPr>
          <w:p>
            <w:r>
              <w:rPr>
                <w:rFonts w:ascii="Calibri" w:hAnsi="Calibri"/>
                <w:color w:val="000000"/>
                <w:sz w:val="20"/>
              </w:rPr>
              <w:t>290</w:t>
            </w:r>
          </w:p>
        </w:tc>
        <w:tc>
          <w:tcPr>
            <w:tcW w:type="dxa" w:w="1080"/>
          </w:tcPr>
          <w:p/>
        </w:tc>
        <w:tc>
          <w:tcPr>
            <w:tcW w:type="dxa" w:w="1080"/>
          </w:tcPr>
          <w:p>
            <w:r>
              <w:rPr>
                <w:rFonts w:ascii="Calibri" w:hAnsi="Calibri"/>
                <w:color w:val="000000"/>
                <w:sz w:val="20"/>
              </w:rPr>
              <w:t>290</w:t>
            </w:r>
          </w:p>
        </w:tc>
        <w:tc>
          <w:tcPr>
            <w:tcW w:type="dxa" w:w="1080"/>
          </w:tcPr>
          <w:p>
            <w:r>
              <w:rPr>
                <w:rFonts w:ascii="Calibri" w:hAnsi="Calibri"/>
                <w:color w:val="000000"/>
                <w:sz w:val="20"/>
              </w:rPr>
              <w:t>~250-290</w:t>
            </w:r>
          </w:p>
        </w:tc>
        <w:tc>
          <w:tcPr>
            <w:tcW w:type="dxa" w:w="1080"/>
          </w:tcPr>
          <w:p>
            <w:r>
              <w:rPr>
                <w:rFonts w:ascii="Calibri" w:hAnsi="Calibri"/>
                <w:color w:val="000000"/>
                <w:sz w:val="20"/>
              </w:rPr>
              <w:t>~30-60</w:t>
            </w:r>
          </w:p>
        </w:tc>
      </w:tr>
    </w:tbl>
    <w:p/>
    <w:p>
      <w:r>
        <w:rPr>
          <w:rFonts w:ascii="Calibri" w:hAnsi="Calibri"/>
          <w:color w:val="000000"/>
        </w:rPr>
        <w:t>The cash conversion cycle is the defining feature of this balance sheet and it is deteriorating: ~194, 214, 290 days. Debtor days actually improved in FY26 (97 vs 137), but inventory days blew out to 268 (inventory Rs 79.25 Cr, finished goods Rs 63.55 Cr) and creditor days shrank to 75, so the company now funds ~290 days of operating cycle. That is a red CCC band (over 120 days), and rising. The level is partly sector-structural - manufacturers like Lux run 250-290 day CCCs because of seasonal finished-goods stocking - so Popees is not an outlier among makers, but it is a world away from asset-light baby retail. The lender point: this business consumes working capital to grow, which is why it carries bank limits and why its free cash flow is thin (peer figures indicative).</w:t>
      </w:r>
    </w:p>
    <w:p>
      <w:pPr>
        <w:pStyle w:val="Heading3"/>
      </w:pPr>
      <w:r>
        <w:rPr>
          <w:rFonts w:ascii="Calibri" w:hAnsi="Calibri"/>
          <w:b/>
          <w:color w:val="000000"/>
          <w:sz w:val="22"/>
        </w:rPr>
        <w:t>B. Working-Capital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Check</w:t>
            </w:r>
          </w:p>
        </w:tc>
        <w:tc>
          <w:tcPr>
            <w:tcW w:type="dxa" w:w="2880"/>
          </w:tcPr>
          <w:p>
            <w:r>
              <w:rPr>
                <w:rFonts w:ascii="Calibri" w:hAnsi="Calibri"/>
                <w:b/>
                <w:color w:val="000000"/>
                <w:sz w:val="20"/>
              </w:rPr>
              <w:t>Finding</w:t>
            </w:r>
          </w:p>
        </w:tc>
        <w:tc>
          <w:tcPr>
            <w:tcW w:type="dxa" w:w="2880"/>
          </w:tcPr>
          <w:p>
            <w:r>
              <w:rPr>
                <w:rFonts w:ascii="Calibri" w:hAnsi="Calibri"/>
                <w:b/>
                <w:color w:val="000000"/>
                <w:sz w:val="20"/>
              </w:rPr>
              <w:t>Read</w:t>
            </w:r>
          </w:p>
        </w:tc>
      </w:tr>
      <w:tr>
        <w:tc>
          <w:tcPr>
            <w:tcW w:type="dxa" w:w="2880"/>
          </w:tcPr>
          <w:p>
            <w:r>
              <w:rPr>
                <w:rFonts w:ascii="Calibri" w:hAnsi="Calibri"/>
                <w:color w:val="000000"/>
                <w:sz w:val="20"/>
              </w:rPr>
              <w:t>Profit real?</w:t>
            </w:r>
          </w:p>
        </w:tc>
        <w:tc>
          <w:tcPr>
            <w:tcW w:type="dxa" w:w="2880"/>
          </w:tcPr>
          <w:p>
            <w:r>
              <w:rPr>
                <w:rFonts w:ascii="Calibri" w:hAnsi="Calibri"/>
                <w:color w:val="000000"/>
                <w:sz w:val="20"/>
              </w:rPr>
              <w:t>Debtor days improving (140 to 97), but inventory days stretching (160 to 268); Rs 3.83 Cr bad-debt write-off in FY25</w:t>
            </w:r>
          </w:p>
        </w:tc>
        <w:tc>
          <w:tcPr>
            <w:tcW w:type="dxa" w:w="2880"/>
          </w:tcPr>
          <w:p>
            <w:r>
              <w:rPr>
                <w:rFonts w:ascii="Calibri" w:hAnsi="Calibri"/>
                <w:color w:val="000000"/>
                <w:sz w:val="20"/>
              </w:rPr>
              <w:t>Concern - accrual-real but parked in inventory and advances</w:t>
            </w:r>
          </w:p>
        </w:tc>
      </w:tr>
      <w:tr>
        <w:tc>
          <w:tcPr>
            <w:tcW w:type="dxa" w:w="2880"/>
          </w:tcPr>
          <w:p>
            <w:r>
              <w:rPr>
                <w:rFonts w:ascii="Calibri" w:hAnsi="Calibri"/>
                <w:color w:val="000000"/>
                <w:sz w:val="20"/>
              </w:rPr>
              <w:t>dWC over Revenue growth</w:t>
            </w:r>
          </w:p>
        </w:tc>
        <w:tc>
          <w:tcPr>
            <w:tcW w:type="dxa" w:w="2880"/>
          </w:tcPr>
          <w:p>
            <w:r>
              <w:rPr>
                <w:rFonts w:ascii="Calibri" w:hAnsi="Calibri"/>
                <w:color w:val="000000"/>
                <w:sz w:val="20"/>
              </w:rPr>
              <w:t>FY26 saw a ~Rs 18 Cr WC release as supplier advances unwound; FY25 was the reverse (~Rs 40 Cr build on Rs 13 Cr growth)</w:t>
            </w:r>
          </w:p>
        </w:tc>
        <w:tc>
          <w:tcPr>
            <w:tcW w:type="dxa" w:w="2880"/>
          </w:tcPr>
          <w:p>
            <w:r>
              <w:rPr>
                <w:rFonts w:ascii="Calibri" w:hAnsi="Calibri"/>
                <w:color w:val="000000"/>
                <w:sz w:val="20"/>
              </w:rPr>
              <w:t>Concern - volatile, driven by the supplier-advance swing</w:t>
            </w:r>
          </w:p>
        </w:tc>
      </w:tr>
      <w:tr>
        <w:tc>
          <w:tcPr>
            <w:tcW w:type="dxa" w:w="2880"/>
          </w:tcPr>
          <w:p>
            <w:r>
              <w:rPr>
                <w:rFonts w:ascii="Calibri" w:hAnsi="Calibri"/>
                <w:color w:val="000000"/>
                <w:sz w:val="20"/>
              </w:rPr>
              <w:t>ROCE over cost of funding?</w:t>
            </w:r>
          </w:p>
        </w:tc>
        <w:tc>
          <w:tcPr>
            <w:tcW w:type="dxa" w:w="2880"/>
          </w:tcPr>
          <w:p>
            <w:r>
              <w:rPr>
                <w:rFonts w:ascii="Calibri" w:hAnsi="Calibri"/>
                <w:color w:val="000000"/>
                <w:sz w:val="20"/>
              </w:rPr>
              <w:t>FY26 ROCE 22.3% vs CoD ~16.8%</w:t>
            </w:r>
          </w:p>
        </w:tc>
        <w:tc>
          <w:tcPr>
            <w:tcW w:type="dxa" w:w="2880"/>
          </w:tcPr>
          <w:p>
            <w:r>
              <w:rPr>
                <w:rFonts w:ascii="Calibri" w:hAnsi="Calibri"/>
                <w:color w:val="000000"/>
                <w:sz w:val="20"/>
              </w:rPr>
              <w:t>OK - capital earns above its cost</w:t>
            </w:r>
          </w:p>
        </w:tc>
      </w:tr>
    </w:tbl>
    <w:p/>
    <w:p>
      <w:r>
        <w:rPr>
          <w:rFonts w:ascii="Calibri" w:hAnsi="Calibri"/>
          <w:color w:val="000000"/>
        </w:rPr>
        <w:t>Working-capital quality is the main caution. The ratios are distorted by two non-trade current-asset lines: advance to suppliers Rs 22.87 Cr (FY26; Rs 39.88 Cr in FY25) and a loan to the director Rs 6.58 Cr (up from Rs 2.07 Cr). The FY25 advance spike consumed the equity raise; its FY26 unwind is what turned OCF positive. Until the nature, ageing and recoverability of those advances and the director loan are understood, the balance-sheet quality is unproven.</w:t>
      </w:r>
    </w:p>
    <w:p>
      <w:pPr>
        <w:pStyle w:val="Heading3"/>
      </w:pPr>
      <w:r>
        <w:rPr>
          <w:rFonts w:ascii="Calibri" w:hAnsi="Calibri"/>
          <w:b/>
          <w:color w:val="000000"/>
          <w:sz w:val="22"/>
        </w:rPr>
        <w:t>C. Return on Capital vs Cost of Debt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Year</w:t>
            </w:r>
          </w:p>
        </w:tc>
        <w:tc>
          <w:tcPr>
            <w:tcW w:type="dxa" w:w="1440"/>
          </w:tcPr>
          <w:p>
            <w:r>
              <w:rPr>
                <w:rFonts w:ascii="Calibri" w:hAnsi="Calibri"/>
                <w:b/>
                <w:color w:val="000000"/>
                <w:sz w:val="20"/>
              </w:rPr>
              <w:t>ROCE</w:t>
            </w:r>
          </w:p>
        </w:tc>
        <w:tc>
          <w:tcPr>
            <w:tcW w:type="dxa" w:w="1440"/>
          </w:tcPr>
          <w:p>
            <w:r>
              <w:rPr>
                <w:rFonts w:ascii="Calibri" w:hAnsi="Calibri"/>
                <w:b/>
                <w:color w:val="000000"/>
                <w:sz w:val="20"/>
              </w:rPr>
              <w:t>CoD</w:t>
            </w:r>
          </w:p>
        </w:tc>
        <w:tc>
          <w:tcPr>
            <w:tcW w:type="dxa" w:w="1440"/>
          </w:tcPr>
          <w:p>
            <w:r>
              <w:rPr>
                <w:rFonts w:ascii="Calibri" w:hAnsi="Calibri"/>
                <w:b/>
                <w:color w:val="000000"/>
                <w:sz w:val="20"/>
              </w:rPr>
              <w:t>ROCE minus CoD</w:t>
            </w:r>
          </w:p>
        </w:tc>
        <w:tc>
          <w:tcPr>
            <w:tcW w:type="dxa" w:w="1440"/>
          </w:tcPr>
          <w:p>
            <w:r>
              <w:rPr>
                <w:rFonts w:ascii="Calibri" w:hAnsi="Calibri"/>
                <w:b/>
                <w:color w:val="000000"/>
                <w:sz w:val="20"/>
              </w:rPr>
              <w:t>Earnings cover interest?</w:t>
            </w:r>
          </w:p>
        </w:tc>
        <w:tc>
          <w:tcPr>
            <w:tcW w:type="dxa" w:w="1440"/>
          </w:tcPr>
          <w:p>
            <w:r>
              <w:rPr>
                <w:rFonts w:ascii="Calibri" w:hAnsi="Calibri"/>
                <w:b/>
                <w:color w:val="000000"/>
                <w:sz w:val="20"/>
              </w:rPr>
              <w:t>Stage (1 to 4)</w:t>
            </w:r>
          </w:p>
        </w:tc>
      </w:tr>
      <w:tr>
        <w:tc>
          <w:tcPr>
            <w:tcW w:type="dxa" w:w="1440"/>
          </w:tcPr>
          <w:p>
            <w:r>
              <w:rPr>
                <w:rFonts w:ascii="Calibri" w:hAnsi="Calibri"/>
                <w:color w:val="000000"/>
                <w:sz w:val="20"/>
              </w:rPr>
              <w:t>FY25</w:t>
            </w:r>
          </w:p>
        </w:tc>
        <w:tc>
          <w:tcPr>
            <w:tcW w:type="dxa" w:w="1440"/>
          </w:tcPr>
          <w:p>
            <w:r>
              <w:rPr>
                <w:rFonts w:ascii="Calibri" w:hAnsi="Calibri"/>
                <w:color w:val="000000"/>
                <w:sz w:val="20"/>
              </w:rPr>
              <w:t>15.5%</w:t>
            </w:r>
          </w:p>
        </w:tc>
        <w:tc>
          <w:tcPr>
            <w:tcW w:type="dxa" w:w="1440"/>
          </w:tcPr>
          <w:p>
            <w:r>
              <w:rPr>
                <w:rFonts w:ascii="Calibri" w:hAnsi="Calibri"/>
                <w:color w:val="000000"/>
                <w:sz w:val="20"/>
              </w:rPr>
              <w:t>16.6%</w:t>
            </w:r>
          </w:p>
        </w:tc>
        <w:tc>
          <w:tcPr>
            <w:tcW w:type="dxa" w:w="1440"/>
          </w:tcPr>
          <w:p>
            <w:r>
              <w:rPr>
                <w:rFonts w:ascii="Calibri" w:hAnsi="Calibri"/>
                <w:color w:val="000000"/>
                <w:sz w:val="20"/>
              </w:rPr>
              <w:t>-1.1%</w:t>
            </w:r>
          </w:p>
        </w:tc>
        <w:tc>
          <w:tcPr>
            <w:tcW w:type="dxa" w:w="1440"/>
          </w:tcPr>
          <w:p>
            <w:r>
              <w:rPr>
                <w:rFonts w:ascii="Calibri" w:hAnsi="Calibri"/>
                <w:color w:val="000000"/>
                <w:sz w:val="20"/>
              </w:rPr>
              <w:t>Yes (EBIT cover 2.7x)</w:t>
            </w:r>
          </w:p>
        </w:tc>
        <w:tc>
          <w:tcPr>
            <w:tcW w:type="dxa" w:w="1440"/>
          </w:tcPr>
          <w:p>
            <w:r>
              <w:rPr>
                <w:rFonts w:ascii="Calibri" w:hAnsi="Calibri"/>
                <w:color w:val="000000"/>
                <w:sz w:val="20"/>
              </w:rPr>
              <w:t>3</w:t>
            </w:r>
          </w:p>
        </w:tc>
      </w:tr>
      <w:tr>
        <w:tc>
          <w:tcPr>
            <w:tcW w:type="dxa" w:w="1440"/>
          </w:tcPr>
          <w:p>
            <w:r>
              <w:rPr>
                <w:rFonts w:ascii="Calibri" w:hAnsi="Calibri"/>
                <w:color w:val="000000"/>
                <w:sz w:val="20"/>
              </w:rPr>
              <w:t>FY26 prov</w:t>
            </w:r>
          </w:p>
        </w:tc>
        <w:tc>
          <w:tcPr>
            <w:tcW w:type="dxa" w:w="1440"/>
          </w:tcPr>
          <w:p>
            <w:r>
              <w:rPr>
                <w:rFonts w:ascii="Calibri" w:hAnsi="Calibri"/>
                <w:color w:val="000000"/>
                <w:sz w:val="20"/>
              </w:rPr>
              <w:t>22.3%</w:t>
            </w:r>
          </w:p>
        </w:tc>
        <w:tc>
          <w:tcPr>
            <w:tcW w:type="dxa" w:w="1440"/>
          </w:tcPr>
          <w:p>
            <w:r>
              <w:rPr>
                <w:rFonts w:ascii="Calibri" w:hAnsi="Calibri"/>
                <w:color w:val="000000"/>
                <w:sz w:val="20"/>
              </w:rPr>
              <w:t>16.8%</w:t>
            </w:r>
          </w:p>
        </w:tc>
        <w:tc>
          <w:tcPr>
            <w:tcW w:type="dxa" w:w="1440"/>
          </w:tcPr>
          <w:p>
            <w:r>
              <w:rPr>
                <w:rFonts w:ascii="Calibri" w:hAnsi="Calibri"/>
                <w:color w:val="000000"/>
                <w:sz w:val="20"/>
              </w:rPr>
              <w:t>+5.5%</w:t>
            </w:r>
          </w:p>
        </w:tc>
        <w:tc>
          <w:tcPr>
            <w:tcW w:type="dxa" w:w="1440"/>
          </w:tcPr>
          <w:p>
            <w:r>
              <w:rPr>
                <w:rFonts w:ascii="Calibri" w:hAnsi="Calibri"/>
                <w:color w:val="000000"/>
                <w:sz w:val="20"/>
              </w:rPr>
              <w:t>Yes (EBIT cover 5.8x)</w:t>
            </w:r>
          </w:p>
        </w:tc>
        <w:tc>
          <w:tcPr>
            <w:tcW w:type="dxa" w:w="1440"/>
          </w:tcPr>
          <w:p>
            <w:r>
              <w:rPr>
                <w:rFonts w:ascii="Calibri" w:hAnsi="Calibri"/>
                <w:color w:val="000000"/>
                <w:sz w:val="20"/>
              </w:rPr>
              <w:t>1</w:t>
            </w:r>
          </w:p>
        </w:tc>
      </w:tr>
    </w:tbl>
    <w:p/>
    <w:p>
      <w:r>
        <w:rPr>
          <w:rFonts w:ascii="Calibri" w:hAnsi="Calibri"/>
          <w:color w:val="000000"/>
        </w:rPr>
        <w:t>Incremental: NOPLAT change +Rs 10.33 Cr over capital change Rs 19.85 Cr = incremental ROCE 52% vs CoD ~17%, well above cost. On an accounting basis each new rupee of capital is deployed productively and FY26 sits in Stage 1. The caveat from Section 3 stands: this is accounting return; on a cash basis interest cover is below 1x because returns are locked in working capital. The ~17% blended cost of debt is high, so a cheaper facility that displaces the dearer cash-credit lines would itself be accretive.</w:t>
      </w:r>
    </w:p>
    <w:p>
      <w:pPr>
        <w:pStyle w:val="Heading3"/>
      </w:pPr>
      <w:r>
        <w:rPr>
          <w:rFonts w:ascii="Calibri" w:hAnsi="Calibri"/>
          <w:b/>
          <w:color w:val="000000"/>
          <w:sz w:val="22"/>
        </w:rPr>
        <w:t>D. Liquidity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Ratio</w:t>
            </w:r>
          </w:p>
        </w:tc>
        <w:tc>
          <w:tcPr>
            <w:tcW w:type="dxa" w:w="2160"/>
          </w:tcPr>
          <w:p>
            <w:r>
              <w:rPr>
                <w:rFonts w:ascii="Calibri" w:hAnsi="Calibri"/>
                <w:b/>
                <w:color w:val="000000"/>
                <w:sz w:val="20"/>
              </w:rPr>
              <w:t>Value</w:t>
            </w:r>
          </w:p>
        </w:tc>
        <w:tc>
          <w:tcPr>
            <w:tcW w:type="dxa" w:w="2160"/>
          </w:tcPr>
          <w:p>
            <w:r>
              <w:rPr>
                <w:rFonts w:ascii="Calibri" w:hAnsi="Calibri"/>
                <w:b/>
                <w:color w:val="000000"/>
                <w:sz w:val="20"/>
              </w:rPr>
              <w:t>Benchmark</w:t>
            </w:r>
          </w:p>
        </w:tc>
        <w:tc>
          <w:tcPr>
            <w:tcW w:type="dxa" w:w="2160"/>
          </w:tcPr>
          <w:p>
            <w:r>
              <w:rPr>
                <w:rFonts w:ascii="Calibri" w:hAnsi="Calibri"/>
                <w:b/>
                <w:color w:val="000000"/>
                <w:sz w:val="20"/>
              </w:rPr>
              <w:t>Flag</w:t>
            </w:r>
          </w:p>
        </w:tc>
      </w:tr>
      <w:tr>
        <w:tc>
          <w:tcPr>
            <w:tcW w:type="dxa" w:w="2160"/>
          </w:tcPr>
          <w:p>
            <w:r>
              <w:rPr>
                <w:rFonts w:ascii="Calibri" w:hAnsi="Calibri"/>
                <w:color w:val="000000"/>
                <w:sz w:val="20"/>
              </w:rPr>
              <w:t>Current Ratio</w:t>
            </w:r>
          </w:p>
        </w:tc>
        <w:tc>
          <w:tcPr>
            <w:tcW w:type="dxa" w:w="2160"/>
          </w:tcPr>
          <w:p>
            <w:r>
              <w:rPr>
                <w:rFonts w:ascii="Calibri" w:hAnsi="Calibri"/>
                <w:color w:val="000000"/>
                <w:sz w:val="20"/>
              </w:rPr>
              <w:t>2.70x</w:t>
            </w:r>
          </w:p>
        </w:tc>
        <w:tc>
          <w:tcPr>
            <w:tcW w:type="dxa" w:w="2160"/>
          </w:tcPr>
          <w:p>
            <w:r>
              <w:rPr>
                <w:rFonts w:ascii="Calibri" w:hAnsi="Calibri"/>
                <w:color w:val="000000"/>
                <w:sz w:val="20"/>
              </w:rPr>
              <w:t>over 1.2x</w:t>
            </w:r>
          </w:p>
        </w:tc>
        <w:tc>
          <w:tcPr>
            <w:tcW w:type="dxa" w:w="2160"/>
          </w:tcPr>
          <w:p>
            <w:r>
              <w:rPr>
                <w:rFonts w:ascii="Calibri" w:hAnsi="Calibri"/>
                <w:color w:val="000000"/>
                <w:sz w:val="20"/>
              </w:rPr>
              <w:t>Clears, but overstated</w:t>
            </w:r>
          </w:p>
        </w:tc>
      </w:tr>
      <w:tr>
        <w:tc>
          <w:tcPr>
            <w:tcW w:type="dxa" w:w="2160"/>
          </w:tcPr>
          <w:p>
            <w:r>
              <w:rPr>
                <w:rFonts w:ascii="Calibri" w:hAnsi="Calibri"/>
                <w:color w:val="000000"/>
                <w:sz w:val="20"/>
              </w:rPr>
              <w:t>Quick Ratio</w:t>
            </w:r>
          </w:p>
        </w:tc>
        <w:tc>
          <w:tcPr>
            <w:tcW w:type="dxa" w:w="2160"/>
          </w:tcPr>
          <w:p>
            <w:r>
              <w:rPr>
                <w:rFonts w:ascii="Calibri" w:hAnsi="Calibri"/>
                <w:color w:val="000000"/>
                <w:sz w:val="20"/>
              </w:rPr>
              <w:t>1.32x</w:t>
            </w:r>
          </w:p>
        </w:tc>
        <w:tc>
          <w:tcPr>
            <w:tcW w:type="dxa" w:w="2160"/>
          </w:tcPr>
          <w:p>
            <w:r>
              <w:rPr>
                <w:rFonts w:ascii="Calibri" w:hAnsi="Calibri"/>
                <w:color w:val="000000"/>
                <w:sz w:val="20"/>
              </w:rPr>
              <w:t>over 1.0x</w:t>
            </w:r>
          </w:p>
        </w:tc>
        <w:tc>
          <w:tcPr>
            <w:tcW w:type="dxa" w:w="2160"/>
          </w:tcPr>
          <w:p>
            <w:r>
              <w:rPr>
                <w:rFonts w:ascii="Calibri" w:hAnsi="Calibri"/>
                <w:color w:val="000000"/>
                <w:sz w:val="20"/>
              </w:rPr>
              <w:t>Clears, but overstated</w:t>
            </w:r>
          </w:p>
        </w:tc>
      </w:tr>
    </w:tbl>
    <w:p/>
    <w:p>
      <w:r>
        <w:rPr>
          <w:rFonts w:ascii="Calibri" w:hAnsi="Calibri"/>
          <w:color w:val="000000"/>
        </w:rPr>
        <w:t>Both clear their benchmarks, but they overstate true liquidity: the quick ratio still leans on Rs 42.91 Cr of receivables and Rs 22.87 Cr of supplier advances, while actual cash is only Rs 0.61 Cr against Rs 20.67 Cr of short-term borrowings. Liquid on paper, tight in cash - the business runs on the rollover of its working-capital limits, not on a cash buffer.</w:t>
      </w:r>
    </w:p>
    <w:p>
      <w:pPr>
        <w:pStyle w:val="Heading3"/>
      </w:pPr>
      <w:r>
        <w:rPr>
          <w:rFonts w:ascii="Calibri" w:hAnsi="Calibri"/>
          <w:b/>
          <w:color w:val="000000"/>
          <w:sz w:val="22"/>
        </w:rPr>
        <w:t>E. Source and Use of Funds (FY26 provisional)</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Calibri" w:hAnsi="Calibri"/>
                <w:b/>
                <w:color w:val="000000"/>
                <w:sz w:val="20"/>
              </w:rPr>
              <w:t>Short-term (Rs Cr)</w:t>
            </w:r>
          </w:p>
        </w:tc>
        <w:tc>
          <w:tcPr>
            <w:tcW w:type="dxa" w:w="2880"/>
          </w:tcPr>
          <w:p>
            <w:r>
              <w:rPr>
                <w:rFonts w:ascii="Calibri" w:hAnsi="Calibri"/>
                <w:b/>
                <w:color w:val="000000"/>
                <w:sz w:val="20"/>
              </w:rPr>
              <w:t>Long-term (Rs Cr)</w:t>
            </w:r>
          </w:p>
        </w:tc>
      </w:tr>
      <w:tr>
        <w:tc>
          <w:tcPr>
            <w:tcW w:type="dxa" w:w="2880"/>
          </w:tcPr>
          <w:p>
            <w:r>
              <w:rPr>
                <w:rFonts w:ascii="Calibri" w:hAnsi="Calibri"/>
                <w:color w:val="000000"/>
                <w:sz w:val="20"/>
              </w:rPr>
              <w:t>Sources</w:t>
            </w:r>
          </w:p>
        </w:tc>
        <w:tc>
          <w:tcPr>
            <w:tcW w:type="dxa" w:w="2880"/>
          </w:tcPr>
          <w:p>
            <w:r>
              <w:rPr>
                <w:rFonts w:ascii="Calibri" w:hAnsi="Calibri"/>
                <w:color w:val="000000"/>
                <w:sz w:val="20"/>
              </w:rPr>
              <w:t>ST borrowings 20.67 + payables 22.22 + other CL 9.41 + ST provisions 5.32 = 57.62</w:t>
            </w:r>
          </w:p>
        </w:tc>
        <w:tc>
          <w:tcPr>
            <w:tcW w:type="dxa" w:w="2880"/>
          </w:tcPr>
          <w:p>
            <w:r>
              <w:rPr>
                <w:rFonts w:ascii="Calibri" w:hAnsi="Calibri"/>
                <w:color w:val="000000"/>
                <w:sz w:val="20"/>
              </w:rPr>
              <w:t>Equity &amp; reserves 104.15 + LT borrowings 3.27 + distributor deposits 11.19 = 118.61</w:t>
            </w:r>
          </w:p>
        </w:tc>
      </w:tr>
      <w:tr>
        <w:tc>
          <w:tcPr>
            <w:tcW w:type="dxa" w:w="2880"/>
          </w:tcPr>
          <w:p>
            <w:r>
              <w:rPr>
                <w:rFonts w:ascii="Calibri" w:hAnsi="Calibri"/>
                <w:color w:val="000000"/>
                <w:sz w:val="20"/>
              </w:rPr>
              <w:t>Uses</w:t>
            </w:r>
          </w:p>
        </w:tc>
        <w:tc>
          <w:tcPr>
            <w:tcW w:type="dxa" w:w="2880"/>
          </w:tcPr>
          <w:p>
            <w:r>
              <w:rPr>
                <w:rFonts w:ascii="Calibri" w:hAnsi="Calibri"/>
                <w:color w:val="000000"/>
                <w:sz w:val="20"/>
              </w:rPr>
              <w:t>Receivables 42.91 + inventory 79.25 + cash 0.61 + supplier advances 22.88 + ST loans 9.66 = 155.31</w:t>
            </w:r>
          </w:p>
        </w:tc>
        <w:tc>
          <w:tcPr>
            <w:tcW w:type="dxa" w:w="2880"/>
          </w:tcPr>
          <w:p>
            <w:r>
              <w:rPr>
                <w:rFonts w:ascii="Calibri" w:hAnsi="Calibri"/>
                <w:color w:val="000000"/>
                <w:sz w:val="20"/>
              </w:rPr>
              <w:t>Fixed assets 12.33 + intangibles 4.57 + DTA 0.60 + other NCA 3.40 = 20.90</w:t>
            </w:r>
          </w:p>
        </w:tc>
      </w:tr>
    </w:tbl>
    <w:p/>
    <w:p>
      <w:r>
        <w:rPr>
          <w:rFonts w:ascii="Calibri" w:hAnsi="Calibri"/>
          <w:color w:val="000000"/>
        </w:rPr>
        <w:t>ST sources Rs 57.62 Cr vs ST uses Rs 155.31 Cr - short-term uses far exceed short-term sources, with the Rs 97.7 Cr gap funded by long-term money (mostly equity). That is the conservative direction (long-term funding short-term assets), so no dangerous maturity mismatch. The issue is the sheer size of the working-capital asset block, not the funding direction.</w:t>
      </w:r>
    </w:p>
    <w:p>
      <w:pPr>
        <w:pStyle w:val="Heading3"/>
      </w:pPr>
      <w:r>
        <w:rPr>
          <w:rFonts w:ascii="Calibri" w:hAnsi="Calibri"/>
          <w:b/>
          <w:color w:val="000000"/>
          <w:sz w:val="22"/>
        </w:rPr>
        <w:t>F. Revenue Quality (top clients)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Client</w:t>
            </w:r>
          </w:p>
        </w:tc>
        <w:tc>
          <w:tcPr>
            <w:tcW w:type="dxa" w:w="2160"/>
          </w:tcPr>
          <w:p>
            <w:r>
              <w:rPr>
                <w:rFonts w:ascii="Calibri" w:hAnsi="Calibri"/>
                <w:b/>
                <w:color w:val="000000"/>
                <w:sz w:val="20"/>
              </w:rPr>
              <w:t>Revenue / receivables share</w:t>
            </w:r>
          </w:p>
        </w:tc>
        <w:tc>
          <w:tcPr>
            <w:tcW w:type="dxa" w:w="2160"/>
          </w:tcPr>
          <w:p>
            <w:r>
              <w:rPr>
                <w:rFonts w:ascii="Calibri" w:hAnsi="Calibri"/>
                <w:b/>
                <w:color w:val="000000"/>
                <w:sz w:val="20"/>
              </w:rPr>
              <w:t>Listed / Unlisted</w:t>
            </w:r>
          </w:p>
        </w:tc>
        <w:tc>
          <w:tcPr>
            <w:tcW w:type="dxa" w:w="2160"/>
          </w:tcPr>
          <w:p>
            <w:r>
              <w:rPr>
                <w:rFonts w:ascii="Calibri" w:hAnsi="Calibri"/>
                <w:b/>
                <w:color w:val="000000"/>
                <w:sz w:val="20"/>
              </w:rPr>
              <w:t>Credibility read</w:t>
            </w:r>
          </w:p>
        </w:tc>
      </w:tr>
      <w:tr>
        <w:tc>
          <w:tcPr>
            <w:tcW w:type="dxa" w:w="2160"/>
          </w:tcPr>
          <w:p>
            <w:r>
              <w:rPr>
                <w:rFonts w:ascii="Calibri" w:hAnsi="Calibri"/>
                <w:color w:val="000000"/>
                <w:sz w:val="20"/>
              </w:rPr>
              <w:t>BR Trading Manjeri</w:t>
            </w:r>
          </w:p>
        </w:tc>
        <w:tc>
          <w:tcPr>
            <w:tcW w:type="dxa" w:w="2160"/>
          </w:tcPr>
          <w:p>
            <w:r>
              <w:rPr>
                <w:rFonts w:ascii="Calibri" w:hAnsi="Calibri"/>
                <w:color w:val="000000"/>
                <w:sz w:val="20"/>
              </w:rPr>
              <w:t>Rs 16.73 Cr = 39% of receivables</w:t>
            </w:r>
          </w:p>
        </w:tc>
        <w:tc>
          <w:tcPr>
            <w:tcW w:type="dxa" w:w="2160"/>
          </w:tcPr>
          <w:p>
            <w:r>
              <w:rPr>
                <w:rFonts w:ascii="Calibri" w:hAnsi="Calibri"/>
                <w:color w:val="000000"/>
                <w:sz w:val="20"/>
              </w:rPr>
              <w:t>Unlisted</w:t>
            </w:r>
          </w:p>
        </w:tc>
        <w:tc>
          <w:tcPr>
            <w:tcW w:type="dxa" w:w="2160"/>
          </w:tcPr>
          <w:p>
            <w:r>
              <w:rPr>
                <w:rFonts w:ascii="Calibri" w:hAnsi="Calibri"/>
                <w:color w:val="000000"/>
                <w:sz w:val="20"/>
              </w:rPr>
              <w:t>Largest by far, all within 180 days. Name and home-town base suggest a possible related/anchor distributor - must be confirmed; a 39% single-name concentration is a real continuity and collectability risk</w:t>
            </w:r>
          </w:p>
        </w:tc>
      </w:tr>
      <w:tr>
        <w:tc>
          <w:tcPr>
            <w:tcW w:type="dxa" w:w="2160"/>
          </w:tcPr>
          <w:p>
            <w:r>
              <w:rPr>
                <w:rFonts w:ascii="Calibri" w:hAnsi="Calibri"/>
                <w:color w:val="000000"/>
                <w:sz w:val="20"/>
              </w:rPr>
              <w:t>Veliyath Enterprises</w:t>
            </w:r>
          </w:p>
        </w:tc>
        <w:tc>
          <w:tcPr>
            <w:tcW w:type="dxa" w:w="2160"/>
          </w:tcPr>
          <w:p>
            <w:r>
              <w:rPr>
                <w:rFonts w:ascii="Calibri" w:hAnsi="Calibri"/>
                <w:color w:val="000000"/>
                <w:sz w:val="20"/>
              </w:rPr>
              <w:t>Rs 4.23 Cr = 10%</w:t>
            </w:r>
          </w:p>
        </w:tc>
        <w:tc>
          <w:tcPr>
            <w:tcW w:type="dxa" w:w="2160"/>
          </w:tcPr>
          <w:p>
            <w:r>
              <w:rPr>
                <w:rFonts w:ascii="Calibri" w:hAnsi="Calibri"/>
                <w:color w:val="000000"/>
                <w:sz w:val="20"/>
              </w:rPr>
              <w:t>Unlisted</w:t>
            </w:r>
          </w:p>
        </w:tc>
        <w:tc>
          <w:tcPr>
            <w:tcW w:type="dxa" w:w="2160"/>
          </w:tcPr>
          <w:p>
            <w:r>
              <w:rPr>
                <w:rFonts w:ascii="Calibri" w:hAnsi="Calibri"/>
                <w:color w:val="000000"/>
                <w:sz w:val="20"/>
              </w:rPr>
              <w:t>Distributor; Rs 2.09 Cr is over 180 days</w:t>
            </w:r>
          </w:p>
        </w:tc>
      </w:tr>
      <w:tr>
        <w:tc>
          <w:tcPr>
            <w:tcW w:type="dxa" w:w="2160"/>
          </w:tcPr>
          <w:p>
            <w:r>
              <w:rPr>
                <w:rFonts w:ascii="Calibri" w:hAnsi="Calibri"/>
                <w:color w:val="000000"/>
                <w:sz w:val="20"/>
              </w:rPr>
              <w:t>Ennexa Marketing Pvt Ltd</w:t>
            </w:r>
          </w:p>
        </w:tc>
        <w:tc>
          <w:tcPr>
            <w:tcW w:type="dxa" w:w="2160"/>
          </w:tcPr>
          <w:p>
            <w:r>
              <w:rPr>
                <w:rFonts w:ascii="Calibri" w:hAnsi="Calibri"/>
                <w:color w:val="000000"/>
                <w:sz w:val="20"/>
              </w:rPr>
              <w:t>Rs 3.39 Cr = 8%</w:t>
            </w:r>
          </w:p>
        </w:tc>
        <w:tc>
          <w:tcPr>
            <w:tcW w:type="dxa" w:w="2160"/>
          </w:tcPr>
          <w:p>
            <w:r>
              <w:rPr>
                <w:rFonts w:ascii="Calibri" w:hAnsi="Calibri"/>
                <w:color w:val="000000"/>
                <w:sz w:val="20"/>
              </w:rPr>
              <w:t>Unlisted</w:t>
            </w:r>
          </w:p>
        </w:tc>
        <w:tc>
          <w:tcPr>
            <w:tcW w:type="dxa" w:w="2160"/>
          </w:tcPr>
          <w:p>
            <w:r>
              <w:rPr>
                <w:rFonts w:ascii="Calibri" w:hAnsi="Calibri"/>
                <w:color w:val="000000"/>
                <w:sz w:val="20"/>
              </w:rPr>
              <w:t>Distributor; Rs 2.33 Cr over 180 days</w:t>
            </w:r>
          </w:p>
        </w:tc>
      </w:tr>
      <w:tr>
        <w:tc>
          <w:tcPr>
            <w:tcW w:type="dxa" w:w="2160"/>
          </w:tcPr>
          <w:p>
            <w:r>
              <w:rPr>
                <w:rFonts w:ascii="Calibri" w:hAnsi="Calibri"/>
                <w:color w:val="000000"/>
                <w:sz w:val="20"/>
              </w:rPr>
              <w:t>Fazza Holding (UAE)</w:t>
            </w:r>
          </w:p>
        </w:tc>
        <w:tc>
          <w:tcPr>
            <w:tcW w:type="dxa" w:w="2160"/>
          </w:tcPr>
          <w:p>
            <w:r>
              <w:rPr>
                <w:rFonts w:ascii="Calibri" w:hAnsi="Calibri"/>
                <w:color w:val="000000"/>
                <w:sz w:val="20"/>
              </w:rPr>
              <w:t>Rs 2.60 Cr = 6%</w:t>
            </w:r>
          </w:p>
        </w:tc>
        <w:tc>
          <w:tcPr>
            <w:tcW w:type="dxa" w:w="2160"/>
          </w:tcPr>
          <w:p>
            <w:r>
              <w:rPr>
                <w:rFonts w:ascii="Calibri" w:hAnsi="Calibri"/>
                <w:color w:val="000000"/>
                <w:sz w:val="20"/>
              </w:rPr>
              <w:t>Unlisted, overseas</w:t>
            </w:r>
          </w:p>
        </w:tc>
        <w:tc>
          <w:tcPr>
            <w:tcW w:type="dxa" w:w="2160"/>
          </w:tcPr>
          <w:p>
            <w:r>
              <w:rPr>
                <w:rFonts w:ascii="Calibri" w:hAnsi="Calibri"/>
                <w:color w:val="000000"/>
                <w:sz w:val="20"/>
              </w:rPr>
              <w:t>GCC export; Rs 1.37 Cr over 180 days, cross-border collection risk</w:t>
            </w:r>
          </w:p>
        </w:tc>
      </w:tr>
      <w:tr>
        <w:tc>
          <w:tcPr>
            <w:tcW w:type="dxa" w:w="2160"/>
          </w:tcPr>
          <w:p>
            <w:r>
              <w:rPr>
                <w:rFonts w:ascii="Calibri" w:hAnsi="Calibri"/>
                <w:color w:val="000000"/>
                <w:sz w:val="20"/>
              </w:rPr>
              <w:t>Large-format retail (V-Mart, Future Lifestyle, Fashion Factory, marketplaces)</w:t>
            </w:r>
          </w:p>
        </w:tc>
        <w:tc>
          <w:tcPr>
            <w:tcW w:type="dxa" w:w="2160"/>
          </w:tcPr>
          <w:p>
            <w:r>
              <w:rPr>
                <w:rFonts w:ascii="Calibri" w:hAnsi="Calibri"/>
                <w:color w:val="000000"/>
                <w:sz w:val="20"/>
              </w:rPr>
              <w:t>many small accounts</w:t>
            </w:r>
          </w:p>
        </w:tc>
        <w:tc>
          <w:tcPr>
            <w:tcW w:type="dxa" w:w="2160"/>
          </w:tcPr>
          <w:p>
            <w:r>
              <w:rPr>
                <w:rFonts w:ascii="Calibri" w:hAnsi="Calibri"/>
                <w:color w:val="000000"/>
                <w:sz w:val="20"/>
              </w:rPr>
              <w:t>Listed/large</w:t>
            </w:r>
          </w:p>
        </w:tc>
        <w:tc>
          <w:tcPr>
            <w:tcW w:type="dxa" w:w="2160"/>
          </w:tcPr>
          <w:p>
            <w:r>
              <w:rPr>
                <w:rFonts w:ascii="Calibri" w:hAnsi="Calibri"/>
                <w:color w:val="000000"/>
                <w:sz w:val="20"/>
              </w:rPr>
              <w:t>Generally credible and well-distributed</w:t>
            </w:r>
          </w:p>
        </w:tc>
      </w:tr>
    </w:tbl>
    <w:p/>
    <w:p>
      <w:r>
        <w:rPr>
          <w:rFonts w:ascii="Calibri" w:hAnsi="Calibri"/>
          <w:color w:val="000000"/>
        </w:rPr>
        <w:t>Concentration is the headline revenue-quality flag: the single largest account is 39% of receivables and the top five are ~70%, with meaningful over-180-day balances at two distributors and the UAE account. No customer-wise revenue sheet was shared, so concentration is proxied from the debtor ageing and must be reconfirmed on a revenue basis in diligence.</w:t>
      </w:r>
    </w:p>
    <w:p>
      <w:pPr>
        <w:pBdr>
          <w:bottom w:val="single" w:sz="6" w:space="1" w:color="000000"/>
        </w:pBdr>
      </w:pPr>
    </w:p>
    <w:p>
      <w:pPr>
        <w:pStyle w:val="Heading2"/>
      </w:pPr>
      <w:r>
        <w:rPr>
          <w:rFonts w:ascii="Calibri" w:hAnsi="Calibri"/>
          <w:b/>
          <w:color w:val="000000"/>
          <w:sz w:val="24"/>
        </w:rPr>
        <w:t>Section 6 - Debt Structure</w:t>
      </w:r>
    </w:p>
    <w:p>
      <w:r>
        <w:rPr>
          <w:rFonts w:ascii="Calibri" w:hAnsi="Calibri"/>
          <w:color w:val="000000"/>
        </w:rPr>
        <w:t>Who lends, on what terms, against what security, and where the concentration or refinancing risk sits.</w:t>
      </w:r>
    </w:p>
    <w:p>
      <w:r>
        <w:rPr>
          <w:rFonts w:ascii="Calibri" w:hAnsi="Calibri"/>
          <w:color w:val="000000"/>
        </w:rPr>
        <w:t>Lender profile: Green. Three institutional lenders only - Federal Bank (private scheduled bank), Union Bank of India (PSU bank) and NSIC (a central-government enterprise). No NBFCs, no AIFs, no private debentures and no promoter/related-party ICDs. Two scheduled banks plus a government institution is genuine credit validation, and the absence of high-cost NBFC money suggests banks have not declined the name. Lenders: 3, largest Federal Bank 51.5% of debt, banks 84% vs government-FI 16%. Total debt Rs 23.69 Cr (30-Apr-2026) reconciles to BS borrowings of Rs 23.94 Cr (31-Mar-2026); no reconciliation flag.</w:t>
      </w:r>
    </w:p>
    <w:p>
      <w:r>
        <w:rPr>
          <w:rFonts w:ascii="Calibri" w:hAnsi="Calibri"/>
          <w:color w:val="000000"/>
        </w:rPr>
        <w:t>Loan-type mix: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Facility type</w:t>
            </w:r>
          </w:p>
        </w:tc>
        <w:tc>
          <w:tcPr>
            <w:tcW w:type="dxa" w:w="1440"/>
          </w:tcPr>
          <w:p>
            <w:r>
              <w:rPr>
                <w:rFonts w:ascii="Calibri" w:hAnsi="Calibri"/>
                <w:b/>
                <w:color w:val="000000"/>
                <w:sz w:val="20"/>
              </w:rPr>
              <w:t>#</w:t>
            </w:r>
          </w:p>
        </w:tc>
        <w:tc>
          <w:tcPr>
            <w:tcW w:type="dxa" w:w="1440"/>
          </w:tcPr>
          <w:p>
            <w:r>
              <w:rPr>
                <w:rFonts w:ascii="Calibri" w:hAnsi="Calibri"/>
                <w:b/>
                <w:color w:val="000000"/>
                <w:sz w:val="20"/>
              </w:rPr>
              <w:t>Outstanding (Rs Cr)</w:t>
            </w:r>
          </w:p>
        </w:tc>
        <w:tc>
          <w:tcPr>
            <w:tcW w:type="dxa" w:w="1440"/>
          </w:tcPr>
          <w:p>
            <w:r>
              <w:rPr>
                <w:rFonts w:ascii="Calibri" w:hAnsi="Calibri"/>
                <w:b/>
                <w:color w:val="000000"/>
                <w:sz w:val="20"/>
              </w:rPr>
              <w:t>% of debt</w:t>
            </w:r>
          </w:p>
        </w:tc>
        <w:tc>
          <w:tcPr>
            <w:tcW w:type="dxa" w:w="1440"/>
          </w:tcPr>
          <w:p>
            <w:r>
              <w:rPr>
                <w:rFonts w:ascii="Calibri" w:hAnsi="Calibri"/>
                <w:b/>
                <w:color w:val="000000"/>
                <w:sz w:val="20"/>
              </w:rPr>
              <w:t>Rate range</w:t>
            </w:r>
          </w:p>
        </w:tc>
        <w:tc>
          <w:tcPr>
            <w:tcW w:type="dxa" w:w="1440"/>
          </w:tcPr>
          <w:p>
            <w:r>
              <w:rPr>
                <w:rFonts w:ascii="Calibri" w:hAnsi="Calibri"/>
                <w:b/>
                <w:color w:val="000000"/>
                <w:sz w:val="20"/>
              </w:rPr>
              <w:t>Typical tenure</w:t>
            </w:r>
          </w:p>
        </w:tc>
      </w:tr>
      <w:tr>
        <w:tc>
          <w:tcPr>
            <w:tcW w:type="dxa" w:w="1440"/>
          </w:tcPr>
          <w:p>
            <w:r>
              <w:rPr>
                <w:rFonts w:ascii="Calibri" w:hAnsi="Calibri"/>
                <w:color w:val="000000"/>
                <w:sz w:val="20"/>
              </w:rPr>
              <w:t>Cash Credit (revolving WC)</w:t>
            </w:r>
          </w:p>
        </w:tc>
        <w:tc>
          <w:tcPr>
            <w:tcW w:type="dxa" w:w="1440"/>
          </w:tcPr>
          <w:p>
            <w:r>
              <w:rPr>
                <w:rFonts w:ascii="Calibri" w:hAnsi="Calibri"/>
                <w:color w:val="000000"/>
                <w:sz w:val="20"/>
              </w:rPr>
              <w:t>3</w:t>
            </w:r>
          </w:p>
        </w:tc>
        <w:tc>
          <w:tcPr>
            <w:tcW w:type="dxa" w:w="1440"/>
          </w:tcPr>
          <w:p>
            <w:r>
              <w:rPr>
                <w:rFonts w:ascii="Calibri" w:hAnsi="Calibri"/>
                <w:color w:val="000000"/>
                <w:sz w:val="20"/>
              </w:rPr>
              <w:t>20.70</w:t>
            </w:r>
          </w:p>
        </w:tc>
        <w:tc>
          <w:tcPr>
            <w:tcW w:type="dxa" w:w="1440"/>
          </w:tcPr>
          <w:p>
            <w:r>
              <w:rPr>
                <w:rFonts w:ascii="Calibri" w:hAnsi="Calibri"/>
                <w:color w:val="000000"/>
                <w:sz w:val="20"/>
              </w:rPr>
              <w:t>87.4%</w:t>
            </w:r>
          </w:p>
        </w:tc>
        <w:tc>
          <w:tcPr>
            <w:tcW w:type="dxa" w:w="1440"/>
          </w:tcPr>
          <w:p>
            <w:r>
              <w:rPr>
                <w:rFonts w:ascii="Calibri" w:hAnsi="Calibri"/>
                <w:color w:val="000000"/>
                <w:sz w:val="20"/>
              </w:rPr>
              <w:t>10.25-12.75%</w:t>
            </w:r>
          </w:p>
        </w:tc>
        <w:tc>
          <w:tcPr>
            <w:tcW w:type="dxa" w:w="1440"/>
          </w:tcPr>
          <w:p>
            <w:r>
              <w:rPr>
                <w:rFonts w:ascii="Calibri" w:hAnsi="Calibri"/>
                <w:color w:val="000000"/>
                <w:sz w:val="20"/>
              </w:rPr>
              <w:t>On demand / annual renewal</w:t>
            </w:r>
          </w:p>
        </w:tc>
      </w:tr>
      <w:tr>
        <w:tc>
          <w:tcPr>
            <w:tcW w:type="dxa" w:w="1440"/>
          </w:tcPr>
          <w:p>
            <w:r>
              <w:rPr>
                <w:rFonts w:ascii="Calibri" w:hAnsi="Calibri"/>
                <w:color w:val="000000"/>
                <w:sz w:val="20"/>
              </w:rPr>
              <w:t>WCDL / WCTL (WC term)</w:t>
            </w:r>
          </w:p>
        </w:tc>
        <w:tc>
          <w:tcPr>
            <w:tcW w:type="dxa" w:w="1440"/>
          </w:tcPr>
          <w:p>
            <w:r>
              <w:rPr>
                <w:rFonts w:ascii="Calibri" w:hAnsi="Calibri"/>
                <w:color w:val="000000"/>
                <w:sz w:val="20"/>
              </w:rPr>
              <w:t>2</w:t>
            </w:r>
          </w:p>
        </w:tc>
        <w:tc>
          <w:tcPr>
            <w:tcW w:type="dxa" w:w="1440"/>
          </w:tcPr>
          <w:p>
            <w:r>
              <w:rPr>
                <w:rFonts w:ascii="Calibri" w:hAnsi="Calibri"/>
                <w:color w:val="000000"/>
                <w:sz w:val="20"/>
              </w:rPr>
              <w:t>2.08</w:t>
            </w:r>
          </w:p>
        </w:tc>
        <w:tc>
          <w:tcPr>
            <w:tcW w:type="dxa" w:w="1440"/>
          </w:tcPr>
          <w:p>
            <w:r>
              <w:rPr>
                <w:rFonts w:ascii="Calibri" w:hAnsi="Calibri"/>
                <w:color w:val="000000"/>
                <w:sz w:val="20"/>
              </w:rPr>
              <w:t>8.8%</w:t>
            </w:r>
          </w:p>
        </w:tc>
        <w:tc>
          <w:tcPr>
            <w:tcW w:type="dxa" w:w="1440"/>
          </w:tcPr>
          <w:p>
            <w:r>
              <w:rPr>
                <w:rFonts w:ascii="Calibri" w:hAnsi="Calibri"/>
                <w:color w:val="000000"/>
                <w:sz w:val="20"/>
              </w:rPr>
              <w:t>7.5-12.0%</w:t>
            </w:r>
          </w:p>
        </w:tc>
        <w:tc>
          <w:tcPr>
            <w:tcW w:type="dxa" w:w="1440"/>
          </w:tcPr>
          <w:p>
            <w:r>
              <w:rPr>
                <w:rFonts w:ascii="Calibri" w:hAnsi="Calibri"/>
                <w:color w:val="000000"/>
                <w:sz w:val="20"/>
              </w:rPr>
              <w:t>Maturing FY26-27</w:t>
            </w:r>
          </w:p>
        </w:tc>
      </w:tr>
      <w:tr>
        <w:tc>
          <w:tcPr>
            <w:tcW w:type="dxa" w:w="1440"/>
          </w:tcPr>
          <w:p>
            <w:r>
              <w:rPr>
                <w:rFonts w:ascii="Calibri" w:hAnsi="Calibri"/>
                <w:color w:val="000000"/>
                <w:sz w:val="20"/>
              </w:rPr>
              <w:t>Term loans</w:t>
            </w:r>
          </w:p>
        </w:tc>
        <w:tc>
          <w:tcPr>
            <w:tcW w:type="dxa" w:w="1440"/>
          </w:tcPr>
          <w:p>
            <w:r>
              <w:rPr>
                <w:rFonts w:ascii="Calibri" w:hAnsi="Calibri"/>
                <w:color w:val="000000"/>
                <w:sz w:val="20"/>
              </w:rPr>
              <w:t>4</w:t>
            </w:r>
          </w:p>
        </w:tc>
        <w:tc>
          <w:tcPr>
            <w:tcW w:type="dxa" w:w="1440"/>
          </w:tcPr>
          <w:p>
            <w:r>
              <w:rPr>
                <w:rFonts w:ascii="Calibri" w:hAnsi="Calibri"/>
                <w:color w:val="000000"/>
                <w:sz w:val="20"/>
              </w:rPr>
              <w:t>0.76</w:t>
            </w:r>
          </w:p>
        </w:tc>
        <w:tc>
          <w:tcPr>
            <w:tcW w:type="dxa" w:w="1440"/>
          </w:tcPr>
          <w:p>
            <w:r>
              <w:rPr>
                <w:rFonts w:ascii="Calibri" w:hAnsi="Calibri"/>
                <w:color w:val="000000"/>
                <w:sz w:val="20"/>
              </w:rPr>
              <w:t>3.2%</w:t>
            </w:r>
          </w:p>
        </w:tc>
        <w:tc>
          <w:tcPr>
            <w:tcW w:type="dxa" w:w="1440"/>
          </w:tcPr>
          <w:p>
            <w:r>
              <w:rPr>
                <w:rFonts w:ascii="Calibri" w:hAnsi="Calibri"/>
                <w:color w:val="000000"/>
                <w:sz w:val="20"/>
              </w:rPr>
              <w:t>10.55-15.5%</w:t>
            </w:r>
          </w:p>
        </w:tc>
        <w:tc>
          <w:tcPr>
            <w:tcW w:type="dxa" w:w="1440"/>
          </w:tcPr>
          <w:p>
            <w:r>
              <w:rPr>
                <w:rFonts w:ascii="Calibri" w:hAnsi="Calibri"/>
                <w:color w:val="000000"/>
                <w:sz w:val="20"/>
              </w:rPr>
              <w:t>Maturing 2026-27</w:t>
            </w:r>
          </w:p>
        </w:tc>
      </w:tr>
      <w:tr>
        <w:tc>
          <w:tcPr>
            <w:tcW w:type="dxa" w:w="1440"/>
          </w:tcPr>
          <w:p>
            <w:r>
              <w:rPr>
                <w:rFonts w:ascii="Calibri" w:hAnsi="Calibri"/>
                <w:color w:val="000000"/>
                <w:sz w:val="20"/>
              </w:rPr>
              <w:t>Vehicle loans</w:t>
            </w:r>
          </w:p>
        </w:tc>
        <w:tc>
          <w:tcPr>
            <w:tcW w:type="dxa" w:w="1440"/>
          </w:tcPr>
          <w:p>
            <w:r>
              <w:rPr>
                <w:rFonts w:ascii="Calibri" w:hAnsi="Calibri"/>
                <w:color w:val="000000"/>
                <w:sz w:val="20"/>
              </w:rPr>
              <w:t>2</w:t>
            </w:r>
          </w:p>
        </w:tc>
        <w:tc>
          <w:tcPr>
            <w:tcW w:type="dxa" w:w="1440"/>
          </w:tcPr>
          <w:p>
            <w:r>
              <w:rPr>
                <w:rFonts w:ascii="Calibri" w:hAnsi="Calibri"/>
                <w:color w:val="000000"/>
                <w:sz w:val="20"/>
              </w:rPr>
              <w:t>0.15</w:t>
            </w:r>
          </w:p>
        </w:tc>
        <w:tc>
          <w:tcPr>
            <w:tcW w:type="dxa" w:w="1440"/>
          </w:tcPr>
          <w:p>
            <w:r>
              <w:rPr>
                <w:rFonts w:ascii="Calibri" w:hAnsi="Calibri"/>
                <w:color w:val="000000"/>
                <w:sz w:val="20"/>
              </w:rPr>
              <w:t>0.6%</w:t>
            </w:r>
          </w:p>
        </w:tc>
        <w:tc>
          <w:tcPr>
            <w:tcW w:type="dxa" w:w="1440"/>
          </w:tcPr>
          <w:p>
            <w:r>
              <w:rPr>
                <w:rFonts w:ascii="Calibri" w:hAnsi="Calibri"/>
                <w:color w:val="000000"/>
                <w:sz w:val="20"/>
              </w:rPr>
              <w:t>8.35-8.6%</w:t>
            </w:r>
          </w:p>
        </w:tc>
        <w:tc>
          <w:tcPr>
            <w:tcW w:type="dxa" w:w="1440"/>
          </w:tcPr>
          <w:p>
            <w:r>
              <w:rPr>
                <w:rFonts w:ascii="Calibri" w:hAnsi="Calibri"/>
                <w:color w:val="000000"/>
                <w:sz w:val="20"/>
              </w:rPr>
              <w:t>To 2027</w:t>
            </w:r>
          </w:p>
        </w:tc>
      </w:tr>
    </w:tbl>
    <w:p/>
    <w:p>
      <w:r>
        <w:rPr>
          <w:rFonts w:ascii="Calibri" w:hAnsi="Calibri"/>
          <w:color w:val="000000"/>
        </w:rPr>
        <w:t>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Facility type</w:t>
            </w:r>
          </w:p>
        </w:tc>
        <w:tc>
          <w:tcPr>
            <w:tcW w:type="dxa" w:w="2880"/>
          </w:tcPr>
          <w:p>
            <w:r>
              <w:rPr>
                <w:rFonts w:ascii="Calibri" w:hAnsi="Calibri"/>
                <w:b/>
                <w:color w:val="000000"/>
                <w:sz w:val="20"/>
              </w:rPr>
              <w:t>Typical security / collateral</w:t>
            </w:r>
          </w:p>
        </w:tc>
        <w:tc>
          <w:tcPr>
            <w:tcW w:type="dxa" w:w="2880"/>
          </w:tcPr>
          <w:p>
            <w:r>
              <w:rPr>
                <w:rFonts w:ascii="Calibri" w:hAnsi="Calibri"/>
                <w:b/>
                <w:color w:val="000000"/>
                <w:sz w:val="20"/>
              </w:rPr>
              <w:t>Guarantee</w:t>
            </w:r>
          </w:p>
        </w:tc>
      </w:tr>
      <w:tr>
        <w:tc>
          <w:tcPr>
            <w:tcW w:type="dxa" w:w="2880"/>
          </w:tcPr>
          <w:p>
            <w:r>
              <w:rPr>
                <w:rFonts w:ascii="Calibri" w:hAnsi="Calibri"/>
                <w:color w:val="000000"/>
                <w:sz w:val="20"/>
              </w:rPr>
              <w:t>Federal Bank CC</w:t>
            </w:r>
          </w:p>
        </w:tc>
        <w:tc>
          <w:tcPr>
            <w:tcW w:type="dxa" w:w="2880"/>
          </w:tcPr>
          <w:p>
            <w:r>
              <w:rPr>
                <w:rFonts w:ascii="Calibri" w:hAnsi="Calibri"/>
                <w:color w:val="000000"/>
                <w:sz w:val="20"/>
              </w:rPr>
              <w:t>Stock &amp; book-debt hypothecation + EM on industrial land and factory building</w:t>
            </w:r>
          </w:p>
        </w:tc>
        <w:tc>
          <w:tcPr>
            <w:tcW w:type="dxa" w:w="2880"/>
          </w:tcPr>
          <w:p>
            <w:r>
              <w:rPr>
                <w:rFonts w:ascii="Calibri" w:hAnsi="Calibri"/>
                <w:color w:val="000000"/>
                <w:sz w:val="20"/>
              </w:rPr>
              <w:t>Promoter (implied)</w:t>
            </w:r>
          </w:p>
        </w:tc>
      </w:tr>
      <w:tr>
        <w:tc>
          <w:tcPr>
            <w:tcW w:type="dxa" w:w="2880"/>
          </w:tcPr>
          <w:p>
            <w:r>
              <w:rPr>
                <w:rFonts w:ascii="Calibri" w:hAnsi="Calibri"/>
                <w:color w:val="000000"/>
                <w:sz w:val="20"/>
              </w:rPr>
              <w:t>Union Bank CC</w:t>
            </w:r>
          </w:p>
        </w:tc>
        <w:tc>
          <w:tcPr>
            <w:tcW w:type="dxa" w:w="2880"/>
          </w:tcPr>
          <w:p>
            <w:r>
              <w:rPr>
                <w:rFonts w:ascii="Calibri" w:hAnsi="Calibri"/>
                <w:color w:val="000000"/>
                <w:sz w:val="20"/>
              </w:rPr>
              <w:t>Stock &amp; book-debt hypothecation + EM on land/building in promoters' names</w:t>
            </w:r>
          </w:p>
        </w:tc>
        <w:tc>
          <w:tcPr>
            <w:tcW w:type="dxa" w:w="2880"/>
          </w:tcPr>
          <w:p>
            <w:r>
              <w:rPr>
                <w:rFonts w:ascii="Calibri" w:hAnsi="Calibri"/>
                <w:color w:val="000000"/>
                <w:sz w:val="20"/>
              </w:rPr>
              <w:t>Promoter property</w:t>
            </w:r>
          </w:p>
        </w:tc>
      </w:tr>
      <w:tr>
        <w:tc>
          <w:tcPr>
            <w:tcW w:type="dxa" w:w="2880"/>
          </w:tcPr>
          <w:p>
            <w:r>
              <w:rPr>
                <w:rFonts w:ascii="Calibri" w:hAnsi="Calibri"/>
                <w:color w:val="000000"/>
                <w:sz w:val="20"/>
              </w:rPr>
              <w:t>NSIC CC</w:t>
            </w:r>
          </w:p>
        </w:tc>
        <w:tc>
          <w:tcPr>
            <w:tcW w:type="dxa" w:w="2880"/>
          </w:tcPr>
          <w:p>
            <w:r>
              <w:rPr>
                <w:rFonts w:ascii="Calibri" w:hAnsi="Calibri"/>
                <w:color w:val="000000"/>
                <w:sz w:val="20"/>
              </w:rPr>
              <w:t>Stock &amp; book-debt hypothecation</w:t>
            </w:r>
          </w:p>
        </w:tc>
        <w:tc>
          <w:tcPr>
            <w:tcW w:type="dxa" w:w="2880"/>
          </w:tcPr>
          <w:p>
            <w:r>
              <w:rPr>
                <w:rFonts w:ascii="Calibri" w:hAnsi="Calibri"/>
                <w:color w:val="000000"/>
                <w:sz w:val="20"/>
              </w:rPr>
              <w:t>none stated</w:t>
            </w:r>
          </w:p>
        </w:tc>
      </w:tr>
      <w:tr>
        <w:tc>
          <w:tcPr>
            <w:tcW w:type="dxa" w:w="2880"/>
          </w:tcPr>
          <w:p>
            <w:r>
              <w:rPr>
                <w:rFonts w:ascii="Calibri" w:hAnsi="Calibri"/>
                <w:color w:val="000000"/>
                <w:sz w:val="20"/>
              </w:rPr>
              <w:t>Term / WCDL / WCTL / vehicle</w:t>
            </w:r>
          </w:p>
        </w:tc>
        <w:tc>
          <w:tcPr>
            <w:tcW w:type="dxa" w:w="2880"/>
          </w:tcPr>
          <w:p>
            <w:r>
              <w:rPr>
                <w:rFonts w:ascii="Calibri" w:hAnsi="Calibri"/>
                <w:color w:val="000000"/>
                <w:sz w:val="20"/>
              </w:rPr>
              <w:t>Asset hypothecation / charge</w:t>
            </w:r>
          </w:p>
        </w:tc>
        <w:tc>
          <w:tcPr>
            <w:tcW w:type="dxa" w:w="2880"/>
          </w:tcPr>
          <w:p>
            <w:r>
              <w:rPr>
                <w:rFonts w:ascii="Calibri" w:hAnsi="Calibri"/>
                <w:color w:val="000000"/>
                <w:sz w:val="20"/>
              </w:rPr>
              <w:t>none stated</w:t>
            </w:r>
          </w:p>
        </w:tc>
      </w:tr>
    </w:tbl>
    <w:p/>
    <w:p>
      <w:pPr>
        <w:pStyle w:val="ListBullet"/>
      </w:pPr>
      <w:r>
        <w:rPr>
          <w:rFonts w:ascii="Calibri" w:hAnsi="Calibri"/>
          <w:color w:val="000000"/>
        </w:rPr>
        <w:t>Secured vs unsecured: effectively 100% secured / 0% unsecured. Weighted-average rate ~12.2% (cash credit at 12.75% is the bulk). There is no unsecured tranche; all debt is collateralised by stock, book debts and promoter real estate. The blended ~12% cost is high, so a cheaper facility displacing the cash-credit lines would be accretive in itself.</w:t>
      </w:r>
    </w:p>
    <w:p>
      <w:pPr>
        <w:pStyle w:val="ListBullet"/>
      </w:pPr>
      <w:r>
        <w:rPr>
          <w:rFonts w:ascii="Calibri" w:hAnsi="Calibri"/>
          <w:color w:val="000000"/>
        </w:rPr>
        <w:t>Related-party or promoter debt: none on the liability side - no director or related-company loans payable. The related-party exposure runs the other way, a Rs 6.58 Cr loan to a director on the asset side. No quasi-equity reclassification applies.</w:t>
      </w:r>
    </w:p>
    <w:p>
      <w:pPr>
        <w:pStyle w:val="ListBullet"/>
      </w:pPr>
      <w:r>
        <w:rPr>
          <w:rFonts w:ascii="Calibri" w:hAnsi="Calibri"/>
          <w:color w:val="000000"/>
        </w:rPr>
        <w:t>Encumbered FD or cash collateral: Rs 0.97 Cr of fixed deposits in other non-current assets, likely margin/lien against the WC limits, excluded from the Section 2 runway cash.</w:t>
      </w:r>
    </w:p>
    <w:p>
      <w:pPr>
        <w:pStyle w:val="ListBullet"/>
      </w:pPr>
      <w:r>
        <w:rPr>
          <w:rFonts w:ascii="Calibri" w:hAnsi="Calibri"/>
          <w:color w:val="000000"/>
        </w:rPr>
        <w:t>Maturity and FX: ~96% of debt is short-term revolving or rolling working-capital, only ~4% amortising term/vehicle debt - so the book depends on annual renewal of bank limits. Normal for a WC-intensive manufacturer with scheduled-bank lenders, but it is the same reliance on limit rollover that drives the thin runway in Section 2. All debt is rupee-denominated; no foreign-currency borrowing and so no FX risk on servicing (the UAE receivable carries FX risk on the asset side only).</w:t>
      </w:r>
    </w:p>
    <w:p>
      <w:r>
        <w:rPr>
          <w:rFonts w:ascii="Calibri" w:hAnsi="Calibri"/>
          <w:color w:val="000000"/>
        </w:rPr>
        <w:t>Full reformatted debt schedule attached in Annexure D.</w:t>
      </w:r>
    </w:p>
    <w:p>
      <w:pPr>
        <w:pBdr>
          <w:bottom w:val="single" w:sz="6" w:space="1" w:color="000000"/>
        </w:pBdr>
      </w:pPr>
    </w:p>
    <w:p>
      <w:pPr>
        <w:pStyle w:val="Heading2"/>
      </w:pPr>
      <w:r>
        <w:rPr>
          <w:rFonts w:ascii="Calibri" w:hAnsi="Calibri"/>
          <w:b/>
          <w:color w:val="000000"/>
          <w:sz w:val="24"/>
        </w:rPr>
        <w:t>Key Flags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Flag</w:t>
            </w:r>
          </w:p>
        </w:tc>
        <w:tc>
          <w:tcPr>
            <w:tcW w:type="dxa" w:w="2160"/>
          </w:tcPr>
          <w:p>
            <w:r>
              <w:rPr>
                <w:rFonts w:ascii="Calibri" w:hAnsi="Calibri"/>
                <w:b/>
                <w:color w:val="000000"/>
                <w:sz w:val="20"/>
              </w:rPr>
              <w:t>Severity</w:t>
            </w:r>
          </w:p>
        </w:tc>
        <w:tc>
          <w:tcPr>
            <w:tcW w:type="dxa" w:w="2160"/>
          </w:tcPr>
          <w:p>
            <w:r>
              <w:rPr>
                <w:rFonts w:ascii="Calibri" w:hAnsi="Calibri"/>
                <w:b/>
                <w:color w:val="000000"/>
                <w:sz w:val="20"/>
              </w:rPr>
              <w:t>Section</w:t>
            </w:r>
          </w:p>
        </w:tc>
        <w:tc>
          <w:tcPr>
            <w:tcW w:type="dxa" w:w="2160"/>
          </w:tcPr>
          <w:p>
            <w:r>
              <w:rPr>
                <w:rFonts w:ascii="Calibri" w:hAnsi="Calibri"/>
                <w:b/>
                <w:color w:val="000000"/>
                <w:sz w:val="20"/>
              </w:rPr>
              <w:t>Detail</w:t>
            </w:r>
          </w:p>
        </w:tc>
      </w:tr>
      <w:tr>
        <w:tc>
          <w:tcPr>
            <w:tcW w:type="dxa" w:w="2160"/>
          </w:tcPr>
          <w:p>
            <w:r>
              <w:rPr>
                <w:rFonts w:ascii="Calibri" w:hAnsi="Calibri"/>
                <w:color w:val="000000"/>
                <w:sz w:val="20"/>
              </w:rPr>
              <w:t>Free cash flow does not cover interest in cash terms</w:t>
            </w:r>
          </w:p>
        </w:tc>
        <w:tc>
          <w:tcPr>
            <w:tcW w:type="dxa" w:w="2160"/>
          </w:tcPr>
          <w:p>
            <w:r>
              <w:rPr>
                <w:rFonts w:ascii="Calibri" w:hAnsi="Calibri"/>
                <w:color w:val="000000"/>
                <w:sz w:val="20"/>
              </w:rPr>
              <w:t>High</w:t>
            </w:r>
          </w:p>
        </w:tc>
        <w:tc>
          <w:tcPr>
            <w:tcW w:type="dxa" w:w="2160"/>
          </w:tcPr>
          <w:p>
            <w:r>
              <w:rPr>
                <w:rFonts w:ascii="Calibri" w:hAnsi="Calibri"/>
                <w:color w:val="000000"/>
                <w:sz w:val="20"/>
              </w:rPr>
              <w:t>3</w:t>
            </w:r>
          </w:p>
        </w:tc>
        <w:tc>
          <w:tcPr>
            <w:tcW w:type="dxa" w:w="2160"/>
          </w:tcPr>
          <w:p>
            <w:r>
              <w:rPr>
                <w:rFonts w:ascii="Calibri" w:hAnsi="Calibri"/>
                <w:color w:val="000000"/>
                <w:sz w:val="20"/>
              </w:rPr>
              <w:t>Cash ICR 0.85x / neg / 0.68x across FY24-FY26; Debt/FCF above 6x. Profit is real but locked in working capital.</w:t>
            </w:r>
          </w:p>
        </w:tc>
      </w:tr>
      <w:tr>
        <w:tc>
          <w:tcPr>
            <w:tcW w:type="dxa" w:w="2160"/>
          </w:tcPr>
          <w:p>
            <w:r>
              <w:rPr>
                <w:rFonts w:ascii="Calibri" w:hAnsi="Calibri"/>
                <w:color w:val="000000"/>
                <w:sz w:val="20"/>
              </w:rPr>
              <w:t>Razor-thin liquidity</w:t>
            </w:r>
          </w:p>
        </w:tc>
        <w:tc>
          <w:tcPr>
            <w:tcW w:type="dxa" w:w="2160"/>
          </w:tcPr>
          <w:p>
            <w:r>
              <w:rPr>
                <w:rFonts w:ascii="Calibri" w:hAnsi="Calibri"/>
                <w:color w:val="000000"/>
                <w:sz w:val="20"/>
              </w:rPr>
              <w:t>High</w:t>
            </w:r>
          </w:p>
        </w:tc>
        <w:tc>
          <w:tcPr>
            <w:tcW w:type="dxa" w:w="2160"/>
          </w:tcPr>
          <w:p>
            <w:r>
              <w:rPr>
                <w:rFonts w:ascii="Calibri" w:hAnsi="Calibri"/>
                <w:color w:val="000000"/>
                <w:sz w:val="20"/>
              </w:rPr>
              <w:t>2, 5</w:t>
            </w:r>
          </w:p>
        </w:tc>
        <w:tc>
          <w:tcPr>
            <w:tcW w:type="dxa" w:w="2160"/>
          </w:tcPr>
          <w:p>
            <w:r>
              <w:rPr>
                <w:rFonts w:ascii="Calibri" w:hAnsi="Calibri"/>
                <w:color w:val="000000"/>
                <w:sz w:val="20"/>
              </w:rPr>
              <w:t>Cash Rs 0.61 Cr against Rs 20.67 Cr ST borrowings; base-case runway ~4.6 months; fully-repaid scenario un-survivable on own cash.</w:t>
            </w:r>
          </w:p>
        </w:tc>
      </w:tr>
      <w:tr>
        <w:tc>
          <w:tcPr>
            <w:tcW w:type="dxa" w:w="2160"/>
          </w:tcPr>
          <w:p>
            <w:r>
              <w:rPr>
                <w:rFonts w:ascii="Calibri" w:hAnsi="Calibri"/>
                <w:color w:val="000000"/>
                <w:sz w:val="20"/>
              </w:rPr>
              <w:t>Working-capital intensity rising</w:t>
            </w:r>
          </w:p>
        </w:tc>
        <w:tc>
          <w:tcPr>
            <w:tcW w:type="dxa" w:w="2160"/>
          </w:tcPr>
          <w:p>
            <w:r>
              <w:rPr>
                <w:rFonts w:ascii="Calibri" w:hAnsi="Calibri"/>
                <w:color w:val="000000"/>
                <w:sz w:val="20"/>
              </w:rPr>
              <w:t>High</w:t>
            </w:r>
          </w:p>
        </w:tc>
        <w:tc>
          <w:tcPr>
            <w:tcW w:type="dxa" w:w="2160"/>
          </w:tcPr>
          <w:p>
            <w:r>
              <w:rPr>
                <w:rFonts w:ascii="Calibri" w:hAnsi="Calibri"/>
                <w:color w:val="000000"/>
                <w:sz w:val="20"/>
              </w:rPr>
              <w:t>5</w:t>
            </w:r>
          </w:p>
        </w:tc>
        <w:tc>
          <w:tcPr>
            <w:tcW w:type="dxa" w:w="2160"/>
          </w:tcPr>
          <w:p>
            <w:r>
              <w:rPr>
                <w:rFonts w:ascii="Calibri" w:hAnsi="Calibri"/>
                <w:color w:val="000000"/>
                <w:sz w:val="20"/>
              </w:rPr>
              <w:t>CCC ~194 to 290 days; inventory days 268; growth is cash-destructive without discipline.</w:t>
            </w:r>
          </w:p>
        </w:tc>
      </w:tr>
      <w:tr>
        <w:tc>
          <w:tcPr>
            <w:tcW w:type="dxa" w:w="2160"/>
          </w:tcPr>
          <w:p>
            <w:r>
              <w:rPr>
                <w:rFonts w:ascii="Calibri" w:hAnsi="Calibri"/>
                <w:color w:val="000000"/>
                <w:sz w:val="20"/>
              </w:rPr>
              <w:t>Single-customer receivable concentration</w:t>
            </w:r>
          </w:p>
        </w:tc>
        <w:tc>
          <w:tcPr>
            <w:tcW w:type="dxa" w:w="2160"/>
          </w:tcPr>
          <w:p>
            <w:r>
              <w:rPr>
                <w:rFonts w:ascii="Calibri" w:hAnsi="Calibri"/>
                <w:color w:val="000000"/>
                <w:sz w:val="20"/>
              </w:rPr>
              <w:t>High</w:t>
            </w:r>
          </w:p>
        </w:tc>
        <w:tc>
          <w:tcPr>
            <w:tcW w:type="dxa" w:w="2160"/>
          </w:tcPr>
          <w:p>
            <w:r>
              <w:rPr>
                <w:rFonts w:ascii="Calibri" w:hAnsi="Calibri"/>
                <w:color w:val="000000"/>
                <w:sz w:val="20"/>
              </w:rPr>
              <w:t>5</w:t>
            </w:r>
          </w:p>
        </w:tc>
        <w:tc>
          <w:tcPr>
            <w:tcW w:type="dxa" w:w="2160"/>
          </w:tcPr>
          <w:p>
            <w:r>
              <w:rPr>
                <w:rFonts w:ascii="Calibri" w:hAnsi="Calibri"/>
                <w:color w:val="000000"/>
                <w:sz w:val="20"/>
              </w:rPr>
              <w:t>BR Trading Manjeri Rs 16.73 Cr = 39% of receivables; possible related/anchor distributor, unconfirmed.</w:t>
            </w:r>
          </w:p>
        </w:tc>
      </w:tr>
      <w:tr>
        <w:tc>
          <w:tcPr>
            <w:tcW w:type="dxa" w:w="2160"/>
          </w:tcPr>
          <w:p>
            <w:r>
              <w:rPr>
                <w:rFonts w:ascii="Calibri" w:hAnsi="Calibri"/>
                <w:color w:val="000000"/>
                <w:sz w:val="20"/>
              </w:rPr>
              <w:t>Loan to director Rs 6.58 Cr</w:t>
            </w:r>
          </w:p>
        </w:tc>
        <w:tc>
          <w:tcPr>
            <w:tcW w:type="dxa" w:w="2160"/>
          </w:tcPr>
          <w:p>
            <w:r>
              <w:rPr>
                <w:rFonts w:ascii="Calibri" w:hAnsi="Calibri"/>
                <w:color w:val="000000"/>
                <w:sz w:val="20"/>
              </w:rPr>
              <w:t>Medium</w:t>
            </w:r>
          </w:p>
        </w:tc>
        <w:tc>
          <w:tcPr>
            <w:tcW w:type="dxa" w:w="2160"/>
          </w:tcPr>
          <w:p>
            <w:r>
              <w:rPr>
                <w:rFonts w:ascii="Calibri" w:hAnsi="Calibri"/>
                <w:color w:val="000000"/>
                <w:sz w:val="20"/>
              </w:rPr>
              <w:t>5, 6</w:t>
            </w:r>
          </w:p>
        </w:tc>
        <w:tc>
          <w:tcPr>
            <w:tcW w:type="dxa" w:w="2160"/>
          </w:tcPr>
          <w:p>
            <w:r>
              <w:rPr>
                <w:rFonts w:ascii="Calibri" w:hAnsi="Calibri"/>
                <w:color w:val="000000"/>
                <w:sz w:val="20"/>
              </w:rPr>
              <w:t>Up from Rs 2.07 Cr; a related-party use of company cash, governance item.</w:t>
            </w:r>
          </w:p>
        </w:tc>
      </w:tr>
      <w:tr>
        <w:tc>
          <w:tcPr>
            <w:tcW w:type="dxa" w:w="2160"/>
          </w:tcPr>
          <w:p>
            <w:r>
              <w:rPr>
                <w:rFonts w:ascii="Calibri" w:hAnsi="Calibri"/>
                <w:color w:val="000000"/>
                <w:sz w:val="20"/>
              </w:rPr>
              <w:t>Large advances to suppliers Rs 22.87 Cr</w:t>
            </w:r>
          </w:p>
        </w:tc>
        <w:tc>
          <w:tcPr>
            <w:tcW w:type="dxa" w:w="2160"/>
          </w:tcPr>
          <w:p>
            <w:r>
              <w:rPr>
                <w:rFonts w:ascii="Calibri" w:hAnsi="Calibri"/>
                <w:color w:val="000000"/>
                <w:sz w:val="20"/>
              </w:rPr>
              <w:t>Medium</w:t>
            </w:r>
          </w:p>
        </w:tc>
        <w:tc>
          <w:tcPr>
            <w:tcW w:type="dxa" w:w="2160"/>
          </w:tcPr>
          <w:p>
            <w:r>
              <w:rPr>
                <w:rFonts w:ascii="Calibri" w:hAnsi="Calibri"/>
                <w:color w:val="000000"/>
                <w:sz w:val="20"/>
              </w:rPr>
              <w:t>3, 5</w:t>
            </w:r>
          </w:p>
        </w:tc>
        <w:tc>
          <w:tcPr>
            <w:tcW w:type="dxa" w:w="2160"/>
          </w:tcPr>
          <w:p>
            <w:r>
              <w:rPr>
                <w:rFonts w:ascii="Calibri" w:hAnsi="Calibri"/>
                <w:color w:val="000000"/>
                <w:sz w:val="20"/>
              </w:rPr>
              <w:t>Rs 39.88 Cr in FY25; nature, counterparties, ageing and recoverability unproven.</w:t>
            </w:r>
          </w:p>
        </w:tc>
      </w:tr>
      <w:tr>
        <w:tc>
          <w:tcPr>
            <w:tcW w:type="dxa" w:w="2160"/>
          </w:tcPr>
          <w:p>
            <w:r>
              <w:rPr>
                <w:rFonts w:ascii="Calibri" w:hAnsi="Calibri"/>
                <w:color w:val="000000"/>
                <w:sz w:val="20"/>
              </w:rPr>
              <w:t>Provisional FY26 numbers unaudited and not internally tight</w:t>
            </w:r>
          </w:p>
        </w:tc>
        <w:tc>
          <w:tcPr>
            <w:tcW w:type="dxa" w:w="2160"/>
          </w:tcPr>
          <w:p>
            <w:r>
              <w:rPr>
                <w:rFonts w:ascii="Calibri" w:hAnsi="Calibri"/>
                <w:color w:val="000000"/>
                <w:sz w:val="20"/>
              </w:rPr>
              <w:t>Medium</w:t>
            </w:r>
          </w:p>
        </w:tc>
        <w:tc>
          <w:tcPr>
            <w:tcW w:type="dxa" w:w="2160"/>
          </w:tcPr>
          <w:p>
            <w:r>
              <w:rPr>
                <w:rFonts w:ascii="Calibri" w:hAnsi="Calibri"/>
                <w:color w:val="000000"/>
                <w:sz w:val="20"/>
              </w:rPr>
              <w:t>4</w:t>
            </w:r>
          </w:p>
        </w:tc>
        <w:tc>
          <w:tcPr>
            <w:tcW w:type="dxa" w:w="2160"/>
          </w:tcPr>
          <w:p>
            <w:r>
              <w:rPr>
                <w:rFonts w:ascii="Calibri" w:hAnsi="Calibri"/>
                <w:color w:val="000000"/>
                <w:sz w:val="20"/>
              </w:rPr>
              <w:t>Large profitability step-up; MIS and deck figures differ; reconcile to audited FY26 and GST data.</w:t>
            </w:r>
          </w:p>
        </w:tc>
      </w:tr>
      <w:tr>
        <w:tc>
          <w:tcPr>
            <w:tcW w:type="dxa" w:w="2160"/>
          </w:tcPr>
          <w:p>
            <w:r>
              <w:rPr>
                <w:rFonts w:ascii="Calibri" w:hAnsi="Calibri"/>
                <w:color w:val="000000"/>
                <w:sz w:val="20"/>
              </w:rPr>
              <w:t>Receivables over 180 days above 10% of revenue</w:t>
            </w:r>
          </w:p>
        </w:tc>
        <w:tc>
          <w:tcPr>
            <w:tcW w:type="dxa" w:w="2160"/>
          </w:tcPr>
          <w:p>
            <w:r>
              <w:rPr>
                <w:rFonts w:ascii="Calibri" w:hAnsi="Calibri"/>
                <w:color w:val="000000"/>
                <w:sz w:val="20"/>
              </w:rPr>
              <w:t>Medium</w:t>
            </w:r>
          </w:p>
        </w:tc>
        <w:tc>
          <w:tcPr>
            <w:tcW w:type="dxa" w:w="2160"/>
          </w:tcPr>
          <w:p>
            <w:r>
              <w:rPr>
                <w:rFonts w:ascii="Calibri" w:hAnsi="Calibri"/>
                <w:color w:val="000000"/>
                <w:sz w:val="20"/>
              </w:rPr>
              <w:t>2</w:t>
            </w:r>
          </w:p>
        </w:tc>
        <w:tc>
          <w:tcPr>
            <w:tcW w:type="dxa" w:w="2160"/>
          </w:tcPr>
          <w:p>
            <w:r>
              <w:rPr>
                <w:rFonts w:ascii="Calibri" w:hAnsi="Calibri"/>
                <w:color w:val="000000"/>
                <w:sz w:val="20"/>
              </w:rPr>
              <w:t>11.7% (FY26), 11.6% (FY25); Section 2 Rule 5 miss; two distributors and the UAE account carry aged balances.</w:t>
            </w:r>
          </w:p>
        </w:tc>
      </w:tr>
      <w:tr>
        <w:tc>
          <w:tcPr>
            <w:tcW w:type="dxa" w:w="2160"/>
          </w:tcPr>
          <w:p>
            <w:r>
              <w:rPr>
                <w:rFonts w:ascii="Calibri" w:hAnsi="Calibri"/>
                <w:color w:val="000000"/>
                <w:sz w:val="20"/>
              </w:rPr>
              <w:t>Group of 12 related entities mid-merger</w:t>
            </w:r>
          </w:p>
        </w:tc>
        <w:tc>
          <w:tcPr>
            <w:tcW w:type="dxa" w:w="2160"/>
          </w:tcPr>
          <w:p>
            <w:r>
              <w:rPr>
                <w:rFonts w:ascii="Calibri" w:hAnsi="Calibri"/>
                <w:color w:val="000000"/>
                <w:sz w:val="20"/>
              </w:rPr>
              <w:t>Medium</w:t>
            </w:r>
          </w:p>
        </w:tc>
        <w:tc>
          <w:tcPr>
            <w:tcW w:type="dxa" w:w="2160"/>
          </w:tcPr>
          <w:p>
            <w:r>
              <w:rPr>
                <w:rFonts w:ascii="Calibri" w:hAnsi="Calibri"/>
                <w:color w:val="000000"/>
                <w:sz w:val="20"/>
              </w:rPr>
              <w:t>0</w:t>
            </w:r>
          </w:p>
        </w:tc>
        <w:tc>
          <w:tcPr>
            <w:tcW w:type="dxa" w:w="2160"/>
          </w:tcPr>
          <w:p>
            <w:r>
              <w:rPr>
                <w:rFonts w:ascii="Calibri" w:hAnsi="Calibri"/>
                <w:color w:val="000000"/>
                <w:sz w:val="20"/>
              </w:rPr>
              <w:t>Active intra-group trading; consolidation scope and arm's-length pricing to be confirmed.</w:t>
            </w:r>
          </w:p>
        </w:tc>
      </w:tr>
      <w:tr>
        <w:tc>
          <w:tcPr>
            <w:tcW w:type="dxa" w:w="2160"/>
          </w:tcPr>
          <w:p>
            <w:r>
              <w:rPr>
                <w:rFonts w:ascii="Calibri" w:hAnsi="Calibri"/>
                <w:color w:val="000000"/>
                <w:sz w:val="20"/>
              </w:rPr>
              <w:t>High blended cost of debt ~12%</w:t>
            </w:r>
          </w:p>
        </w:tc>
        <w:tc>
          <w:tcPr>
            <w:tcW w:type="dxa" w:w="2160"/>
          </w:tcPr>
          <w:p>
            <w:r>
              <w:rPr>
                <w:rFonts w:ascii="Calibri" w:hAnsi="Calibri"/>
                <w:color w:val="000000"/>
                <w:sz w:val="20"/>
              </w:rPr>
              <w:t>Low</w:t>
            </w:r>
          </w:p>
        </w:tc>
        <w:tc>
          <w:tcPr>
            <w:tcW w:type="dxa" w:w="2160"/>
          </w:tcPr>
          <w:p>
            <w:r>
              <w:rPr>
                <w:rFonts w:ascii="Calibri" w:hAnsi="Calibri"/>
                <w:color w:val="000000"/>
                <w:sz w:val="20"/>
              </w:rPr>
              <w:t>6</w:t>
            </w:r>
          </w:p>
        </w:tc>
        <w:tc>
          <w:tcPr>
            <w:tcW w:type="dxa" w:w="2160"/>
          </w:tcPr>
          <w:p>
            <w:r>
              <w:rPr>
                <w:rFonts w:ascii="Calibri" w:hAnsi="Calibri"/>
                <w:color w:val="000000"/>
                <w:sz w:val="20"/>
              </w:rPr>
              <w:t>All secured against stock, book debts and promoter property; a cheaper facility would be accretive.</w:t>
            </w:r>
          </w:p>
        </w:tc>
      </w:tr>
    </w:tbl>
    <w:p/>
    <w:p>
      <w:pPr>
        <w:pBdr>
          <w:bottom w:val="single" w:sz="6" w:space="1" w:color="000000"/>
        </w:pBdr>
      </w:pPr>
    </w:p>
    <w:p>
      <w:pPr>
        <w:pStyle w:val="Heading2"/>
      </w:pPr>
      <w:r>
        <w:rPr>
          <w:rFonts w:ascii="Calibri" w:hAnsi="Calibri"/>
          <w:b/>
          <w:color w:val="000000"/>
          <w:sz w:val="24"/>
        </w:rPr>
        <w:t>Recommendation</w:t>
      </w:r>
    </w:p>
    <w:p>
      <w:r>
        <w:rPr>
          <w:rFonts w:ascii="Calibri" w:hAnsi="Calibri"/>
          <w:color w:val="000000"/>
        </w:rPr>
        <w:t>We shall proceed with due diligence, with conditions.</w:t>
      </w:r>
    </w:p>
    <w:p>
      <w:r>
        <w:rPr>
          <w:rFonts w:ascii="Calibri" w:hAnsi="Calibri"/>
          <w:color w:val="000000"/>
        </w:rPr>
        <w:t>Popees is a genuinely investable business: a ~20-year babywear brand with real equity in South India, vertically integrated manufacturing, positive and improving unit economics (FY26 CM2 28.9%), expanding margins (EBITDA 9.4% to 18.5% over three years), low leverage (D/TNW 0.49x, D/E 0.23x) and a clean, bank-only lender profile. It clears Section 1 outright and passes Section 2 at four of six. What holds us back from an unqualified yes is cash, not profit. The business converts profit into cash poorly: a ~290-day cash conversion cycle, only Rs 0.61 Cr of balance-sheet cash, free cash flow that does not cover interest, and a heavy dependence on rolling bank limits. Layered on that are two governance and quality items we must clear before funding - a 39% single-customer concentration in receivables (BR Trading) and a Rs 6.58 Cr loan to a director - plus the fact that the strong FY26 figures are provisional and not yet internally consistent. A Rs 30 Cr venture-debt cheque into a business with this little cash and this much working capital has to be tightly structured, with most of it ring-fenced for the working-capital and store-expansion uses it is raised for.</w:t>
      </w:r>
    </w:p>
    <w:p>
      <w:r>
        <w:rPr>
          <w:rFonts w:ascii="Calibri" w:hAnsi="Calibri"/>
          <w:color w:val="000000"/>
        </w:rPr>
        <w:t>Strengths</w:t>
      </w:r>
    </w:p>
    <w:p>
      <w:pPr>
        <w:pStyle w:val="ListBullet"/>
      </w:pPr>
      <w:r>
        <w:rPr>
          <w:rFonts w:ascii="Calibri" w:hAnsi="Calibri"/>
          <w:color w:val="000000"/>
        </w:rPr>
        <w:t>Long-vintage, trusted regional babywear brand with vertically integrated, cost-controlled manufacturing (pitch deck; ~105 stores; ~20-year history).</w:t>
      </w:r>
    </w:p>
    <w:p>
      <w:pPr>
        <w:pStyle w:val="ListBullet"/>
      </w:pPr>
      <w:r>
        <w:rPr>
          <w:rFonts w:ascii="Calibri" w:hAnsi="Calibri"/>
          <w:color w:val="000000"/>
        </w:rPr>
        <w:t>Positive, healthy unit economics - FY26 CM2 of 28.9% and gross margin ~33% (MIS, FY26 provisional).</w:t>
      </w:r>
    </w:p>
    <w:p>
      <w:pPr>
        <w:pStyle w:val="ListBullet"/>
      </w:pPr>
      <w:r>
        <w:rPr>
          <w:rFonts w:ascii="Calibri" w:hAnsi="Calibri"/>
          <w:color w:val="000000"/>
        </w:rPr>
        <w:t>Clear operating leverage - EBITDA margin up from 9.4% (FY24) to 18.5% (FY26 provisional) as fixed costs fall with scale.</w:t>
      </w:r>
    </w:p>
    <w:p>
      <w:pPr>
        <w:pStyle w:val="ListBullet"/>
      </w:pPr>
      <w:r>
        <w:rPr>
          <w:rFonts w:ascii="Calibri" w:hAnsi="Calibri"/>
          <w:color w:val="000000"/>
        </w:rPr>
        <w:t>Low leverage and a clean lender base - D/TNW 0.49x (FY25 audited), D/E 0.23x (FY26), all debt from two scheduled banks and NSIC, no NBFC/AIF/promoter debt.</w:t>
      </w:r>
    </w:p>
    <w:p>
      <w:pPr>
        <w:pStyle w:val="ListBullet"/>
      </w:pPr>
      <w:r>
        <w:rPr>
          <w:rFonts w:ascii="Calibri" w:hAnsi="Calibri"/>
          <w:color w:val="000000"/>
        </w:rPr>
        <w:t>Strong accounting returns - FY26 ROCE 22% and incremental ROCE ~52%, both above the ~17% cost of debt.</w:t>
      </w:r>
    </w:p>
    <w:p>
      <w:r>
        <w:rPr>
          <w:rFonts w:ascii="Calibri" w:hAnsi="Calibri"/>
          <w:color w:val="000000"/>
        </w:rPr>
        <w:t>Weaknesses</w:t>
      </w:r>
    </w:p>
    <w:p>
      <w:pPr>
        <w:pStyle w:val="ListBullet"/>
      </w:pPr>
      <w:r>
        <w:rPr>
          <w:rFonts w:ascii="Calibri" w:hAnsi="Calibri"/>
          <w:color w:val="000000"/>
        </w:rPr>
        <w:t>Free cash flow does not cover interest in cash terms (cash ICR below 1x every year); debt is currently serviced from equity, working-capital unwind and limit rollover, not durable cash.</w:t>
      </w:r>
    </w:p>
    <w:p>
      <w:pPr>
        <w:pStyle w:val="ListBullet"/>
      </w:pPr>
      <w:r>
        <w:rPr>
          <w:rFonts w:ascii="Calibri" w:hAnsi="Calibri"/>
          <w:color w:val="000000"/>
        </w:rPr>
        <w:t>Razor-thin liquidity (Rs 0.61 Cr cash against Rs 20.67 Cr short-term borrowings; base-case runway ~4.6 months).</w:t>
      </w:r>
    </w:p>
    <w:p>
      <w:pPr>
        <w:pStyle w:val="ListBullet"/>
      </w:pPr>
      <w:r>
        <w:rPr>
          <w:rFonts w:ascii="Calibri" w:hAnsi="Calibri"/>
          <w:color w:val="000000"/>
        </w:rPr>
        <w:t>Rising working-capital intensity - CCC ~290 days, inventory days 268; high even allowing for the knitwear sector, where peers like Lux run 250-290 days.</w:t>
      </w:r>
    </w:p>
    <w:p>
      <w:pPr>
        <w:pStyle w:val="ListBullet"/>
      </w:pPr>
      <w:r>
        <w:rPr>
          <w:rFonts w:ascii="Calibri" w:hAnsi="Calibri"/>
          <w:color w:val="000000"/>
        </w:rPr>
        <w:t>Receivables concentration - BR Trading Manjeri at 39% of the book, top five ~70%, with aged balances at two distributors and a UAE account.</w:t>
      </w:r>
    </w:p>
    <w:p>
      <w:pPr>
        <w:pStyle w:val="ListBullet"/>
      </w:pPr>
      <w:r>
        <w:rPr>
          <w:rFonts w:ascii="Calibri" w:hAnsi="Calibri"/>
          <w:color w:val="000000"/>
        </w:rPr>
        <w:t>Related-party and quality items on the asset side - Rs 6.58 Cr director loan and Rs 22.87 Cr supplier advances of unproven nature and recoverability.</w:t>
      </w:r>
    </w:p>
    <w:p>
      <w:r>
        <w:rPr>
          <w:rFonts w:ascii="Calibri" w:hAnsi="Calibri"/>
          <w:color w:val="000000"/>
        </w:rPr>
        <w:t>Areas for further deep diligence</w:t>
      </w:r>
    </w:p>
    <w:p>
      <w:pPr>
        <w:pStyle w:val="ListBullet"/>
      </w:pPr>
      <w:r>
        <w:rPr>
          <w:rFonts w:ascii="Calibri" w:hAnsi="Calibri"/>
          <w:color w:val="000000"/>
        </w:rPr>
        <w:t>Audited FY26 numbers reconciled to the provisional MIS, the deck, and GST/sales records - the profitability step-up must be verified before it is relied on.</w:t>
      </w:r>
    </w:p>
    <w:p>
      <w:pPr>
        <w:pStyle w:val="ListBullet"/>
      </w:pPr>
      <w:r>
        <w:rPr>
          <w:rFonts w:ascii="Calibri" w:hAnsi="Calibri"/>
          <w:color w:val="000000"/>
        </w:rPr>
        <w:t>BR Trading Manjeri - ownership, relationship to the promoters, terms, and collection track record; customer concentration re-tested on a revenue (not just receivables) basis.</w:t>
      </w:r>
    </w:p>
    <w:p>
      <w:pPr>
        <w:pStyle w:val="ListBullet"/>
      </w:pPr>
      <w:r>
        <w:rPr>
          <w:rFonts w:ascii="Calibri" w:hAnsi="Calibri"/>
          <w:color w:val="000000"/>
        </w:rPr>
        <w:t>The Rs 6.58 Cr director loan and the Rs 22.87 Cr supplier advances - purpose, counterparties, ageing, recoverability, and a plan/covenant to unwind.</w:t>
      </w:r>
    </w:p>
    <w:p>
      <w:pPr>
        <w:pStyle w:val="ListBullet"/>
      </w:pPr>
      <w:r>
        <w:rPr>
          <w:rFonts w:ascii="Calibri" w:hAnsi="Calibri"/>
          <w:color w:val="000000"/>
        </w:rPr>
        <w:t>Inventory ageing (not disclosed) and the Rs 63.55 Cr finished-goods position - obsolescence and realisability, given 268 inventory days.</w:t>
      </w:r>
    </w:p>
    <w:p>
      <w:pPr>
        <w:pStyle w:val="ListBullet"/>
      </w:pPr>
      <w:r>
        <w:rPr>
          <w:rFonts w:ascii="Calibri" w:hAnsi="Calibri"/>
          <w:color w:val="000000"/>
        </w:rPr>
        <w:t>Working-capital trajectory and a true monthly cash-flow / runway picture; sanctioned vs utilised bank limits and renewal status across Federal, Union and NSIC.</w:t>
      </w:r>
    </w:p>
    <w:p>
      <w:pPr>
        <w:pStyle w:val="ListBullet"/>
      </w:pPr>
      <w:r>
        <w:rPr>
          <w:rFonts w:ascii="Calibri" w:hAnsi="Calibri"/>
          <w:color w:val="000000"/>
        </w:rPr>
        <w:t>Group structure - the 12 related entities, the planned mergers, intra-group pricing, and whether consolidated financials change the read.</w:t>
      </w:r>
    </w:p>
    <w:p>
      <w:r>
        <w:rPr>
          <w:rFonts w:ascii="Calibri" w:hAnsi="Calibri"/>
          <w:color w:val="000000"/>
        </w:rPr>
        <w:t>Suggested structure or mitigants</w:t>
      </w:r>
    </w:p>
    <w:p>
      <w:pPr>
        <w:pStyle w:val="ListBullet"/>
      </w:pPr>
      <w:r>
        <w:rPr>
          <w:rFonts w:ascii="Calibri" w:hAnsi="Calibri"/>
          <w:color w:val="000000"/>
        </w:rPr>
        <w:t>Ring-fence use of proceeds to the stated working-capital and store-expansion uses, with milestone-based or tranched disbursement tied to store roll-out.</w:t>
      </w:r>
    </w:p>
    <w:p>
      <w:pPr>
        <w:pStyle w:val="ListBullet"/>
      </w:pPr>
      <w:r>
        <w:rPr>
          <w:rFonts w:ascii="Calibri" w:hAnsi="Calibri"/>
          <w:color w:val="000000"/>
        </w:rPr>
        <w:t>A debt-service reserve (one to two quarters of interest) given cash ICR below 1x and Rs 0.61 Cr of cash, plus an escrow/sweep on collections from the top distributors.</w:t>
      </w:r>
    </w:p>
    <w:p>
      <w:pPr>
        <w:pStyle w:val="ListBullet"/>
      </w:pPr>
      <w:r>
        <w:rPr>
          <w:rFonts w:ascii="Calibri" w:hAnsi="Calibri"/>
          <w:color w:val="000000"/>
        </w:rPr>
        <w:t>Covenants: a cap on related-party outflows (no further increase in the director loan or in advances to suppliers without consent), a single-customer receivable concentration cap, a minimum DSCR/interest-cover test, and a maximum CCC or inventory-days covenant.</w:t>
      </w:r>
    </w:p>
    <w:p>
      <w:pPr>
        <w:pStyle w:val="ListBullet"/>
      </w:pPr>
      <w:r>
        <w:rPr>
          <w:rFonts w:ascii="Calibri" w:hAnsi="Calibri"/>
          <w:color w:val="000000"/>
        </w:rPr>
        <w:t>Security: a charge ranking alongside the existing book-debt/stock hypothecation as available, personal guarantees from the promoters (consistent with their property already pledged to the banks), and a negative lien on the unencumbered fixed assets.</w:t>
      </w:r>
    </w:p>
    <w:p>
      <w:pPr>
        <w:pStyle w:val="ListBullet"/>
      </w:pPr>
      <w:r>
        <w:rPr>
          <w:rFonts w:ascii="Calibri" w:hAnsi="Calibri"/>
          <w:color w:val="000000"/>
        </w:rPr>
        <w:t>Confirm tenure and security offered (both not provided in the deck) before we move to terms.</w:t>
      </w:r>
    </w:p>
    <w:p>
      <w:pPr>
        <w:pBdr>
          <w:bottom w:val="single" w:sz="6" w:space="1" w:color="000000"/>
        </w:pBdr>
      </w:pPr>
    </w:p>
    <w:p>
      <w:pPr>
        <w:pStyle w:val="Heading2"/>
      </w:pPr>
      <w:r>
        <w:rPr>
          <w:rFonts w:ascii="Calibri" w:hAnsi="Calibri"/>
          <w:b/>
          <w:color w:val="000000"/>
          <w:sz w:val="24"/>
        </w:rPr>
        <w:t>Annexures</w:t>
      </w:r>
    </w:p>
    <w:p>
      <w:pPr>
        <w:pStyle w:val="Heading3"/>
      </w:pPr>
      <w:r>
        <w:rPr>
          <w:rFonts w:ascii="Calibri" w:hAnsi="Calibri"/>
          <w:b/>
          <w:color w:val="000000"/>
          <w:sz w:val="22"/>
        </w:rPr>
        <w:t>Annexure A - D/TNW Build-up (FY25 audited)</w:t>
      </w:r>
    </w:p>
    <w:p>
      <w:r>
        <w:rPr>
          <w:rFonts w:ascii="Calibri" w:hAnsi="Calibri"/>
          <w:color w:val="000000"/>
        </w:rPr>
        <w:t>Tangible Net Worth:</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0"/>
              </w:rPr>
              <w:t>Line</w:t>
            </w:r>
          </w:p>
        </w:tc>
        <w:tc>
          <w:tcPr>
            <w:tcW w:type="dxa" w:w="4320"/>
          </w:tcPr>
          <w:p>
            <w:r>
              <w:rPr>
                <w:rFonts w:ascii="Calibri" w:hAnsi="Calibri"/>
                <w:b/>
                <w:color w:val="000000"/>
                <w:sz w:val="20"/>
              </w:rPr>
              <w:t>Rs Cr</w:t>
            </w:r>
          </w:p>
        </w:tc>
      </w:tr>
      <w:tr>
        <w:tc>
          <w:tcPr>
            <w:tcW w:type="dxa" w:w="4320"/>
          </w:tcPr>
          <w:p>
            <w:r>
              <w:rPr>
                <w:rFonts w:ascii="Calibri" w:hAnsi="Calibri"/>
                <w:color w:val="000000"/>
                <w:sz w:val="20"/>
              </w:rPr>
              <w:t>Equity share capital</w:t>
            </w:r>
          </w:p>
        </w:tc>
        <w:tc>
          <w:tcPr>
            <w:tcW w:type="dxa" w:w="4320"/>
          </w:tcPr>
          <w:p>
            <w:r>
              <w:rPr>
                <w:rFonts w:ascii="Calibri" w:hAnsi="Calibri"/>
                <w:color w:val="000000"/>
                <w:sz w:val="20"/>
              </w:rPr>
              <w:t>18.86</w:t>
            </w:r>
          </w:p>
        </w:tc>
      </w:tr>
      <w:tr>
        <w:tc>
          <w:tcPr>
            <w:tcW w:type="dxa" w:w="4320"/>
          </w:tcPr>
          <w:p>
            <w:r>
              <w:rPr>
                <w:rFonts w:ascii="Calibri" w:hAnsi="Calibri"/>
                <w:color w:val="000000"/>
                <w:sz w:val="20"/>
              </w:rPr>
              <w:t>(+) Reserves &amp; surplus</w:t>
            </w:r>
          </w:p>
        </w:tc>
        <w:tc>
          <w:tcPr>
            <w:tcW w:type="dxa" w:w="4320"/>
          </w:tcPr>
          <w:p>
            <w:r>
              <w:rPr>
                <w:rFonts w:ascii="Calibri" w:hAnsi="Calibri"/>
                <w:color w:val="000000"/>
                <w:sz w:val="20"/>
              </w:rPr>
              <w:t>59.85</w:t>
            </w:r>
          </w:p>
        </w:tc>
      </w:tr>
      <w:tr>
        <w:tc>
          <w:tcPr>
            <w:tcW w:type="dxa" w:w="4320"/>
          </w:tcPr>
          <w:p>
            <w:r>
              <w:rPr>
                <w:rFonts w:ascii="Calibri" w:hAnsi="Calibri"/>
                <w:color w:val="000000"/>
                <w:sz w:val="20"/>
              </w:rPr>
              <w:t>= Equity attributable to borrower</w:t>
            </w:r>
          </w:p>
        </w:tc>
        <w:tc>
          <w:tcPr>
            <w:tcW w:type="dxa" w:w="4320"/>
          </w:tcPr>
          <w:p>
            <w:r>
              <w:rPr>
                <w:rFonts w:ascii="Calibri" w:hAnsi="Calibri"/>
                <w:color w:val="000000"/>
                <w:sz w:val="20"/>
              </w:rPr>
              <w:t>78.71</w:t>
            </w:r>
          </w:p>
        </w:tc>
      </w:tr>
      <w:tr>
        <w:tc>
          <w:tcPr>
            <w:tcW w:type="dxa" w:w="4320"/>
          </w:tcPr>
          <w:p>
            <w:r>
              <w:rPr>
                <w:rFonts w:ascii="Calibri" w:hAnsi="Calibri"/>
                <w:color w:val="000000"/>
                <w:sz w:val="20"/>
              </w:rPr>
              <w:t>(-) Deferred tax assets</w:t>
            </w:r>
          </w:p>
        </w:tc>
        <w:tc>
          <w:tcPr>
            <w:tcW w:type="dxa" w:w="4320"/>
          </w:tcPr>
          <w:p>
            <w:r>
              <w:rPr>
                <w:rFonts w:ascii="Calibri" w:hAnsi="Calibri"/>
                <w:color w:val="000000"/>
                <w:sz w:val="20"/>
              </w:rPr>
              <w:t>(0.60)</w:t>
            </w:r>
          </w:p>
        </w:tc>
      </w:tr>
      <w:tr>
        <w:tc>
          <w:tcPr>
            <w:tcW w:type="dxa" w:w="4320"/>
          </w:tcPr>
          <w:p>
            <w:r>
              <w:rPr>
                <w:rFonts w:ascii="Calibri" w:hAnsi="Calibri"/>
                <w:color w:val="000000"/>
                <w:sz w:val="20"/>
              </w:rPr>
              <w:t>(-) Intangibles, net (Goodwill 4.28 + software/trademark 0.16)</w:t>
            </w:r>
          </w:p>
        </w:tc>
        <w:tc>
          <w:tcPr>
            <w:tcW w:type="dxa" w:w="4320"/>
          </w:tcPr>
          <w:p>
            <w:r>
              <w:rPr>
                <w:rFonts w:ascii="Calibri" w:hAnsi="Calibri"/>
                <w:color w:val="000000"/>
                <w:sz w:val="20"/>
              </w:rPr>
              <w:t>(4.44)</w:t>
            </w:r>
          </w:p>
        </w:tc>
      </w:tr>
      <w:tr>
        <w:tc>
          <w:tcPr>
            <w:tcW w:type="dxa" w:w="4320"/>
          </w:tcPr>
          <w:p>
            <w:r>
              <w:rPr>
                <w:rFonts w:ascii="Calibri" w:hAnsi="Calibri"/>
                <w:color w:val="000000"/>
                <w:sz w:val="20"/>
              </w:rPr>
              <w:t>(-) Debtor provision 180-365d at 75%</w:t>
            </w:r>
          </w:p>
        </w:tc>
        <w:tc>
          <w:tcPr>
            <w:tcW w:type="dxa" w:w="4320"/>
          </w:tcPr>
          <w:p>
            <w:r>
              <w:rPr>
                <w:rFonts w:ascii="Calibri" w:hAnsi="Calibri"/>
                <w:color w:val="000000"/>
                <w:sz w:val="20"/>
              </w:rPr>
              <w:t>(8.47)</w:t>
            </w:r>
          </w:p>
        </w:tc>
      </w:tr>
      <w:tr>
        <w:tc>
          <w:tcPr>
            <w:tcW w:type="dxa" w:w="4320"/>
          </w:tcPr>
          <w:p>
            <w:r>
              <w:rPr>
                <w:rFonts w:ascii="Calibri" w:hAnsi="Calibri"/>
                <w:color w:val="000000"/>
                <w:sz w:val="20"/>
              </w:rPr>
              <w:t>(-) Debtor provision over 365d at 100%</w:t>
            </w:r>
          </w:p>
        </w:tc>
        <w:tc>
          <w:tcPr>
            <w:tcW w:type="dxa" w:w="4320"/>
          </w:tcPr>
          <w:p>
            <w:r>
              <w:rPr>
                <w:rFonts w:ascii="Calibri" w:hAnsi="Calibri"/>
                <w:color w:val="000000"/>
                <w:sz w:val="20"/>
              </w:rPr>
              <w:t>(4.34)</w:t>
            </w:r>
          </w:p>
        </w:tc>
      </w:tr>
      <w:tr>
        <w:tc>
          <w:tcPr>
            <w:tcW w:type="dxa" w:w="4320"/>
          </w:tcPr>
          <w:p>
            <w:r>
              <w:rPr>
                <w:rFonts w:ascii="Calibri" w:hAnsi="Calibri"/>
                <w:color w:val="000000"/>
                <w:sz w:val="20"/>
              </w:rPr>
              <w:t>= Tangible Net Worth</w:t>
            </w:r>
          </w:p>
        </w:tc>
        <w:tc>
          <w:tcPr>
            <w:tcW w:type="dxa" w:w="4320"/>
          </w:tcPr>
          <w:p>
            <w:r>
              <w:rPr>
                <w:rFonts w:ascii="Calibri" w:hAnsi="Calibri"/>
                <w:color w:val="000000"/>
                <w:sz w:val="20"/>
              </w:rPr>
              <w:t>60.86</w:t>
            </w:r>
          </w:p>
        </w:tc>
      </w:tr>
    </w:tbl>
    <w:p/>
    <w:p>
      <w:r>
        <w:rPr>
          <w:rFonts w:ascii="Calibri" w:hAnsi="Calibri"/>
          <w:color w:val="000000"/>
        </w:rPr>
        <w:t>Total Debt: LT borrowings 3.25 + ST borrowings 26.29 + contingent likely-to-crystallise 0 = 29.54 Cr.</w:t>
      </w:r>
    </w:p>
    <w:p>
      <w:r>
        <w:rPr>
          <w:rFonts w:ascii="Calibri" w:hAnsi="Calibri"/>
          <w:color w:val="000000"/>
        </w:rPr>
        <w:t>D/TNW = 29.54 / 60.86 = 0.49x (without debtor haircuts, 0.40x). Supplementary MIS D/E (FY26) = 23.94 / 104.15 = 0.23x. Nandan's proposed facility excluded throughout.</w:t>
      </w:r>
    </w:p>
    <w:p>
      <w:pPr>
        <w:pStyle w:val="Heading3"/>
      </w:pPr>
      <w:r>
        <w:rPr>
          <w:rFonts w:ascii="Calibri" w:hAnsi="Calibri"/>
          <w:b/>
          <w:color w:val="000000"/>
          <w:sz w:val="22"/>
        </w:rPr>
        <w:t>Annexure B - Debtor Ageing (31 Mar 2026; reconciles to BS receivables Rs 42.91 Cr)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0-90</w:t>
            </w:r>
          </w:p>
        </w:tc>
        <w:tc>
          <w:tcPr>
            <w:tcW w:type="dxa" w:w="1440"/>
          </w:tcPr>
          <w:p>
            <w:r>
              <w:rPr>
                <w:rFonts w:ascii="Calibri" w:hAnsi="Calibri"/>
                <w:b/>
                <w:color w:val="000000"/>
                <w:sz w:val="20"/>
              </w:rPr>
              <w:t>91-120</w:t>
            </w:r>
          </w:p>
        </w:tc>
        <w:tc>
          <w:tcPr>
            <w:tcW w:type="dxa" w:w="1440"/>
          </w:tcPr>
          <w:p>
            <w:r>
              <w:rPr>
                <w:rFonts w:ascii="Calibri" w:hAnsi="Calibri"/>
                <w:b/>
                <w:color w:val="000000"/>
                <w:sz w:val="20"/>
              </w:rPr>
              <w:t>121-180</w:t>
            </w:r>
          </w:p>
        </w:tc>
        <w:tc>
          <w:tcPr>
            <w:tcW w:type="dxa" w:w="1440"/>
          </w:tcPr>
          <w:p>
            <w:r>
              <w:rPr>
                <w:rFonts w:ascii="Calibri" w:hAnsi="Calibri"/>
                <w:b/>
                <w:color w:val="000000"/>
                <w:sz w:val="20"/>
              </w:rPr>
              <w:t>181-365</w:t>
            </w:r>
          </w:p>
        </w:tc>
        <w:tc>
          <w:tcPr>
            <w:tcW w:type="dxa" w:w="1440"/>
          </w:tcPr>
          <w:p>
            <w:r>
              <w:rPr>
                <w:rFonts w:ascii="Calibri" w:hAnsi="Calibri"/>
                <w:b/>
                <w:color w:val="000000"/>
                <w:sz w:val="20"/>
              </w:rPr>
              <w:t>366+</w:t>
            </w:r>
          </w:p>
        </w:tc>
        <w:tc>
          <w:tcPr>
            <w:tcW w:type="dxa" w:w="1440"/>
          </w:tcPr>
          <w:p>
            <w:r>
              <w:rPr>
                <w:rFonts w:ascii="Calibri" w:hAnsi="Calibri"/>
                <w:b/>
                <w:color w:val="000000"/>
                <w:sz w:val="20"/>
              </w:rPr>
              <w:t>Total</w:t>
            </w:r>
          </w:p>
        </w:tc>
      </w:tr>
      <w:tr>
        <w:tc>
          <w:tcPr>
            <w:tcW w:type="dxa" w:w="1440"/>
          </w:tcPr>
          <w:p>
            <w:r>
              <w:rPr>
                <w:rFonts w:ascii="Calibri" w:hAnsi="Calibri"/>
                <w:color w:val="000000"/>
                <w:sz w:val="20"/>
              </w:rPr>
              <w:t>13.21</w:t>
            </w:r>
          </w:p>
        </w:tc>
        <w:tc>
          <w:tcPr>
            <w:tcW w:type="dxa" w:w="1440"/>
          </w:tcPr>
          <w:p>
            <w:r>
              <w:rPr>
                <w:rFonts w:ascii="Calibri" w:hAnsi="Calibri"/>
                <w:color w:val="000000"/>
                <w:sz w:val="20"/>
              </w:rPr>
              <w:t>4.92</w:t>
            </w:r>
          </w:p>
        </w:tc>
        <w:tc>
          <w:tcPr>
            <w:tcW w:type="dxa" w:w="1440"/>
          </w:tcPr>
          <w:p>
            <w:r>
              <w:rPr>
                <w:rFonts w:ascii="Calibri" w:hAnsi="Calibri"/>
                <w:color w:val="000000"/>
                <w:sz w:val="20"/>
              </w:rPr>
              <w:t>5.85</w:t>
            </w:r>
          </w:p>
        </w:tc>
        <w:tc>
          <w:tcPr>
            <w:tcW w:type="dxa" w:w="1440"/>
          </w:tcPr>
          <w:p>
            <w:r>
              <w:rPr>
                <w:rFonts w:ascii="Calibri" w:hAnsi="Calibri"/>
                <w:color w:val="000000"/>
                <w:sz w:val="20"/>
              </w:rPr>
              <w:t>13.76</w:t>
            </w:r>
          </w:p>
        </w:tc>
        <w:tc>
          <w:tcPr>
            <w:tcW w:type="dxa" w:w="1440"/>
          </w:tcPr>
          <w:p>
            <w:r>
              <w:rPr>
                <w:rFonts w:ascii="Calibri" w:hAnsi="Calibri"/>
                <w:color w:val="000000"/>
                <w:sz w:val="20"/>
              </w:rPr>
              <w:t>5.18</w:t>
            </w:r>
          </w:p>
        </w:tc>
        <w:tc>
          <w:tcPr>
            <w:tcW w:type="dxa" w:w="1440"/>
          </w:tcPr>
          <w:p>
            <w:r>
              <w:rPr>
                <w:rFonts w:ascii="Calibri" w:hAnsi="Calibri"/>
                <w:color w:val="000000"/>
                <w:sz w:val="20"/>
              </w:rPr>
              <w:t>42.91</w:t>
            </w:r>
          </w:p>
        </w:tc>
      </w:tr>
    </w:tbl>
    <w:p/>
    <w:p>
      <w:r>
        <w:rPr>
          <w:rFonts w:ascii="Calibri" w:hAnsi="Calibri"/>
          <w:color w:val="000000"/>
        </w:rPr>
        <w:t>Debtors over 180 days = 13.76 + 5.18 = Rs 18.94 Cr = 11.69% of FY26 revenue (the Rule 5 number). FY25 audited ageing gives 11.55%. Largest account BR Trading Manjeri Rs 16.73 Cr sits entirely within 0-180 days; the over-180-day balances are spread across Veliyath, Ennexa, Teenz Attires, Fazza Holding (UAE) and Yas Enterprises. Inventory ageing is not disclosed in the audited Notes.</w:t>
      </w:r>
    </w:p>
    <w:p>
      <w:pPr>
        <w:pStyle w:val="Heading3"/>
      </w:pPr>
      <w:r>
        <w:rPr>
          <w:rFonts w:ascii="Calibri" w:hAnsi="Calibri"/>
          <w:b/>
          <w:color w:val="000000"/>
          <w:sz w:val="22"/>
        </w:rPr>
        <w:t>Annexure C - Cash Runway (both scenarios, FY26 provisional)</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Calibri" w:hAnsi="Calibri"/>
                <w:b/>
                <w:color w:val="000000"/>
                <w:sz w:val="20"/>
              </w:rPr>
              <w:t>Scenario 1 - ST Refinanced</w:t>
            </w:r>
          </w:p>
        </w:tc>
        <w:tc>
          <w:tcPr>
            <w:tcW w:type="dxa" w:w="2880"/>
          </w:tcPr>
          <w:p>
            <w:r>
              <w:rPr>
                <w:rFonts w:ascii="Calibri" w:hAnsi="Calibri"/>
                <w:b/>
                <w:color w:val="000000"/>
                <w:sz w:val="20"/>
              </w:rPr>
              <w:t>Scenario 2 - ST Fully Repaid</w:t>
            </w:r>
          </w:p>
        </w:tc>
      </w:tr>
      <w:tr>
        <w:tc>
          <w:tcPr>
            <w:tcW w:type="dxa" w:w="2880"/>
          </w:tcPr>
          <w:p>
            <w:r>
              <w:rPr>
                <w:rFonts w:ascii="Calibri" w:hAnsi="Calibri"/>
                <w:color w:val="000000"/>
                <w:sz w:val="20"/>
              </w:rPr>
              <w:t>Period cash generation / (burn)</w:t>
            </w:r>
          </w:p>
        </w:tc>
        <w:tc>
          <w:tcPr>
            <w:tcW w:type="dxa" w:w="2880"/>
          </w:tcPr>
          <w:p>
            <w:r>
              <w:rPr>
                <w:rFonts w:ascii="Calibri" w:hAnsi="Calibri"/>
                <w:color w:val="000000"/>
                <w:sz w:val="20"/>
              </w:rPr>
              <w:t>(Rs 1.61 Cr)</w:t>
            </w:r>
          </w:p>
        </w:tc>
        <w:tc>
          <w:tcPr>
            <w:tcW w:type="dxa" w:w="2880"/>
          </w:tcPr>
          <w:p>
            <w:r>
              <w:rPr>
                <w:rFonts w:ascii="Calibri" w:hAnsi="Calibri"/>
                <w:color w:val="000000"/>
                <w:sz w:val="20"/>
              </w:rPr>
              <w:t>(Rs 22.28 Cr)</w:t>
            </w:r>
          </w:p>
        </w:tc>
      </w:tr>
      <w:tr>
        <w:tc>
          <w:tcPr>
            <w:tcW w:type="dxa" w:w="2880"/>
          </w:tcPr>
          <w:p>
            <w:r>
              <w:rPr>
                <w:rFonts w:ascii="Calibri" w:hAnsi="Calibri"/>
                <w:color w:val="000000"/>
                <w:sz w:val="20"/>
              </w:rPr>
              <w:t>Monthly burn</w:t>
            </w:r>
          </w:p>
        </w:tc>
        <w:tc>
          <w:tcPr>
            <w:tcW w:type="dxa" w:w="2880"/>
          </w:tcPr>
          <w:p>
            <w:r>
              <w:rPr>
                <w:rFonts w:ascii="Calibri" w:hAnsi="Calibri"/>
                <w:color w:val="000000"/>
                <w:sz w:val="20"/>
              </w:rPr>
              <w:t>Rs 0.13 Cr / month</w:t>
            </w:r>
          </w:p>
        </w:tc>
        <w:tc>
          <w:tcPr>
            <w:tcW w:type="dxa" w:w="2880"/>
          </w:tcPr>
          <w:p>
            <w:r>
              <w:rPr>
                <w:rFonts w:ascii="Calibri" w:hAnsi="Calibri"/>
                <w:color w:val="000000"/>
                <w:sz w:val="20"/>
              </w:rPr>
              <w:t>Rs 1.86 Cr / month</w:t>
            </w:r>
          </w:p>
        </w:tc>
      </w:tr>
      <w:tr>
        <w:tc>
          <w:tcPr>
            <w:tcW w:type="dxa" w:w="2880"/>
          </w:tcPr>
          <w:p>
            <w:r>
              <w:rPr>
                <w:rFonts w:ascii="Calibri" w:hAnsi="Calibri"/>
                <w:color w:val="000000"/>
                <w:sz w:val="20"/>
              </w:rPr>
              <w:t>Unencumbered cash</w:t>
            </w:r>
          </w:p>
        </w:tc>
        <w:tc>
          <w:tcPr>
            <w:tcW w:type="dxa" w:w="2880"/>
          </w:tcPr>
          <w:p>
            <w:r>
              <w:rPr>
                <w:rFonts w:ascii="Calibri" w:hAnsi="Calibri"/>
                <w:color w:val="000000"/>
                <w:sz w:val="20"/>
              </w:rPr>
              <w:t>Rs 0.61 Cr</w:t>
            </w:r>
          </w:p>
        </w:tc>
        <w:tc>
          <w:tcPr>
            <w:tcW w:type="dxa" w:w="2880"/>
          </w:tcPr>
          <w:p>
            <w:r>
              <w:rPr>
                <w:rFonts w:ascii="Calibri" w:hAnsi="Calibri"/>
                <w:color w:val="000000"/>
                <w:sz w:val="20"/>
              </w:rPr>
              <w:t>Rs 0.61 Cr</w:t>
            </w:r>
          </w:p>
        </w:tc>
      </w:tr>
      <w:tr>
        <w:tc>
          <w:tcPr>
            <w:tcW w:type="dxa" w:w="2880"/>
          </w:tcPr>
          <w:p>
            <w:r>
              <w:rPr>
                <w:rFonts w:ascii="Calibri" w:hAnsi="Calibri"/>
                <w:color w:val="000000"/>
                <w:sz w:val="20"/>
              </w:rPr>
              <w:t>Runway</w:t>
            </w:r>
          </w:p>
        </w:tc>
        <w:tc>
          <w:tcPr>
            <w:tcW w:type="dxa" w:w="2880"/>
          </w:tcPr>
          <w:p>
            <w:r>
              <w:rPr>
                <w:rFonts w:ascii="Calibri" w:hAnsi="Calibri"/>
                <w:color w:val="000000"/>
                <w:sz w:val="20"/>
              </w:rPr>
              <w:t>~4.6 months</w:t>
            </w:r>
          </w:p>
        </w:tc>
        <w:tc>
          <w:tcPr>
            <w:tcW w:type="dxa" w:w="2880"/>
          </w:tcPr>
          <w:p>
            <w:r>
              <w:rPr>
                <w:rFonts w:ascii="Calibri" w:hAnsi="Calibri"/>
                <w:color w:val="000000"/>
                <w:sz w:val="20"/>
              </w:rPr>
              <w:t>~0.3 months</w:t>
            </w:r>
          </w:p>
        </w:tc>
      </w:tr>
    </w:tbl>
    <w:p/>
    <w:p>
      <w:r>
        <w:rPr>
          <w:rFonts w:ascii="Calibri" w:hAnsi="Calibri"/>
          <w:color w:val="000000"/>
        </w:rPr>
        <w:t>Build-up (Scenario 1): EBITDA 29.96 + working-capital cash impact (-18.08) + capex (-3.22) - finance costs (4.96) - cash tax (5.32) - ST repayment (0) = -1.61 Cr. Cash of Rs 0.61 Cr excludes Rs 0.97 Cr of margin/lien fixed deposits. The fully-repaid scenario is un-survivable on own cash - the Rs 20.67 Cr of cash-credit lines must roll. The "burn" includes a Rs 4.5 Cr year-on-year increase in the loan to the director; stripping that out, the business is roughly cash-neutral after capex and interest. Either way, on-balance-sheet liquidity is thin and the company runs on revolving bank limits.</w:t>
      </w:r>
    </w:p>
    <w:p>
      <w:pPr>
        <w:pStyle w:val="Heading3"/>
      </w:pPr>
      <w:r>
        <w:rPr>
          <w:rFonts w:ascii="Calibri" w:hAnsi="Calibri"/>
          <w:b/>
          <w:color w:val="000000"/>
          <w:sz w:val="22"/>
        </w:rPr>
        <w:t>Annexure D - Debt Schedule (outstanding as on 30 Apr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alibri" w:hAnsi="Calibri"/>
                <w:b/>
                <w:color w:val="000000"/>
                <w:sz w:val="20"/>
              </w:rPr>
              <w:t>Lender</w:t>
            </w:r>
          </w:p>
        </w:tc>
        <w:tc>
          <w:tcPr>
            <w:tcW w:type="dxa" w:w="1234"/>
          </w:tcPr>
          <w:p>
            <w:r>
              <w:rPr>
                <w:rFonts w:ascii="Calibri" w:hAnsi="Calibri"/>
                <w:b/>
                <w:color w:val="000000"/>
                <w:sz w:val="20"/>
              </w:rPr>
              <w:t>Facility</w:t>
            </w:r>
          </w:p>
        </w:tc>
        <w:tc>
          <w:tcPr>
            <w:tcW w:type="dxa" w:w="1234"/>
          </w:tcPr>
          <w:p>
            <w:r>
              <w:rPr>
                <w:rFonts w:ascii="Calibri" w:hAnsi="Calibri"/>
                <w:b/>
                <w:color w:val="000000"/>
                <w:sz w:val="20"/>
              </w:rPr>
              <w:t>Rate %</w:t>
            </w:r>
          </w:p>
        </w:tc>
        <w:tc>
          <w:tcPr>
            <w:tcW w:type="dxa" w:w="1234"/>
          </w:tcPr>
          <w:p>
            <w:r>
              <w:rPr>
                <w:rFonts w:ascii="Calibri" w:hAnsi="Calibri"/>
                <w:b/>
                <w:color w:val="000000"/>
                <w:sz w:val="20"/>
              </w:rPr>
              <w:t>Sanctioned (Rs Cr)</w:t>
            </w:r>
          </w:p>
        </w:tc>
        <w:tc>
          <w:tcPr>
            <w:tcW w:type="dxa" w:w="1234"/>
          </w:tcPr>
          <w:p>
            <w:r>
              <w:rPr>
                <w:rFonts w:ascii="Calibri" w:hAnsi="Calibri"/>
                <w:b/>
                <w:color w:val="000000"/>
                <w:sz w:val="20"/>
              </w:rPr>
              <w:t>Outstanding (Rs Cr)</w:t>
            </w:r>
          </w:p>
        </w:tc>
        <w:tc>
          <w:tcPr>
            <w:tcW w:type="dxa" w:w="1234"/>
          </w:tcPr>
          <w:p>
            <w:r>
              <w:rPr>
                <w:rFonts w:ascii="Calibri" w:hAnsi="Calibri"/>
                <w:b/>
                <w:color w:val="000000"/>
                <w:sz w:val="20"/>
              </w:rPr>
              <w:t>Maturity</w:t>
            </w:r>
          </w:p>
        </w:tc>
        <w:tc>
          <w:tcPr>
            <w:tcW w:type="dxa" w:w="1234"/>
          </w:tcPr>
          <w:p>
            <w:r>
              <w:rPr>
                <w:rFonts w:ascii="Calibri" w:hAnsi="Calibri"/>
                <w:b/>
                <w:color w:val="000000"/>
                <w:sz w:val="20"/>
              </w:rPr>
              <w:t>Security</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Cash Credit</w:t>
            </w:r>
          </w:p>
        </w:tc>
        <w:tc>
          <w:tcPr>
            <w:tcW w:type="dxa" w:w="1234"/>
          </w:tcPr>
          <w:p>
            <w:r>
              <w:rPr>
                <w:rFonts w:ascii="Calibri" w:hAnsi="Calibri"/>
                <w:color w:val="000000"/>
                <w:sz w:val="20"/>
              </w:rPr>
              <w:t>12.75</w:t>
            </w:r>
          </w:p>
        </w:tc>
        <w:tc>
          <w:tcPr>
            <w:tcW w:type="dxa" w:w="1234"/>
          </w:tcPr>
          <w:p>
            <w:r>
              <w:rPr>
                <w:rFonts w:ascii="Calibri" w:hAnsi="Calibri"/>
                <w:color w:val="000000"/>
                <w:sz w:val="20"/>
              </w:rPr>
              <w:t>12.00</w:t>
            </w:r>
          </w:p>
        </w:tc>
        <w:tc>
          <w:tcPr>
            <w:tcW w:type="dxa" w:w="1234"/>
          </w:tcPr>
          <w:p>
            <w:r>
              <w:rPr>
                <w:rFonts w:ascii="Calibri" w:hAnsi="Calibri"/>
                <w:color w:val="000000"/>
                <w:sz w:val="20"/>
              </w:rPr>
              <w:t>11.96</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 + EM industrial land/factory</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Cash Credit</w:t>
            </w:r>
          </w:p>
        </w:tc>
        <w:tc>
          <w:tcPr>
            <w:tcW w:type="dxa" w:w="1234"/>
          </w:tcPr>
          <w:p>
            <w:r>
              <w:rPr>
                <w:rFonts w:ascii="Calibri" w:hAnsi="Calibri"/>
                <w:color w:val="000000"/>
                <w:sz w:val="20"/>
              </w:rPr>
              <w:t>12.75</w:t>
            </w:r>
          </w:p>
        </w:tc>
        <w:tc>
          <w:tcPr>
            <w:tcW w:type="dxa" w:w="1234"/>
          </w:tcPr>
          <w:p>
            <w:r>
              <w:rPr>
                <w:rFonts w:ascii="Calibri" w:hAnsi="Calibri"/>
                <w:color w:val="000000"/>
                <w:sz w:val="20"/>
              </w:rPr>
              <w:t>5.00</w:t>
            </w:r>
          </w:p>
        </w:tc>
        <w:tc>
          <w:tcPr>
            <w:tcW w:type="dxa" w:w="1234"/>
          </w:tcPr>
          <w:p>
            <w:r>
              <w:rPr>
                <w:rFonts w:ascii="Calibri" w:hAnsi="Calibri"/>
                <w:color w:val="000000"/>
                <w:sz w:val="20"/>
              </w:rPr>
              <w:t>4.98</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 + EM promoter land/building</w:t>
            </w:r>
          </w:p>
        </w:tc>
      </w:tr>
      <w:tr>
        <w:tc>
          <w:tcPr>
            <w:tcW w:type="dxa" w:w="1234"/>
          </w:tcPr>
          <w:p>
            <w:r>
              <w:rPr>
                <w:rFonts w:ascii="Calibri" w:hAnsi="Calibri"/>
                <w:color w:val="000000"/>
                <w:sz w:val="20"/>
              </w:rPr>
              <w:t>NSIC</w:t>
            </w:r>
          </w:p>
        </w:tc>
        <w:tc>
          <w:tcPr>
            <w:tcW w:type="dxa" w:w="1234"/>
          </w:tcPr>
          <w:p>
            <w:r>
              <w:rPr>
                <w:rFonts w:ascii="Calibri" w:hAnsi="Calibri"/>
                <w:color w:val="000000"/>
                <w:sz w:val="20"/>
              </w:rPr>
              <w:t>Cash Credit</w:t>
            </w:r>
          </w:p>
        </w:tc>
        <w:tc>
          <w:tcPr>
            <w:tcW w:type="dxa" w:w="1234"/>
          </w:tcPr>
          <w:p>
            <w:r>
              <w:rPr>
                <w:rFonts w:ascii="Calibri" w:hAnsi="Calibri"/>
                <w:color w:val="000000"/>
                <w:sz w:val="20"/>
              </w:rPr>
              <w:t>10.25</w:t>
            </w:r>
          </w:p>
        </w:tc>
        <w:tc>
          <w:tcPr>
            <w:tcW w:type="dxa" w:w="1234"/>
          </w:tcPr>
          <w:p>
            <w:r>
              <w:rPr>
                <w:rFonts w:ascii="Calibri" w:hAnsi="Calibri"/>
                <w:color w:val="000000"/>
                <w:sz w:val="20"/>
              </w:rPr>
              <w:t>3.80</w:t>
            </w:r>
          </w:p>
        </w:tc>
        <w:tc>
          <w:tcPr>
            <w:tcW w:type="dxa" w:w="1234"/>
          </w:tcPr>
          <w:p>
            <w:r>
              <w:rPr>
                <w:rFonts w:ascii="Calibri" w:hAnsi="Calibri"/>
                <w:color w:val="000000"/>
                <w:sz w:val="20"/>
              </w:rPr>
              <w:t>3.76</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WCDL</w:t>
            </w:r>
          </w:p>
        </w:tc>
        <w:tc>
          <w:tcPr>
            <w:tcW w:type="dxa" w:w="1234"/>
          </w:tcPr>
          <w:p>
            <w:r>
              <w:rPr>
                <w:rFonts w:ascii="Calibri" w:hAnsi="Calibri"/>
                <w:color w:val="000000"/>
                <w:sz w:val="20"/>
              </w:rPr>
              <w:t>12.00</w:t>
            </w:r>
          </w:p>
        </w:tc>
        <w:tc>
          <w:tcPr>
            <w:tcW w:type="dxa" w:w="1234"/>
          </w:tcPr>
          <w:p>
            <w:r>
              <w:rPr>
                <w:rFonts w:ascii="Calibri" w:hAnsi="Calibri"/>
                <w:color w:val="000000"/>
                <w:sz w:val="20"/>
              </w:rPr>
              <w:t>3.50</w:t>
            </w:r>
          </w:p>
        </w:tc>
        <w:tc>
          <w:tcPr>
            <w:tcW w:type="dxa" w:w="1234"/>
          </w:tcPr>
          <w:p>
            <w:r>
              <w:rPr>
                <w:rFonts w:ascii="Calibri" w:hAnsi="Calibri"/>
                <w:color w:val="000000"/>
                <w:sz w:val="20"/>
              </w:rPr>
              <w:t>1.40</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WCTL</w:t>
            </w:r>
          </w:p>
        </w:tc>
        <w:tc>
          <w:tcPr>
            <w:tcW w:type="dxa" w:w="1234"/>
          </w:tcPr>
          <w:p>
            <w:r>
              <w:rPr>
                <w:rFonts w:ascii="Calibri" w:hAnsi="Calibri"/>
                <w:color w:val="000000"/>
                <w:sz w:val="20"/>
              </w:rPr>
              <w:t>7.50</w:t>
            </w:r>
          </w:p>
        </w:tc>
        <w:tc>
          <w:tcPr>
            <w:tcW w:type="dxa" w:w="1234"/>
          </w:tcPr>
          <w:p>
            <w:r>
              <w:rPr>
                <w:rFonts w:ascii="Calibri" w:hAnsi="Calibri"/>
                <w:color w:val="000000"/>
                <w:sz w:val="20"/>
              </w:rPr>
              <w:t>3.50</w:t>
            </w:r>
          </w:p>
        </w:tc>
        <w:tc>
          <w:tcPr>
            <w:tcW w:type="dxa" w:w="1234"/>
          </w:tcPr>
          <w:p>
            <w:r>
              <w:rPr>
                <w:rFonts w:ascii="Calibri" w:hAnsi="Calibri"/>
                <w:color w:val="000000"/>
                <w:sz w:val="20"/>
              </w:rPr>
              <w:t>0.68</w:t>
            </w:r>
          </w:p>
        </w:tc>
        <w:tc>
          <w:tcPr>
            <w:tcW w:type="dxa" w:w="1234"/>
          </w:tcPr>
          <w:p>
            <w:r>
              <w:rPr>
                <w:rFonts w:ascii="Calibri" w:hAnsi="Calibri"/>
                <w:color w:val="000000"/>
                <w:sz w:val="20"/>
              </w:rPr>
              <w:t>Dec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Term loan</w:t>
            </w:r>
          </w:p>
        </w:tc>
        <w:tc>
          <w:tcPr>
            <w:tcW w:type="dxa" w:w="1234"/>
          </w:tcPr>
          <w:p>
            <w:r>
              <w:rPr>
                <w:rFonts w:ascii="Calibri" w:hAnsi="Calibri"/>
                <w:color w:val="000000"/>
                <w:sz w:val="20"/>
              </w:rPr>
              <w:t>15.50</w:t>
            </w:r>
          </w:p>
        </w:tc>
        <w:tc>
          <w:tcPr>
            <w:tcW w:type="dxa" w:w="1234"/>
          </w:tcPr>
          <w:p>
            <w:r>
              <w:rPr>
                <w:rFonts w:ascii="Calibri" w:hAnsi="Calibri"/>
                <w:color w:val="000000"/>
                <w:sz w:val="20"/>
              </w:rPr>
              <w:t>0.70</w:t>
            </w:r>
          </w:p>
        </w:tc>
        <w:tc>
          <w:tcPr>
            <w:tcW w:type="dxa" w:w="1234"/>
          </w:tcPr>
          <w:p>
            <w:r>
              <w:rPr>
                <w:rFonts w:ascii="Calibri" w:hAnsi="Calibri"/>
                <w:color w:val="000000"/>
                <w:sz w:val="20"/>
              </w:rPr>
              <w:t>0.29</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Term loan</w:t>
            </w:r>
          </w:p>
        </w:tc>
        <w:tc>
          <w:tcPr>
            <w:tcW w:type="dxa" w:w="1234"/>
          </w:tcPr>
          <w:p>
            <w:r>
              <w:rPr>
                <w:rFonts w:ascii="Calibri" w:hAnsi="Calibri"/>
                <w:color w:val="000000"/>
                <w:sz w:val="20"/>
              </w:rPr>
              <w:t>11.75</w:t>
            </w:r>
          </w:p>
        </w:tc>
        <w:tc>
          <w:tcPr>
            <w:tcW w:type="dxa" w:w="1234"/>
          </w:tcPr>
          <w:p>
            <w:r>
              <w:rPr>
                <w:rFonts w:ascii="Calibri" w:hAnsi="Calibri"/>
                <w:color w:val="000000"/>
                <w:sz w:val="20"/>
              </w:rPr>
              <w:t>0.61</w:t>
            </w:r>
          </w:p>
        </w:tc>
        <w:tc>
          <w:tcPr>
            <w:tcW w:type="dxa" w:w="1234"/>
          </w:tcPr>
          <w:p>
            <w:r>
              <w:rPr>
                <w:rFonts w:ascii="Calibri" w:hAnsi="Calibri"/>
                <w:color w:val="000000"/>
                <w:sz w:val="20"/>
              </w:rPr>
              <w:t>0.24</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Term loan - EBO</w:t>
            </w:r>
          </w:p>
        </w:tc>
        <w:tc>
          <w:tcPr>
            <w:tcW w:type="dxa" w:w="1234"/>
          </w:tcPr>
          <w:p>
            <w:r>
              <w:rPr>
                <w:rFonts w:ascii="Calibri" w:hAnsi="Calibri"/>
                <w:color w:val="000000"/>
                <w:sz w:val="20"/>
              </w:rPr>
              <w:t>10.55</w:t>
            </w:r>
          </w:p>
        </w:tc>
        <w:tc>
          <w:tcPr>
            <w:tcW w:type="dxa" w:w="1234"/>
          </w:tcPr>
          <w:p>
            <w:r>
              <w:rPr>
                <w:rFonts w:ascii="Calibri" w:hAnsi="Calibri"/>
                <w:color w:val="000000"/>
                <w:sz w:val="20"/>
              </w:rPr>
              <w:t>1.50</w:t>
            </w:r>
          </w:p>
        </w:tc>
        <w:tc>
          <w:tcPr>
            <w:tcW w:type="dxa" w:w="1234"/>
          </w:tcPr>
          <w:p>
            <w:r>
              <w:rPr>
                <w:rFonts w:ascii="Calibri" w:hAnsi="Calibri"/>
                <w:color w:val="000000"/>
                <w:sz w:val="20"/>
              </w:rPr>
              <w:t>0.15</w:t>
            </w:r>
          </w:p>
        </w:tc>
        <w:tc>
          <w:tcPr>
            <w:tcW w:type="dxa" w:w="1234"/>
          </w:tcPr>
          <w:p>
            <w:r>
              <w:rPr>
                <w:rFonts w:ascii="Calibri" w:hAnsi="Calibri"/>
                <w:color w:val="000000"/>
                <w:sz w:val="20"/>
              </w:rPr>
              <w:t>Dec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Term loan</w:t>
            </w:r>
          </w:p>
        </w:tc>
        <w:tc>
          <w:tcPr>
            <w:tcW w:type="dxa" w:w="1234"/>
          </w:tcPr>
          <w:p>
            <w:r>
              <w:rPr>
                <w:rFonts w:ascii="Calibri" w:hAnsi="Calibri"/>
                <w:color w:val="000000"/>
                <w:sz w:val="20"/>
              </w:rPr>
              <w:t>12.05</w:t>
            </w:r>
          </w:p>
        </w:tc>
        <w:tc>
          <w:tcPr>
            <w:tcW w:type="dxa" w:w="1234"/>
          </w:tcPr>
          <w:p>
            <w:r>
              <w:rPr>
                <w:rFonts w:ascii="Calibri" w:hAnsi="Calibri"/>
                <w:color w:val="000000"/>
                <w:sz w:val="20"/>
              </w:rPr>
              <w:t>6.62</w:t>
            </w:r>
          </w:p>
        </w:tc>
        <w:tc>
          <w:tcPr>
            <w:tcW w:type="dxa" w:w="1234"/>
          </w:tcPr>
          <w:p>
            <w:r>
              <w:rPr>
                <w:rFonts w:ascii="Calibri" w:hAnsi="Calibri"/>
                <w:color w:val="000000"/>
                <w:sz w:val="20"/>
              </w:rPr>
              <w:t>0.08</w:t>
            </w:r>
          </w:p>
        </w:tc>
        <w:tc>
          <w:tcPr>
            <w:tcW w:type="dxa" w:w="1234"/>
          </w:tcPr>
          <w:p>
            <w:r>
              <w:rPr>
                <w:rFonts w:ascii="Calibri" w:hAnsi="Calibri"/>
                <w:color w:val="000000"/>
                <w:sz w:val="20"/>
              </w:rPr>
              <w:t>May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Vehicle loan</w:t>
            </w:r>
          </w:p>
        </w:tc>
        <w:tc>
          <w:tcPr>
            <w:tcW w:type="dxa" w:w="1234"/>
          </w:tcPr>
          <w:p>
            <w:r>
              <w:rPr>
                <w:rFonts w:ascii="Calibri" w:hAnsi="Calibri"/>
                <w:color w:val="000000"/>
                <w:sz w:val="20"/>
              </w:rPr>
              <w:t>8.60</w:t>
            </w:r>
          </w:p>
        </w:tc>
        <w:tc>
          <w:tcPr>
            <w:tcW w:type="dxa" w:w="1234"/>
          </w:tcPr>
          <w:p>
            <w:r>
              <w:rPr>
                <w:rFonts w:ascii="Calibri" w:hAnsi="Calibri"/>
                <w:color w:val="000000"/>
                <w:sz w:val="20"/>
              </w:rPr>
              <w:t>0.40</w:t>
            </w:r>
          </w:p>
        </w:tc>
        <w:tc>
          <w:tcPr>
            <w:tcW w:type="dxa" w:w="1234"/>
          </w:tcPr>
          <w:p>
            <w:r>
              <w:rPr>
                <w:rFonts w:ascii="Calibri" w:hAnsi="Calibri"/>
                <w:color w:val="000000"/>
                <w:sz w:val="20"/>
              </w:rPr>
              <w:t>0.13</w:t>
            </w:r>
          </w:p>
        </w:tc>
        <w:tc>
          <w:tcPr>
            <w:tcW w:type="dxa" w:w="1234"/>
          </w:tcPr>
          <w:p>
            <w:r>
              <w:rPr>
                <w:rFonts w:ascii="Calibri" w:hAnsi="Calibri"/>
                <w:color w:val="000000"/>
                <w:sz w:val="20"/>
              </w:rPr>
              <w:t>Dec 2027</w:t>
            </w:r>
          </w:p>
        </w:tc>
        <w:tc>
          <w:tcPr>
            <w:tcW w:type="dxa" w:w="1234"/>
          </w:tcPr>
          <w:p>
            <w:r>
              <w:rPr>
                <w:rFonts w:ascii="Calibri" w:hAnsi="Calibri"/>
                <w:color w:val="000000"/>
                <w:sz w:val="20"/>
              </w:rPr>
              <w:t>Vehicle 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Vehicle loan</w:t>
            </w:r>
          </w:p>
        </w:tc>
        <w:tc>
          <w:tcPr>
            <w:tcW w:type="dxa" w:w="1234"/>
          </w:tcPr>
          <w:p>
            <w:r>
              <w:rPr>
                <w:rFonts w:ascii="Calibri" w:hAnsi="Calibri"/>
                <w:color w:val="000000"/>
                <w:sz w:val="20"/>
              </w:rPr>
              <w:t>8.35</w:t>
            </w:r>
          </w:p>
        </w:tc>
        <w:tc>
          <w:tcPr>
            <w:tcW w:type="dxa" w:w="1234"/>
          </w:tcPr>
          <w:p>
            <w:r>
              <w:rPr>
                <w:rFonts w:ascii="Calibri" w:hAnsi="Calibri"/>
                <w:color w:val="000000"/>
                <w:sz w:val="20"/>
              </w:rPr>
              <w:t>0.08</w:t>
            </w:r>
          </w:p>
        </w:tc>
        <w:tc>
          <w:tcPr>
            <w:tcW w:type="dxa" w:w="1234"/>
          </w:tcPr>
          <w:p>
            <w:r>
              <w:rPr>
                <w:rFonts w:ascii="Calibri" w:hAnsi="Calibri"/>
                <w:color w:val="000000"/>
                <w:sz w:val="20"/>
              </w:rPr>
              <w:t>0.02</w:t>
            </w:r>
          </w:p>
        </w:tc>
        <w:tc>
          <w:tcPr>
            <w:tcW w:type="dxa" w:w="1234"/>
          </w:tcPr>
          <w:p>
            <w:r>
              <w:rPr>
                <w:rFonts w:ascii="Calibri" w:hAnsi="Calibri"/>
                <w:color w:val="000000"/>
                <w:sz w:val="20"/>
              </w:rPr>
              <w:t>Oct 2027</w:t>
            </w:r>
          </w:p>
        </w:tc>
        <w:tc>
          <w:tcPr>
            <w:tcW w:type="dxa" w:w="1234"/>
          </w:tcPr>
          <w:p>
            <w:r>
              <w:rPr>
                <w:rFonts w:ascii="Calibri" w:hAnsi="Calibri"/>
                <w:color w:val="000000"/>
                <w:sz w:val="20"/>
              </w:rPr>
              <w:t>Vehicle hypothecation</w:t>
            </w:r>
          </w:p>
        </w:tc>
      </w:tr>
      <w:tr>
        <w:tc>
          <w:tcPr>
            <w:tcW w:type="dxa" w:w="1234"/>
          </w:tcPr>
          <w:p>
            <w:r>
              <w:rPr>
                <w:rFonts w:ascii="Calibri" w:hAnsi="Calibri"/>
                <w:b/>
                <w:color w:val="000000"/>
                <w:sz w:val="20"/>
              </w:rPr>
              <w:t>Total</w:t>
            </w:r>
          </w:p>
        </w:tc>
        <w:tc>
          <w:tcPr>
            <w:tcW w:type="dxa" w:w="1234"/>
          </w:tcPr>
          <w:p/>
        </w:tc>
        <w:tc>
          <w:tcPr>
            <w:tcW w:type="dxa" w:w="1234"/>
          </w:tcPr>
          <w:p/>
        </w:tc>
        <w:tc>
          <w:tcPr>
            <w:tcW w:type="dxa" w:w="1234"/>
          </w:tcPr>
          <w:p/>
        </w:tc>
        <w:tc>
          <w:tcPr>
            <w:tcW w:type="dxa" w:w="1234"/>
          </w:tcPr>
          <w:p>
            <w:r>
              <w:rPr>
                <w:rFonts w:ascii="Calibri" w:hAnsi="Calibri"/>
                <w:b/>
                <w:color w:val="000000"/>
                <w:sz w:val="20"/>
              </w:rPr>
              <w:t>23.69</w:t>
            </w:r>
          </w:p>
        </w:tc>
        <w:tc>
          <w:tcPr>
            <w:tcW w:type="dxa" w:w="1234"/>
          </w:tcPr>
          <w:p/>
        </w:tc>
        <w:tc>
          <w:tcPr>
            <w:tcW w:type="dxa" w:w="1234"/>
          </w:tcPr>
          <w:p>
            <w:r>
              <w:rPr>
                <w:rFonts w:ascii="Calibri" w:hAnsi="Calibri"/>
                <w:color w:val="000000"/>
                <w:sz w:val="20"/>
              </w:rPr>
              <w:t>All secured</w:t>
            </w:r>
          </w:p>
        </w:tc>
      </w:tr>
    </w:tbl>
    <w:p/>
    <w:p>
      <w:r>
        <w:rPr>
          <w:rFonts w:ascii="Calibri" w:hAnsi="Calibri"/>
          <w:color w:val="000000"/>
        </w:rPr>
        <w:t>(Federal Bank KSIDC, Union Bank Covid loan and four older Federal vehicle loans are fully repaid / nil outstanding and are omitted. Weighted-average rate ~12.2%.)</w:t>
      </w:r>
    </w:p>
    <w:p>
      <w:pPr>
        <w:pBdr>
          <w:bottom w:val="single" w:sz="6" w:space="1" w:color="000000"/>
        </w:pBdr>
      </w:pPr>
    </w:p>
    <w:p>
      <w:r>
        <w:rPr>
          <w:rFonts w:ascii="Calibri" w:hAnsi="Calibri"/>
          <w:color w:val="000000"/>
        </w:rPr>
        <w:t>Data sources used in this note:</w:t>
      </w:r>
    </w:p>
    <w:p>
      <w:pPr>
        <w:pStyle w:val="ListBullet"/>
      </w:pPr>
      <w:r>
        <w:rPr>
          <w:rFonts w:ascii="Calibri" w:hAnsi="Calibri"/>
          <w:color w:val="000000"/>
        </w:rPr>
        <w:t>Audited financial statements FY25 (with FY24 comparatives): PBCPL_Financial Statement 24-25.pdf - Sections 2-6, D/TNW.</w:t>
      </w:r>
    </w:p>
    <w:p>
      <w:pPr>
        <w:pStyle w:val="ListBullet"/>
      </w:pPr>
      <w:r>
        <w:rPr>
          <w:rFonts w:ascii="Calibri" w:hAnsi="Calibri"/>
          <w:color w:val="000000"/>
        </w:rPr>
        <w:t>FY26 provisional MIS: Projections 5 Years.xlsx (IS, BS, CFS, Notes) - Sections 1-5.</w:t>
      </w:r>
    </w:p>
    <w:p>
      <w:pPr>
        <w:pStyle w:val="ListBullet"/>
      </w:pPr>
      <w:r>
        <w:rPr>
          <w:rFonts w:ascii="Calibri" w:hAnsi="Calibri"/>
          <w:color w:val="000000"/>
        </w:rPr>
        <w:t>Debtor ageing as on 31 Mar 2026: Ageing Report Debtors 31.03.2026.pdf - Sections 2, 5.</w:t>
      </w:r>
    </w:p>
    <w:p>
      <w:pPr>
        <w:pStyle w:val="ListBullet"/>
      </w:pPr>
      <w:r>
        <w:rPr>
          <w:rFonts w:ascii="Calibri" w:hAnsi="Calibri"/>
          <w:color w:val="000000"/>
        </w:rPr>
        <w:t>Debt profile as on 30 Apr 2026: Debt Profile - 30-04-2026.xlsx - Section 6.</w:t>
      </w:r>
    </w:p>
    <w:p>
      <w:pPr>
        <w:pStyle w:val="ListBullet"/>
      </w:pPr>
      <w:r>
        <w:rPr>
          <w:rFonts w:ascii="Calibri" w:hAnsi="Calibri"/>
          <w:color w:val="000000"/>
        </w:rPr>
        <w:t>Group structure: GROUP STRUCTURE.xlsx - Section 0, company structure.</w:t>
      </w:r>
    </w:p>
    <w:p>
      <w:pPr>
        <w:pStyle w:val="ListBullet"/>
      </w:pPr>
      <w:r>
        <w:rPr>
          <w:rFonts w:ascii="Calibri" w:hAnsi="Calibri"/>
          <w:color w:val="000000"/>
        </w:rPr>
        <w:t>Pitch deck: Popees Pitch Deck_compressed.pdf - Section 0, deal terms, unit economics.</w:t>
      </w:r>
    </w:p>
    <w:p>
      <w:pPr>
        <w:pStyle w:val="ListBullet"/>
      </w:pPr>
      <w:r>
        <w:rPr>
          <w:rFonts w:ascii="Calibri" w:hAnsi="Calibri"/>
          <w:color w:val="000000"/>
        </w:rPr>
        <w:t>Filled appraisal template: companies/Popees/Financial_Appraisal_Popees.xlsx.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6"/>
      </w:rPr>
      <w:t>Nandan Fund, Confidential. Popees Baby Care Products Limited. Initial Screening. 08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