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b/>
          <w:color w:val="000000"/>
          <w:sz w:val="28"/>
        </w:rPr>
        <w:t>Monedo Financial Services Private Limited - Nandan Initial Screening Note</w:t>
      </w:r>
    </w:p>
    <w:p>
      <w:r>
        <w:rPr>
          <w:rFonts w:ascii="Calibri" w:hAnsi="Calibri"/>
          <w:color w:val="000000"/>
        </w:rPr>
        <w:t>Date: 09 June 2026</w:t>
      </w:r>
    </w:p>
    <w:p>
      <w:r>
        <w:rPr>
          <w:rFonts w:ascii="Calibri" w:hAnsi="Calibri"/>
          <w:color w:val="000000"/>
        </w:rPr>
        <w:t>Prepared by: Nandan Fund, Initial Screener</w:t>
      </w:r>
    </w:p>
    <w:p>
      <w:r>
        <w:rPr>
          <w:rFonts w:ascii="Calibri" w:hAnsi="Calibri"/>
          <w:color w:val="000000"/>
        </w:rPr>
        <w:t>Entity: Monedo Financial Services Private Limited (CIN U65100MH2017PTC294521), NBFC-ND, Mumbai</w:t>
      </w:r>
    </w:p>
    <w:p>
      <w:r>
        <w:rPr>
          <w:rFonts w:ascii="Calibri" w:hAnsi="Calibri"/>
          <w:color w:val="000000"/>
        </w:rPr>
        <w:t>Ask: Not provided at screening stage</w:t>
      </w:r>
    </w:p>
    <w:p>
      <w:r>
        <w:rPr>
          <w:rFonts w:ascii="Calibri" w:hAnsi="Calibri"/>
          <w:color w:val="000000"/>
        </w:rPr>
        <w:t>Tenure: Not provided</w:t>
      </w:r>
    </w:p>
    <w:p>
      <w:r>
        <w:rPr>
          <w:rFonts w:ascii="Calibri" w:hAnsi="Calibri"/>
          <w:color w:val="000000"/>
        </w:rPr>
        <w:t>Securities offered: Not provided (our suggested structure is set out at the end)</w:t>
      </w:r>
    </w:p>
    <w:p>
      <w:r>
        <w:rPr>
          <w:rFonts w:ascii="Calibri" w:hAnsi="Calibri"/>
          <w:color w:val="000000"/>
        </w:rPr>
        <w:t>Financials used: Standalone. FY24 and FY25 audited, FY26 actuals to 31 March 2026 from the company model and monthly MIS, DNBS-4B regulatory return (December 2025)</w:t>
      </w:r>
    </w:p>
    <w:p>
      <w:r>
        <w:rPr>
          <w:rFonts w:ascii="Calibri" w:hAnsi="Calibri"/>
          <w:color w:val="000000"/>
        </w:rPr>
        <w:t>Recommendation: Proceed to diligence</w:t>
      </w:r>
    </w:p>
    <w:p>
      <w:r>
        <w:rPr>
          <w:rFonts w:ascii="Calibri" w:hAnsi="Calibri"/>
          <w:color w:val="000000"/>
        </w:rPr>
        <w:t>This is a lending business, so we have screened it as an NBFC rather than on the operating-company template. The spine is asset quality, spread, capital adequacy, leverage and funding, not working capital and EBITDA. Where a figure mixes sources we say so.</w:t>
      </w:r>
    </w:p>
    <w:p>
      <w:pPr>
        <w:pBdr>
          <w:bottom w:val="single" w:sz="6" w:space="1" w:color="000000"/>
        </w:pBdr>
      </w:pPr>
    </w:p>
    <w:p>
      <w:pPr>
        <w:pStyle w:val="Heading2"/>
      </w:pPr>
      <w:r>
        <w:rPr>
          <w:rFonts w:ascii="Calibri" w:hAnsi="Calibri"/>
          <w:b/>
          <w:color w:val="000000"/>
          <w:sz w:val="24"/>
        </w:rPr>
        <w:t>Section 1 - Executive summary and hygiene gate</w:t>
      </w:r>
    </w:p>
    <w:p>
      <w:r>
        <w:rPr>
          <w:rFonts w:ascii="Calibri" w:hAnsi="Calibri"/>
          <w:color w:val="000000"/>
        </w:rPr>
        <w:t>Monedo is an RBI-registered non-deposit NBFC that got its digital lending licence in October 2018. The Indian entity traces back to Monedo GmbH, the German fintech formerly known as Kreditech, and was taken over by the present promoter Mr. Ashish Kohli (the original share transfer from Monedo GmbH to Mr. Kohli was in October 2020). It started in consumer-durable lending and has since moved its book almost entirely into supply-chain financing for anchor-linked dealers, with small healthcare-reimbursement and SME tails.</w:t>
      </w:r>
    </w:p>
    <w:p>
      <w:r>
        <w:rPr>
          <w:rFonts w:ascii="Calibri" w:hAnsi="Calibri"/>
          <w:color w:val="000000"/>
        </w:rPr>
        <w:t>The headline read is a business that has turned the corner. It broke even in February 2024, posted a profit before tax of ₹13.26 Cr in FY25 and ₹18.34 Cr in FY26 (company model, FY26 actuals to March 2026), and carries an external rating of IND BBB-/Stable from India Ratings, assigned October 2025 on ₹100 Cr of bank facilities. Asset quality is clean, the promoter holds about 91% and has been putting his own equity in, and the book is short and self-liquidating. The two things that dominate the diligence are borrower concentration and the shape of the funding stack.</w:t>
      </w:r>
    </w:p>
    <w:p>
      <w:r>
        <w:rPr>
          <w:rFonts w:ascii="Calibri" w:hAnsi="Calibri"/>
          <w:color w:val="000000"/>
        </w:rPr>
        <w:t>We run the five-point NBFC hygiene gate first. All five are satisfied.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Calibri" w:hAnsi="Calibri"/>
                <w:b/>
                <w:color w:val="000000"/>
                <w:sz w:val="20"/>
              </w:rPr>
              <w:t>#</w:t>
            </w:r>
          </w:p>
        </w:tc>
        <w:tc>
          <w:tcPr>
            <w:tcW w:type="dxa" w:w="1728"/>
          </w:tcPr>
          <w:p>
            <w:r>
              <w:rPr>
                <w:rFonts w:ascii="Calibri" w:hAnsi="Calibri"/>
                <w:b/>
                <w:color w:val="000000"/>
                <w:sz w:val="20"/>
              </w:rPr>
              <w:t>Condition</w:t>
            </w:r>
          </w:p>
        </w:tc>
        <w:tc>
          <w:tcPr>
            <w:tcW w:type="dxa" w:w="1728"/>
          </w:tcPr>
          <w:p>
            <w:r>
              <w:rPr>
                <w:rFonts w:ascii="Calibri" w:hAnsi="Calibri"/>
                <w:b/>
                <w:color w:val="000000"/>
                <w:sz w:val="20"/>
              </w:rPr>
              <w:t>Base</w:t>
            </w:r>
          </w:p>
        </w:tc>
        <w:tc>
          <w:tcPr>
            <w:tcW w:type="dxa" w:w="1728"/>
          </w:tcPr>
          <w:p>
            <w:r>
              <w:rPr>
                <w:rFonts w:ascii="Calibri" w:hAnsi="Calibri"/>
                <w:b/>
                <w:color w:val="000000"/>
                <w:sz w:val="20"/>
              </w:rPr>
              <w:t>Monedo (FY26 / latest)</w:t>
            </w:r>
          </w:p>
        </w:tc>
        <w:tc>
          <w:tcPr>
            <w:tcW w:type="dxa" w:w="1728"/>
          </w:tcPr>
          <w:p>
            <w:r>
              <w:rPr>
                <w:rFonts w:ascii="Calibri" w:hAnsi="Calibri"/>
                <w:b/>
                <w:color w:val="000000"/>
                <w:sz w:val="20"/>
              </w:rPr>
              <w:t>Satisfied</w:t>
            </w:r>
          </w:p>
        </w:tc>
      </w:tr>
      <w:tr>
        <w:tc>
          <w:tcPr>
            <w:tcW w:type="dxa" w:w="1728"/>
          </w:tcPr>
          <w:p>
            <w:r>
              <w:rPr>
                <w:rFonts w:ascii="Calibri" w:hAnsi="Calibri"/>
                <w:color w:val="000000"/>
                <w:sz w:val="20"/>
              </w:rPr>
              <w:t>1</w:t>
            </w:r>
          </w:p>
        </w:tc>
        <w:tc>
          <w:tcPr>
            <w:tcW w:type="dxa" w:w="1728"/>
          </w:tcPr>
          <w:p>
            <w:r>
              <w:rPr>
                <w:rFonts w:ascii="Calibri" w:hAnsi="Calibri"/>
                <w:color w:val="000000"/>
                <w:sz w:val="20"/>
              </w:rPr>
              <w:t>Operating history (commercial)</w:t>
            </w:r>
          </w:p>
        </w:tc>
        <w:tc>
          <w:tcPr>
            <w:tcW w:type="dxa" w:w="1728"/>
          </w:tcPr>
          <w:p>
            <w:r>
              <w:rPr>
                <w:rFonts w:ascii="Calibri" w:hAnsi="Calibri"/>
                <w:color w:val="000000"/>
                <w:sz w:val="20"/>
              </w:rPr>
              <w:t>over 2 years</w:t>
            </w:r>
          </w:p>
        </w:tc>
        <w:tc>
          <w:tcPr>
            <w:tcW w:type="dxa" w:w="1728"/>
          </w:tcPr>
          <w:p>
            <w:r>
              <w:rPr>
                <w:rFonts w:ascii="Calibri" w:hAnsi="Calibri"/>
                <w:color w:val="000000"/>
                <w:sz w:val="20"/>
              </w:rPr>
              <w:t>licensed Oct 2018, about 7 years</w:t>
            </w:r>
          </w:p>
        </w:tc>
        <w:tc>
          <w:tcPr>
            <w:tcW w:type="dxa" w:w="1728"/>
          </w:tcPr>
          <w:p>
            <w:r>
              <w:rPr>
                <w:rFonts w:ascii="Calibri" w:hAnsi="Calibri"/>
                <w:color w:val="000000"/>
                <w:sz w:val="20"/>
              </w:rPr>
              <w:t>Yes</w:t>
            </w:r>
          </w:p>
        </w:tc>
      </w:tr>
      <w:tr>
        <w:tc>
          <w:tcPr>
            <w:tcW w:type="dxa" w:w="1728"/>
          </w:tcPr>
          <w:p>
            <w:r>
              <w:rPr>
                <w:rFonts w:ascii="Calibri" w:hAnsi="Calibri"/>
                <w:color w:val="000000"/>
                <w:sz w:val="20"/>
              </w:rPr>
              <w:t>2</w:t>
            </w:r>
          </w:p>
        </w:tc>
        <w:tc>
          <w:tcPr>
            <w:tcW w:type="dxa" w:w="1728"/>
          </w:tcPr>
          <w:p>
            <w:r>
              <w:rPr>
                <w:rFonts w:ascii="Calibri" w:hAnsi="Calibri"/>
                <w:color w:val="000000"/>
                <w:sz w:val="20"/>
              </w:rPr>
              <w:t>Annualised revenue</w:t>
            </w:r>
          </w:p>
        </w:tc>
        <w:tc>
          <w:tcPr>
            <w:tcW w:type="dxa" w:w="1728"/>
          </w:tcPr>
          <w:p>
            <w:r>
              <w:rPr>
                <w:rFonts w:ascii="Calibri" w:hAnsi="Calibri"/>
                <w:color w:val="000000"/>
                <w:sz w:val="20"/>
              </w:rPr>
              <w:t>over ₹15 Cr</w:t>
            </w:r>
          </w:p>
        </w:tc>
        <w:tc>
          <w:tcPr>
            <w:tcW w:type="dxa" w:w="1728"/>
          </w:tcPr>
          <w:p>
            <w:r>
              <w:rPr>
                <w:rFonts w:ascii="Calibri" w:hAnsi="Calibri"/>
                <w:color w:val="000000"/>
                <w:sz w:val="20"/>
              </w:rPr>
              <w:t>₹108.3 Cr revenue from operations FY26</w:t>
            </w:r>
          </w:p>
        </w:tc>
        <w:tc>
          <w:tcPr>
            <w:tcW w:type="dxa" w:w="1728"/>
          </w:tcPr>
          <w:p>
            <w:r>
              <w:rPr>
                <w:rFonts w:ascii="Calibri" w:hAnsi="Calibri"/>
                <w:color w:val="000000"/>
                <w:sz w:val="20"/>
              </w:rPr>
              <w:t>Yes</w:t>
            </w:r>
          </w:p>
        </w:tc>
      </w:tr>
      <w:tr>
        <w:tc>
          <w:tcPr>
            <w:tcW w:type="dxa" w:w="1728"/>
          </w:tcPr>
          <w:p>
            <w:r>
              <w:rPr>
                <w:rFonts w:ascii="Calibri" w:hAnsi="Calibri"/>
                <w:color w:val="000000"/>
                <w:sz w:val="20"/>
              </w:rPr>
              <w:t>3</w:t>
            </w:r>
          </w:p>
        </w:tc>
        <w:tc>
          <w:tcPr>
            <w:tcW w:type="dxa" w:w="1728"/>
          </w:tcPr>
          <w:p>
            <w:r>
              <w:rPr>
                <w:rFonts w:ascii="Calibri" w:hAnsi="Calibri"/>
                <w:color w:val="000000"/>
                <w:sz w:val="20"/>
              </w:rPr>
              <w:t>Tier-1 / CRAR</w:t>
            </w:r>
          </w:p>
        </w:tc>
        <w:tc>
          <w:tcPr>
            <w:tcW w:type="dxa" w:w="1728"/>
          </w:tcPr>
          <w:p>
            <w:r>
              <w:rPr>
                <w:rFonts w:ascii="Calibri" w:hAnsi="Calibri"/>
                <w:color w:val="000000"/>
                <w:sz w:val="20"/>
              </w:rPr>
              <w:t>over 15%</w:t>
            </w:r>
          </w:p>
        </w:tc>
        <w:tc>
          <w:tcPr>
            <w:tcW w:type="dxa" w:w="1728"/>
          </w:tcPr>
          <w:p>
            <w:r>
              <w:rPr>
                <w:rFonts w:ascii="Calibri" w:hAnsi="Calibri"/>
                <w:color w:val="000000"/>
                <w:sz w:val="20"/>
              </w:rPr>
              <w:t>CRAR about 21% (FY26), 27% (FY25)</w:t>
            </w:r>
          </w:p>
        </w:tc>
        <w:tc>
          <w:tcPr>
            <w:tcW w:type="dxa" w:w="1728"/>
          </w:tcPr>
          <w:p>
            <w:r>
              <w:rPr>
                <w:rFonts w:ascii="Calibri" w:hAnsi="Calibri"/>
                <w:color w:val="000000"/>
                <w:sz w:val="20"/>
              </w:rPr>
              <w:t>Yes</w:t>
            </w:r>
          </w:p>
        </w:tc>
      </w:tr>
      <w:tr>
        <w:tc>
          <w:tcPr>
            <w:tcW w:type="dxa" w:w="1728"/>
          </w:tcPr>
          <w:p>
            <w:r>
              <w:rPr>
                <w:rFonts w:ascii="Calibri" w:hAnsi="Calibri"/>
                <w:color w:val="000000"/>
                <w:sz w:val="20"/>
              </w:rPr>
              <w:t>4</w:t>
            </w:r>
          </w:p>
        </w:tc>
        <w:tc>
          <w:tcPr>
            <w:tcW w:type="dxa" w:w="1728"/>
          </w:tcPr>
          <w:p>
            <w:r>
              <w:rPr>
                <w:rFonts w:ascii="Calibri" w:hAnsi="Calibri"/>
                <w:color w:val="000000"/>
                <w:sz w:val="20"/>
              </w:rPr>
              <w:t>Founder experience</w:t>
            </w:r>
          </w:p>
        </w:tc>
        <w:tc>
          <w:tcPr>
            <w:tcW w:type="dxa" w:w="1728"/>
          </w:tcPr>
          <w:p>
            <w:r>
              <w:rPr>
                <w:rFonts w:ascii="Calibri" w:hAnsi="Calibri"/>
                <w:color w:val="000000"/>
                <w:sz w:val="20"/>
              </w:rPr>
              <w:t>over 4 years</w:t>
            </w:r>
          </w:p>
        </w:tc>
        <w:tc>
          <w:tcPr>
            <w:tcW w:type="dxa" w:w="1728"/>
          </w:tcPr>
          <w:p>
            <w:r>
              <w:rPr>
                <w:rFonts w:ascii="Calibri" w:hAnsi="Calibri"/>
                <w:color w:val="000000"/>
                <w:sz w:val="20"/>
              </w:rPr>
              <w:t>Mr. Ashish Kohli, long fintech and lending background (Monedo / Kreditech), to be CV-verified in DD</w:t>
            </w:r>
          </w:p>
        </w:tc>
        <w:tc>
          <w:tcPr>
            <w:tcW w:type="dxa" w:w="1728"/>
          </w:tcPr>
          <w:p>
            <w:r>
              <w:rPr>
                <w:rFonts w:ascii="Calibri" w:hAnsi="Calibri"/>
                <w:color w:val="000000"/>
                <w:sz w:val="20"/>
              </w:rPr>
              <w:t>Yes</w:t>
            </w:r>
          </w:p>
        </w:tc>
      </w:tr>
      <w:tr>
        <w:tc>
          <w:tcPr>
            <w:tcW w:type="dxa" w:w="1728"/>
          </w:tcPr>
          <w:p>
            <w:r>
              <w:rPr>
                <w:rFonts w:ascii="Calibri" w:hAnsi="Calibri"/>
                <w:color w:val="000000"/>
                <w:sz w:val="20"/>
              </w:rPr>
              <w:t>5</w:t>
            </w:r>
          </w:p>
        </w:tc>
        <w:tc>
          <w:tcPr>
            <w:tcW w:type="dxa" w:w="1728"/>
          </w:tcPr>
          <w:p>
            <w:r>
              <w:rPr>
                <w:rFonts w:ascii="Calibri" w:hAnsi="Calibri"/>
                <w:color w:val="000000"/>
                <w:sz w:val="20"/>
              </w:rPr>
              <w:t>Profitable and cash runway</w:t>
            </w:r>
          </w:p>
        </w:tc>
        <w:tc>
          <w:tcPr>
            <w:tcW w:type="dxa" w:w="1728"/>
          </w:tcPr>
          <w:p>
            <w:r>
              <w:rPr>
                <w:rFonts w:ascii="Calibri" w:hAnsi="Calibri"/>
                <w:color w:val="000000"/>
                <w:sz w:val="20"/>
              </w:rPr>
              <w:t>Yes</w:t>
            </w:r>
          </w:p>
        </w:tc>
        <w:tc>
          <w:tcPr>
            <w:tcW w:type="dxa" w:w="1728"/>
          </w:tcPr>
          <w:p>
            <w:r>
              <w:rPr>
                <w:rFonts w:ascii="Calibri" w:hAnsi="Calibri"/>
                <w:color w:val="000000"/>
                <w:sz w:val="20"/>
              </w:rPr>
              <w:t>PAT ₹21.84 Cr FY25, ₹16.26 Cr FY26</w:t>
            </w:r>
          </w:p>
        </w:tc>
        <w:tc>
          <w:tcPr>
            <w:tcW w:type="dxa" w:w="1728"/>
          </w:tcPr>
          <w:p>
            <w:r>
              <w:rPr>
                <w:rFonts w:ascii="Calibri" w:hAnsi="Calibri"/>
                <w:color w:val="000000"/>
                <w:sz w:val="20"/>
              </w:rPr>
              <w:t>Yes</w:t>
            </w:r>
          </w:p>
        </w:tc>
      </w:tr>
    </w:tbl>
    <w:p/>
    <w:p>
      <w:r>
        <w:rPr>
          <w:rFonts w:ascii="Calibri" w:hAnsi="Calibri"/>
          <w:color w:val="000000"/>
        </w:rPr>
        <w:t>Total satisfied: 5 of 5. No deep-tech, no government-revenue and no negative-spread concern arises (this is a privately-funded SME and supply-chain lender earning a positive net interest margin). The deal clears the gate cleanly. The real risk weighing is done in the sections that follow.</w:t>
      </w:r>
    </w:p>
    <w:p>
      <w:pPr>
        <w:pBdr>
          <w:bottom w:val="single" w:sz="6" w:space="1" w:color="000000"/>
        </w:pBdr>
      </w:pPr>
    </w:p>
    <w:p>
      <w:pPr>
        <w:pStyle w:val="Heading2"/>
      </w:pPr>
      <w:r>
        <w:rPr>
          <w:rFonts w:ascii="Calibri" w:hAnsi="Calibri"/>
          <w:b/>
          <w:color w:val="000000"/>
          <w:sz w:val="24"/>
        </w:rPr>
        <w:t>Section 2 - Initial screening criteria</w:t>
      </w:r>
    </w:p>
    <w:p>
      <w:r>
        <w:rPr>
          <w:rFonts w:ascii="Calibri" w:hAnsi="Calibri"/>
          <w:color w:val="000000"/>
        </w:rPr>
        <w:t>Six criteria, re-pointed at NBFC metrics. We need at least four. Monedo meets five, with leverage the borderline.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Calibri" w:hAnsi="Calibri"/>
                <w:b/>
                <w:color w:val="000000"/>
                <w:sz w:val="20"/>
              </w:rPr>
              <w:t>#</w:t>
            </w:r>
          </w:p>
        </w:tc>
        <w:tc>
          <w:tcPr>
            <w:tcW w:type="dxa" w:w="2160"/>
          </w:tcPr>
          <w:p>
            <w:r>
              <w:rPr>
                <w:rFonts w:ascii="Calibri" w:hAnsi="Calibri"/>
                <w:b/>
                <w:color w:val="000000"/>
                <w:sz w:val="20"/>
              </w:rPr>
              <w:t>Criterion</w:t>
            </w:r>
          </w:p>
        </w:tc>
        <w:tc>
          <w:tcPr>
            <w:tcW w:type="dxa" w:w="2160"/>
          </w:tcPr>
          <w:p>
            <w:r>
              <w:rPr>
                <w:rFonts w:ascii="Calibri" w:hAnsi="Calibri"/>
                <w:b/>
                <w:color w:val="000000"/>
                <w:sz w:val="20"/>
              </w:rPr>
              <w:t>Met?</w:t>
            </w:r>
          </w:p>
        </w:tc>
        <w:tc>
          <w:tcPr>
            <w:tcW w:type="dxa" w:w="2160"/>
          </w:tcPr>
          <w:p>
            <w:r>
              <w:rPr>
                <w:rFonts w:ascii="Calibri" w:hAnsi="Calibri"/>
                <w:b/>
                <w:color w:val="000000"/>
                <w:sz w:val="20"/>
              </w:rPr>
              <w:t>Basis</w:t>
            </w:r>
          </w:p>
        </w:tc>
      </w:tr>
      <w:tr>
        <w:tc>
          <w:tcPr>
            <w:tcW w:type="dxa" w:w="2160"/>
          </w:tcPr>
          <w:p>
            <w:r>
              <w:rPr>
                <w:rFonts w:ascii="Calibri" w:hAnsi="Calibri"/>
                <w:color w:val="000000"/>
                <w:sz w:val="20"/>
              </w:rPr>
              <w:t>1</w:t>
            </w:r>
          </w:p>
        </w:tc>
        <w:tc>
          <w:tcPr>
            <w:tcW w:type="dxa" w:w="2160"/>
          </w:tcPr>
          <w:p>
            <w:r>
              <w:rPr>
                <w:rFonts w:ascii="Calibri" w:hAnsi="Calibri"/>
                <w:color w:val="000000"/>
                <w:sz w:val="20"/>
              </w:rPr>
              <w:t>Profitable / positive ROA, last 2 yrs</w:t>
            </w:r>
          </w:p>
        </w:tc>
        <w:tc>
          <w:tcPr>
            <w:tcW w:type="dxa" w:w="2160"/>
          </w:tcPr>
          <w:p>
            <w:r>
              <w:rPr>
                <w:rFonts w:ascii="Calibri" w:hAnsi="Calibri"/>
                <w:color w:val="000000"/>
                <w:sz w:val="20"/>
              </w:rPr>
              <w:t>Met</w:t>
            </w:r>
          </w:p>
        </w:tc>
        <w:tc>
          <w:tcPr>
            <w:tcW w:type="dxa" w:w="2160"/>
          </w:tcPr>
          <w:p>
            <w:r>
              <w:rPr>
                <w:rFonts w:ascii="Calibri" w:hAnsi="Calibri"/>
                <w:color w:val="000000"/>
                <w:sz w:val="20"/>
              </w:rPr>
              <w:t>ROA 9% FY25, 3% FY26 (FY24 was a loss year). FY25 ROA is flattered by a one-off deferred-tax credit, see Section 6</w:t>
            </w:r>
          </w:p>
        </w:tc>
      </w:tr>
      <w:tr>
        <w:tc>
          <w:tcPr>
            <w:tcW w:type="dxa" w:w="2160"/>
          </w:tcPr>
          <w:p>
            <w:r>
              <w:rPr>
                <w:rFonts w:ascii="Calibri" w:hAnsi="Calibri"/>
                <w:color w:val="000000"/>
                <w:sz w:val="20"/>
              </w:rPr>
              <w:t>2</w:t>
            </w:r>
          </w:p>
        </w:tc>
        <w:tc>
          <w:tcPr>
            <w:tcW w:type="dxa" w:w="2160"/>
          </w:tcPr>
          <w:p>
            <w:r>
              <w:rPr>
                <w:rFonts w:ascii="Calibri" w:hAnsi="Calibri"/>
                <w:color w:val="000000"/>
                <w:sz w:val="20"/>
              </w:rPr>
              <w:t>CRAR at or above RBI minimum (15%)</w:t>
            </w:r>
          </w:p>
        </w:tc>
        <w:tc>
          <w:tcPr>
            <w:tcW w:type="dxa" w:w="2160"/>
          </w:tcPr>
          <w:p>
            <w:r>
              <w:rPr>
                <w:rFonts w:ascii="Calibri" w:hAnsi="Calibri"/>
                <w:color w:val="000000"/>
                <w:sz w:val="20"/>
              </w:rPr>
              <w:t>Met</w:t>
            </w:r>
          </w:p>
        </w:tc>
        <w:tc>
          <w:tcPr>
            <w:tcW w:type="dxa" w:w="2160"/>
          </w:tcPr>
          <w:p>
            <w:r>
              <w:rPr>
                <w:rFonts w:ascii="Calibri" w:hAnsi="Calibri"/>
                <w:color w:val="000000"/>
                <w:sz w:val="20"/>
              </w:rPr>
              <w:t>21% (FY26), comfortably above the 15% floor</w:t>
            </w:r>
          </w:p>
        </w:tc>
      </w:tr>
      <w:tr>
        <w:tc>
          <w:tcPr>
            <w:tcW w:type="dxa" w:w="2160"/>
          </w:tcPr>
          <w:p>
            <w:r>
              <w:rPr>
                <w:rFonts w:ascii="Calibri" w:hAnsi="Calibri"/>
                <w:color w:val="000000"/>
                <w:sz w:val="20"/>
              </w:rPr>
              <w:t>3</w:t>
            </w:r>
          </w:p>
        </w:tc>
        <w:tc>
          <w:tcPr>
            <w:tcW w:type="dxa" w:w="2160"/>
          </w:tcPr>
          <w:p>
            <w:r>
              <w:rPr>
                <w:rFonts w:ascii="Calibri" w:hAnsi="Calibri"/>
                <w:color w:val="000000"/>
                <w:sz w:val="20"/>
              </w:rPr>
              <w:t>Leverage within a 3.0x covenant</w:t>
            </w:r>
          </w:p>
        </w:tc>
        <w:tc>
          <w:tcPr>
            <w:tcW w:type="dxa" w:w="2160"/>
          </w:tcPr>
          <w:p>
            <w:r>
              <w:rPr>
                <w:rFonts w:ascii="Calibri" w:hAnsi="Calibri"/>
                <w:color w:val="000000"/>
                <w:sz w:val="20"/>
              </w:rPr>
              <w:t>Borderline</w:t>
            </w:r>
          </w:p>
        </w:tc>
        <w:tc>
          <w:tcPr>
            <w:tcW w:type="dxa" w:w="2160"/>
          </w:tcPr>
          <w:p>
            <w:r>
              <w:rPr>
                <w:rFonts w:ascii="Calibri" w:hAnsi="Calibri"/>
                <w:color w:val="000000"/>
                <w:sz w:val="20"/>
              </w:rPr>
              <w:t>Debt / net worth 3.22x reported (FY26). Adjusted for convertible notes treated as quasi-equity it falls to about 1.41x. Flagged</w:t>
            </w:r>
          </w:p>
        </w:tc>
      </w:tr>
      <w:tr>
        <w:tc>
          <w:tcPr>
            <w:tcW w:type="dxa" w:w="2160"/>
          </w:tcPr>
          <w:p>
            <w:r>
              <w:rPr>
                <w:rFonts w:ascii="Calibri" w:hAnsi="Calibri"/>
                <w:color w:val="000000"/>
                <w:sz w:val="20"/>
              </w:rPr>
              <w:t>4</w:t>
            </w:r>
          </w:p>
        </w:tc>
        <w:tc>
          <w:tcPr>
            <w:tcW w:type="dxa" w:w="2160"/>
          </w:tcPr>
          <w:p>
            <w:r>
              <w:rPr>
                <w:rFonts w:ascii="Calibri" w:hAnsi="Calibri"/>
                <w:color w:val="000000"/>
                <w:sz w:val="20"/>
              </w:rPr>
              <w:t>Asset quality stable or improving</w:t>
            </w:r>
          </w:p>
        </w:tc>
        <w:tc>
          <w:tcPr>
            <w:tcW w:type="dxa" w:w="2160"/>
          </w:tcPr>
          <w:p>
            <w:r>
              <w:rPr>
                <w:rFonts w:ascii="Calibri" w:hAnsi="Calibri"/>
                <w:color w:val="000000"/>
                <w:sz w:val="20"/>
              </w:rPr>
              <w:t>Met</w:t>
            </w:r>
          </w:p>
        </w:tc>
        <w:tc>
          <w:tcPr>
            <w:tcW w:type="dxa" w:w="2160"/>
          </w:tcPr>
          <w:p>
            <w:r>
              <w:rPr>
                <w:rFonts w:ascii="Calibri" w:hAnsi="Calibri"/>
                <w:color w:val="000000"/>
                <w:sz w:val="20"/>
              </w:rPr>
              <w:t>Portfolio is about 100% current, PAR effectively nil through Mar 2026 (Annexure 4)</w:t>
            </w:r>
          </w:p>
        </w:tc>
      </w:tr>
      <w:tr>
        <w:tc>
          <w:tcPr>
            <w:tcW w:type="dxa" w:w="2160"/>
          </w:tcPr>
          <w:p>
            <w:r>
              <w:rPr>
                <w:rFonts w:ascii="Calibri" w:hAnsi="Calibri"/>
                <w:color w:val="000000"/>
                <w:sz w:val="20"/>
              </w:rPr>
              <w:t>5</w:t>
            </w:r>
          </w:p>
        </w:tc>
        <w:tc>
          <w:tcPr>
            <w:tcW w:type="dxa" w:w="2160"/>
          </w:tcPr>
          <w:p>
            <w:r>
              <w:rPr>
                <w:rFonts w:ascii="Calibri" w:hAnsi="Calibri"/>
                <w:color w:val="000000"/>
                <w:sz w:val="20"/>
              </w:rPr>
              <w:t>No negative cumulative ALM mismatch</w:t>
            </w:r>
          </w:p>
        </w:tc>
        <w:tc>
          <w:tcPr>
            <w:tcW w:type="dxa" w:w="2160"/>
          </w:tcPr>
          <w:p>
            <w:r>
              <w:rPr>
                <w:rFonts w:ascii="Calibri" w:hAnsi="Calibri"/>
                <w:color w:val="000000"/>
                <w:sz w:val="20"/>
              </w:rPr>
              <w:t>Not verified</w:t>
            </w:r>
          </w:p>
        </w:tc>
        <w:tc>
          <w:tcPr>
            <w:tcW w:type="dxa" w:w="2160"/>
          </w:tcPr>
          <w:p>
            <w:r>
              <w:rPr>
                <w:rFonts w:ascii="Calibri" w:hAnsi="Calibri"/>
                <w:color w:val="000000"/>
                <w:sz w:val="20"/>
              </w:rPr>
              <w:t>DNBS-4B structural-liquidity return is filed (Dec 2025). A full bucketed ALM was not shared at screening. To be built in DD</w:t>
            </w:r>
          </w:p>
        </w:tc>
      </w:tr>
      <w:tr>
        <w:tc>
          <w:tcPr>
            <w:tcW w:type="dxa" w:w="2160"/>
          </w:tcPr>
          <w:p>
            <w:r>
              <w:rPr>
                <w:rFonts w:ascii="Calibri" w:hAnsi="Calibri"/>
                <w:color w:val="000000"/>
                <w:sz w:val="20"/>
              </w:rPr>
              <w:t>6</w:t>
            </w:r>
          </w:p>
        </w:tc>
        <w:tc>
          <w:tcPr>
            <w:tcW w:type="dxa" w:w="2160"/>
          </w:tcPr>
          <w:p>
            <w:r>
              <w:rPr>
                <w:rFonts w:ascii="Calibri" w:hAnsi="Calibri"/>
                <w:color w:val="000000"/>
                <w:sz w:val="20"/>
              </w:rPr>
              <w:t>Provisioning applied per policy</w:t>
            </w:r>
          </w:p>
        </w:tc>
        <w:tc>
          <w:tcPr>
            <w:tcW w:type="dxa" w:w="2160"/>
          </w:tcPr>
          <w:p>
            <w:r>
              <w:rPr>
                <w:rFonts w:ascii="Calibri" w:hAnsi="Calibri"/>
                <w:color w:val="000000"/>
                <w:sz w:val="20"/>
              </w:rPr>
              <w:t>Met</w:t>
            </w:r>
          </w:p>
        </w:tc>
        <w:tc>
          <w:tcPr>
            <w:tcW w:type="dxa" w:w="2160"/>
          </w:tcPr>
          <w:p>
            <w:r>
              <w:rPr>
                <w:rFonts w:ascii="Calibri" w:hAnsi="Calibri"/>
                <w:color w:val="000000"/>
                <w:sz w:val="20"/>
              </w:rPr>
              <w:t>Provisions carried each year, NPA / provision ratio about nil to 1%, consistent with the clean book</w:t>
            </w:r>
          </w:p>
        </w:tc>
      </w:tr>
    </w:tbl>
    <w:p/>
    <w:p>
      <w:r>
        <w:rPr>
          <w:rFonts w:ascii="Calibri" w:hAnsi="Calibri"/>
          <w:color w:val="000000"/>
        </w:rPr>
        <w:t>Outcome: 5 of 6 met, 1 not verified at screening, leverage borderline. Pass. We continue below and surface the leverage and ALM items in our recommendation.</w:t>
      </w:r>
    </w:p>
    <w:p>
      <w:pPr>
        <w:pBdr>
          <w:bottom w:val="single" w:sz="6" w:space="1" w:color="000000"/>
        </w:pBdr>
      </w:pPr>
    </w:p>
    <w:p>
      <w:pPr>
        <w:pStyle w:val="Heading2"/>
      </w:pPr>
      <w:r>
        <w:rPr>
          <w:rFonts w:ascii="Calibri" w:hAnsi="Calibri"/>
          <w:b/>
          <w:color w:val="000000"/>
          <w:sz w:val="24"/>
        </w:rPr>
        <w:t>Section 3 - Company, product and milestones</w:t>
      </w:r>
    </w:p>
    <w:p>
      <w:r>
        <w:rPr>
          <w:rFonts w:ascii="Calibri" w:hAnsi="Calibri"/>
          <w:color w:val="000000"/>
        </w:rPr>
        <w:t>What Monedo does. It lends to small businesses, mostly through a supply-chain financing product where dealers and distributors in an anchor's network borrow short-tenure working capital that is repaid as their receivables turn. On top of that sit a healthcare-financing product (reimbursing hospital expenses) that is now small and shrinking, an SME working-capital tail, and minor travel and vocational-education financing. Disbursement and payout are digital, with proprietary scoring, and the company reports a presence across 32 states and union territories.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Calibri" w:hAnsi="Calibri"/>
                <w:b/>
                <w:color w:val="000000"/>
                <w:sz w:val="20"/>
              </w:rPr>
              <w:t>Vertical</w:t>
            </w:r>
          </w:p>
        </w:tc>
        <w:tc>
          <w:tcPr>
            <w:tcW w:type="dxa" w:w="2880"/>
          </w:tcPr>
          <w:p>
            <w:r>
              <w:rPr>
                <w:rFonts w:ascii="Calibri" w:hAnsi="Calibri"/>
                <w:b/>
                <w:color w:val="000000"/>
                <w:sz w:val="20"/>
              </w:rPr>
              <w:t>What it is</w:t>
            </w:r>
          </w:p>
        </w:tc>
        <w:tc>
          <w:tcPr>
            <w:tcW w:type="dxa" w:w="2880"/>
          </w:tcPr>
          <w:p>
            <w:r>
              <w:rPr>
                <w:rFonts w:ascii="Calibri" w:hAnsi="Calibri"/>
                <w:b/>
                <w:color w:val="000000"/>
                <w:sz w:val="20"/>
              </w:rPr>
              <w:t>Share of own-book AUM, Mar 2026</w:t>
            </w:r>
          </w:p>
        </w:tc>
      </w:tr>
      <w:tr>
        <w:tc>
          <w:tcPr>
            <w:tcW w:type="dxa" w:w="2880"/>
          </w:tcPr>
          <w:p>
            <w:r>
              <w:rPr>
                <w:rFonts w:ascii="Calibri" w:hAnsi="Calibri"/>
                <w:color w:val="000000"/>
                <w:sz w:val="20"/>
              </w:rPr>
              <w:t>Supply chain (term loan + invoice financing)</w:t>
            </w:r>
          </w:p>
        </w:tc>
        <w:tc>
          <w:tcPr>
            <w:tcW w:type="dxa" w:w="2880"/>
          </w:tcPr>
          <w:p>
            <w:r>
              <w:rPr>
                <w:rFonts w:ascii="Calibri" w:hAnsi="Calibri"/>
                <w:color w:val="000000"/>
                <w:sz w:val="20"/>
              </w:rPr>
              <w:t>Short working-capital finance to anchor-linked dealers</w:t>
            </w:r>
          </w:p>
        </w:tc>
        <w:tc>
          <w:tcPr>
            <w:tcW w:type="dxa" w:w="2880"/>
          </w:tcPr>
          <w:p>
            <w:r>
              <w:rPr>
                <w:rFonts w:ascii="Calibri" w:hAnsi="Calibri"/>
                <w:color w:val="000000"/>
                <w:sz w:val="20"/>
              </w:rPr>
              <w:t>about 93%</w:t>
            </w:r>
          </w:p>
        </w:tc>
      </w:tr>
      <w:tr>
        <w:tc>
          <w:tcPr>
            <w:tcW w:type="dxa" w:w="2880"/>
          </w:tcPr>
          <w:p>
            <w:r>
              <w:rPr>
                <w:rFonts w:ascii="Calibri" w:hAnsi="Calibri"/>
                <w:color w:val="000000"/>
                <w:sz w:val="20"/>
              </w:rPr>
              <w:t>Healthcare financing</w:t>
            </w:r>
          </w:p>
        </w:tc>
        <w:tc>
          <w:tcPr>
            <w:tcW w:type="dxa" w:w="2880"/>
          </w:tcPr>
          <w:p>
            <w:r>
              <w:rPr>
                <w:rFonts w:ascii="Calibri" w:hAnsi="Calibri"/>
                <w:color w:val="000000"/>
                <w:sz w:val="20"/>
              </w:rPr>
              <w:t>Reimbursement of hospital expenses</w:t>
            </w:r>
          </w:p>
        </w:tc>
        <w:tc>
          <w:tcPr>
            <w:tcW w:type="dxa" w:w="2880"/>
          </w:tcPr>
          <w:p>
            <w:r>
              <w:rPr>
                <w:rFonts w:ascii="Calibri" w:hAnsi="Calibri"/>
                <w:color w:val="000000"/>
                <w:sz w:val="20"/>
              </w:rPr>
              <w:t>small, declining</w:t>
            </w:r>
          </w:p>
        </w:tc>
      </w:tr>
      <w:tr>
        <w:tc>
          <w:tcPr>
            <w:tcW w:type="dxa" w:w="2880"/>
          </w:tcPr>
          <w:p>
            <w:r>
              <w:rPr>
                <w:rFonts w:ascii="Calibri" w:hAnsi="Calibri"/>
                <w:color w:val="000000"/>
                <w:sz w:val="20"/>
              </w:rPr>
              <w:t>SME loan</w:t>
            </w:r>
          </w:p>
        </w:tc>
        <w:tc>
          <w:tcPr>
            <w:tcW w:type="dxa" w:w="2880"/>
          </w:tcPr>
          <w:p>
            <w:r>
              <w:rPr>
                <w:rFonts w:ascii="Calibri" w:hAnsi="Calibri"/>
                <w:color w:val="000000"/>
                <w:sz w:val="20"/>
              </w:rPr>
              <w:t>Working-capital loans</w:t>
            </w:r>
          </w:p>
        </w:tc>
        <w:tc>
          <w:tcPr>
            <w:tcW w:type="dxa" w:w="2880"/>
          </w:tcPr>
          <w:p>
            <w:r>
              <w:rPr>
                <w:rFonts w:ascii="Calibri" w:hAnsi="Calibri"/>
                <w:color w:val="000000"/>
                <w:sz w:val="20"/>
              </w:rPr>
              <w:t>small</w:t>
            </w:r>
          </w:p>
        </w:tc>
      </w:tr>
      <w:tr>
        <w:tc>
          <w:tcPr>
            <w:tcW w:type="dxa" w:w="2880"/>
          </w:tcPr>
          <w:p>
            <w:r>
              <w:rPr>
                <w:rFonts w:ascii="Calibri" w:hAnsi="Calibri"/>
                <w:color w:val="000000"/>
                <w:sz w:val="20"/>
              </w:rPr>
              <w:t>Other (travel, vocational, legacy consumer)</w:t>
            </w:r>
          </w:p>
        </w:tc>
        <w:tc>
          <w:tcPr>
            <w:tcW w:type="dxa" w:w="2880"/>
          </w:tcPr>
          <w:p>
            <w:r>
              <w:rPr>
                <w:rFonts w:ascii="Calibri" w:hAnsi="Calibri"/>
                <w:color w:val="000000"/>
                <w:sz w:val="20"/>
              </w:rPr>
              <w:t>Minor</w:t>
            </w:r>
          </w:p>
        </w:tc>
        <w:tc>
          <w:tcPr>
            <w:tcW w:type="dxa" w:w="2880"/>
          </w:tcPr>
          <w:p>
            <w:r>
              <w:rPr>
                <w:rFonts w:ascii="Calibri" w:hAnsi="Calibri"/>
                <w:color w:val="000000"/>
                <w:sz w:val="20"/>
              </w:rPr>
              <w:t>minor</w:t>
            </w:r>
          </w:p>
        </w:tc>
      </w:tr>
    </w:tbl>
    <w:p/>
    <w:p>
      <w:r>
        <w:rPr>
          <w:rFonts w:ascii="Calibri" w:hAnsi="Calibri"/>
          <w:color w:val="000000"/>
        </w:rPr>
        <w:t>The trajectory is one of scale and consolidation at the same time. Disbursements went from ₹211.0 Cr in FY24 to ₹1,289.4 Cr in FY25 to ₹3,861.5 Cr in FY26 (company model). Own-book AUM grew from ₹75.6 Cr (Mar 2024) to ₹188.3 Cr (Mar 2025) to ₹407.9 Cr (Mar 2026), and total AUM including the new co-lending book is ₹434.0 Cr. Cumulative disbursement since inception is over ₹3,419 Cr. At the same time the number of active borrowers fell from 6,404 (FY24) to 2,093 (Mar 2026) and headcount from 100 to 44. The book is getting bigger and lumpier at once, as it moves from many small consumer and healthcare loans into fewer, larger supply-chain exposures. That shift is the backdrop to the concentration we flag in Section 7.</w:t>
      </w:r>
    </w:p>
    <w:p>
      <w:r>
        <w:rPr>
          <w:rFonts w:ascii="Calibri" w:hAnsi="Calibri"/>
          <w:color w:val="000000"/>
        </w:rPr>
        <w:t>Co-lending began in September 2025 with Kaleidofin Capital. The off-book AUM is ₹26.1 Cr, about 6% of the total. We cover the structure in Section 5.</w:t>
      </w:r>
    </w:p>
    <w:p>
      <w:pPr>
        <w:pBdr>
          <w:bottom w:val="single" w:sz="6" w:space="1" w:color="000000"/>
        </w:pBdr>
      </w:pPr>
    </w:p>
    <w:p>
      <w:pPr>
        <w:pStyle w:val="Heading2"/>
      </w:pPr>
      <w:r>
        <w:rPr>
          <w:rFonts w:ascii="Calibri" w:hAnsi="Calibri"/>
          <w:b/>
          <w:color w:val="000000"/>
          <w:sz w:val="24"/>
        </w:rPr>
        <w:t>Section 4 - Board, management and organisation</w:t>
      </w:r>
    </w:p>
    <w:p>
      <w:r>
        <w:rPr>
          <w:rFonts w:ascii="Calibri" w:hAnsi="Calibri"/>
          <w:color w:val="000000"/>
        </w:rPr>
        <w:t>The company is run by a founder-led team of about 44 people (down from 100 a year ago as operations moved to the wholesale model). The promoter is hands-on as CEO, with a treasury-experienced CFO and a dedicated chief risk officer, which is the right shape for a balance-sheet lender.</w:t>
      </w:r>
    </w:p>
    <w:tbl>
      <w:tblPr>
        <w:tblStyle w:val="TableGrid"/>
        <w:tblW w:type="auto" w:w="0"/>
        <w:tblLook w:firstColumn="1" w:firstRow="1" w:lastColumn="0" w:lastRow="0" w:noHBand="0" w:noVBand="1" w:val="04A0"/>
      </w:tblPr>
      <w:tblGrid>
        <w:gridCol w:w="4320"/>
        <w:gridCol w:w="4320"/>
      </w:tblGrid>
      <w:tr>
        <w:tc>
          <w:tcPr>
            <w:tcW w:type="dxa" w:w="4320"/>
          </w:tcPr>
          <w:p>
            <w:r>
              <w:rPr>
                <w:rFonts w:ascii="Calibri" w:hAnsi="Calibri"/>
                <w:b/>
                <w:color w:val="000000"/>
                <w:sz w:val="20"/>
              </w:rPr>
              <w:t>Name</w:t>
            </w:r>
          </w:p>
        </w:tc>
        <w:tc>
          <w:tcPr>
            <w:tcW w:type="dxa" w:w="4320"/>
          </w:tcPr>
          <w:p>
            <w:r>
              <w:rPr>
                <w:rFonts w:ascii="Calibri" w:hAnsi="Calibri"/>
                <w:b/>
                <w:color w:val="000000"/>
                <w:sz w:val="20"/>
              </w:rPr>
              <w:t>Role</w:t>
            </w:r>
          </w:p>
        </w:tc>
      </w:tr>
      <w:tr>
        <w:tc>
          <w:tcPr>
            <w:tcW w:type="dxa" w:w="4320"/>
          </w:tcPr>
          <w:p>
            <w:r>
              <w:rPr>
                <w:rFonts w:ascii="Calibri" w:hAnsi="Calibri"/>
                <w:color w:val="000000"/>
                <w:sz w:val="20"/>
              </w:rPr>
              <w:t>Ashish Kohli</w:t>
            </w:r>
          </w:p>
        </w:tc>
        <w:tc>
          <w:tcPr>
            <w:tcW w:type="dxa" w:w="4320"/>
          </w:tcPr>
          <w:p>
            <w:r>
              <w:rPr>
                <w:rFonts w:ascii="Calibri" w:hAnsi="Calibri"/>
                <w:color w:val="000000"/>
                <w:sz w:val="20"/>
              </w:rPr>
              <w:t>Founder and Chief Executive Officer</w:t>
            </w:r>
          </w:p>
        </w:tc>
      </w:tr>
      <w:tr>
        <w:tc>
          <w:tcPr>
            <w:tcW w:type="dxa" w:w="4320"/>
          </w:tcPr>
          <w:p>
            <w:r>
              <w:rPr>
                <w:rFonts w:ascii="Calibri" w:hAnsi="Calibri"/>
                <w:color w:val="000000"/>
                <w:sz w:val="20"/>
              </w:rPr>
              <w:t>Rakesh Ganti</w:t>
            </w:r>
          </w:p>
        </w:tc>
        <w:tc>
          <w:tcPr>
            <w:tcW w:type="dxa" w:w="4320"/>
          </w:tcPr>
          <w:p>
            <w:r>
              <w:rPr>
                <w:rFonts w:ascii="Calibri" w:hAnsi="Calibri"/>
                <w:color w:val="000000"/>
                <w:sz w:val="20"/>
              </w:rPr>
              <w:t>Chief Financial Officer and Head Treasury</w:t>
            </w:r>
          </w:p>
        </w:tc>
      </w:tr>
      <w:tr>
        <w:tc>
          <w:tcPr>
            <w:tcW w:type="dxa" w:w="4320"/>
          </w:tcPr>
          <w:p>
            <w:r>
              <w:rPr>
                <w:rFonts w:ascii="Calibri" w:hAnsi="Calibri"/>
                <w:color w:val="000000"/>
                <w:sz w:val="20"/>
              </w:rPr>
              <w:t>Karanjeet Gambhir</w:t>
            </w:r>
          </w:p>
        </w:tc>
        <w:tc>
          <w:tcPr>
            <w:tcW w:type="dxa" w:w="4320"/>
          </w:tcPr>
          <w:p>
            <w:r>
              <w:rPr>
                <w:rFonts w:ascii="Calibri" w:hAnsi="Calibri"/>
                <w:color w:val="000000"/>
                <w:sz w:val="20"/>
              </w:rPr>
              <w:t>Chief Risk Officer</w:t>
            </w:r>
          </w:p>
        </w:tc>
      </w:tr>
      <w:tr>
        <w:tc>
          <w:tcPr>
            <w:tcW w:type="dxa" w:w="4320"/>
          </w:tcPr>
          <w:p>
            <w:r>
              <w:rPr>
                <w:rFonts w:ascii="Calibri" w:hAnsi="Calibri"/>
                <w:color w:val="000000"/>
                <w:sz w:val="20"/>
              </w:rPr>
              <w:t>Vipin Poddar</w:t>
            </w:r>
          </w:p>
        </w:tc>
        <w:tc>
          <w:tcPr>
            <w:tcW w:type="dxa" w:w="4320"/>
          </w:tcPr>
          <w:p>
            <w:r>
              <w:rPr>
                <w:rFonts w:ascii="Calibri" w:hAnsi="Calibri"/>
                <w:color w:val="000000"/>
                <w:sz w:val="20"/>
              </w:rPr>
              <w:t>Chief Business Officer</w:t>
            </w:r>
          </w:p>
        </w:tc>
      </w:tr>
      <w:tr>
        <w:tc>
          <w:tcPr>
            <w:tcW w:type="dxa" w:w="4320"/>
          </w:tcPr>
          <w:p>
            <w:r>
              <w:rPr>
                <w:rFonts w:ascii="Calibri" w:hAnsi="Calibri"/>
                <w:color w:val="000000"/>
                <w:sz w:val="20"/>
              </w:rPr>
              <w:t>Ranjan Barua</w:t>
            </w:r>
          </w:p>
        </w:tc>
        <w:tc>
          <w:tcPr>
            <w:tcW w:type="dxa" w:w="4320"/>
          </w:tcPr>
          <w:p>
            <w:r>
              <w:rPr>
                <w:rFonts w:ascii="Calibri" w:hAnsi="Calibri"/>
                <w:color w:val="000000"/>
                <w:sz w:val="20"/>
              </w:rPr>
              <w:t>Chief Technology Officer</w:t>
            </w:r>
          </w:p>
        </w:tc>
      </w:tr>
      <w:tr>
        <w:tc>
          <w:tcPr>
            <w:tcW w:type="dxa" w:w="4320"/>
          </w:tcPr>
          <w:p>
            <w:r>
              <w:rPr>
                <w:rFonts w:ascii="Calibri" w:hAnsi="Calibri"/>
                <w:color w:val="000000"/>
                <w:sz w:val="20"/>
              </w:rPr>
              <w:t>Sumita Almeida</w:t>
            </w:r>
          </w:p>
        </w:tc>
        <w:tc>
          <w:tcPr>
            <w:tcW w:type="dxa" w:w="4320"/>
          </w:tcPr>
          <w:p>
            <w:r>
              <w:rPr>
                <w:rFonts w:ascii="Calibri" w:hAnsi="Calibri"/>
                <w:color w:val="000000"/>
                <w:sz w:val="20"/>
              </w:rPr>
              <w:t>Head, Human Resources</w:t>
            </w:r>
          </w:p>
        </w:tc>
      </w:tr>
      <w:tr>
        <w:tc>
          <w:tcPr>
            <w:tcW w:type="dxa" w:w="4320"/>
          </w:tcPr>
          <w:p>
            <w:r>
              <w:rPr>
                <w:rFonts w:ascii="Calibri" w:hAnsi="Calibri"/>
                <w:color w:val="000000"/>
                <w:sz w:val="20"/>
              </w:rPr>
              <w:t>Ashit Joshi</w:t>
            </w:r>
          </w:p>
        </w:tc>
        <w:tc>
          <w:tcPr>
            <w:tcW w:type="dxa" w:w="4320"/>
          </w:tcPr>
          <w:p>
            <w:r>
              <w:rPr>
                <w:rFonts w:ascii="Calibri" w:hAnsi="Calibri"/>
                <w:color w:val="000000"/>
                <w:sz w:val="20"/>
              </w:rPr>
              <w:t>Chief Information Security Officer</w:t>
            </w:r>
          </w:p>
        </w:tc>
      </w:tr>
    </w:tbl>
    <w:p/>
    <w:p>
      <w:r>
        <w:rPr>
          <w:rFonts w:ascii="Calibri" w:hAnsi="Calibri"/>
          <w:color w:val="000000"/>
        </w:rPr>
        <w:t>Our read: the senior team covers the functions a small NBFC needs, risk and treasury included. The dependence on a single promoter who is both the controlling shareholder (about 91%) and the CEO is a key-person concentration we want to size in diligence, including the depth below the CXO line given the headcount reduction. Director KYC for the executive directors (Ashish Kohli, Sumita Almeida, Vipin Poddar) is on file.</w:t>
      </w:r>
    </w:p>
    <w:p>
      <w:pPr>
        <w:pBdr>
          <w:bottom w:val="single" w:sz="6" w:space="1" w:color="000000"/>
        </w:pBdr>
      </w:pPr>
    </w:p>
    <w:p>
      <w:pPr>
        <w:pStyle w:val="Heading2"/>
      </w:pPr>
      <w:r>
        <w:rPr>
          <w:rFonts w:ascii="Calibri" w:hAnsi="Calibri"/>
          <w:b/>
          <w:color w:val="000000"/>
          <w:sz w:val="24"/>
        </w:rPr>
        <w:t>Section 5 - Shareholding, related parties and co-lending</w:t>
      </w:r>
    </w:p>
    <w:p>
      <w:r>
        <w:rPr>
          <w:rFonts w:ascii="Calibri" w:hAnsi="Calibri"/>
          <w:color w:val="000000"/>
        </w:rPr>
        <w:t>Ownership is highly concentrated in the promoter. On a fully diluted basis at 31 March 2026, Mr. Ashish Kohli holds about 91% (equity plus compulsorily convertible preference shares) and CCPS investors, including Nurture Ventures LLC, hold about 9%. The promoter has been funding equity himself, ₹12.93 Cr in August 2025 and ₹10 Cr in February 2026, which lifted net worth to ₹104.8 Cr by March 2026. That is real commitment, and it is also a single shoulder carrying the capital. A Series A round is being targeted for 2026, which we would want to see land.</w:t>
      </w:r>
    </w:p>
    <w:p>
      <w:r>
        <w:rPr>
          <w:rFonts w:ascii="Calibri" w:hAnsi="Calibri"/>
          <w:color w:val="000000"/>
        </w:rPr>
        <w:t>Related-party links need unpicking in diligence. The balance sheet carries an investment of ₹20.09 Cr in a subsidiary, Monedo Corporate Services Private Limited, and that same subsidiary lends ₹21 Cr back to the NBFC as an inter-corporate deposit at 7%, the cheapest money on the book. Money going out as equity and coming back as debt between connected entities is exactly the kind of circularity we will want to trace to source. There is also a related travel-fintech, Itraveleo Private Limited (Mihuru), to which commission is paid and which sits behind the travel-financing vertical. Promoter remuneration was ₹1.62 Cr and promoter loan interest ₹0.63 Cr in FY26.</w:t>
      </w:r>
    </w:p>
    <w:p>
      <w:r>
        <w:rPr>
          <w:rFonts w:ascii="Calibri" w:hAnsi="Calibri"/>
          <w:color w:val="000000"/>
        </w:rPr>
        <w:t>Co-lending with Kaleidofin Capital (effective 16 September 2025) is structured the standard way. Kaleidofin is the majority co-lender and Monedo is the servicer and provides a first loss default guarantee. Collections and disbursements run through an escrow, and the servicer pays 24% per annum on any late remittance. The off-book AUM is ₹26.1 Cr. The FLDG quantum and the exact funding split are to be confirmed in diligence, since the FLDG is a contingent liability that has to be read alongside the capital position.</w:t>
      </w:r>
    </w:p>
    <w:p>
      <w:pPr>
        <w:pBdr>
          <w:bottom w:val="single" w:sz="6" w:space="1" w:color="000000"/>
        </w:pBdr>
      </w:pPr>
    </w:p>
    <w:p>
      <w:pPr>
        <w:pStyle w:val="Heading2"/>
      </w:pPr>
      <w:r>
        <w:rPr>
          <w:rFonts w:ascii="Calibri" w:hAnsi="Calibri"/>
          <w:b/>
          <w:color w:val="000000"/>
          <w:sz w:val="24"/>
        </w:rPr>
        <w:t>Section 6 - Financial statements and ratios</w:t>
      </w:r>
    </w:p>
    <w:p>
      <w:r>
        <w:rPr>
          <w:rFonts w:ascii="Calibri" w:hAnsi="Calibri"/>
          <w:color w:val="000000"/>
        </w:rPr>
        <w:t>The turnaround is real but two adjustments matter for how strong it looks. First, FY25 PAT of ₹21.84 Cr is above FY25 PBT of ₹13.26 Cr because the company recognised a deferred-tax asset of ₹8.57 Cr on carried-forward losses, a one-off non-cash credit. On a clean basis FY26 PBT ₹18.34 Cr and PAT ₹16.26 Cr is the better guide to run-rate profitability. Second, finance cost is rising fast as the book is debt-funded, from ₹17.9 Cr (FY25) to ₹49.2 Cr (FY26), which is compressing the net interest margin even as the book grows.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Calibri" w:hAnsi="Calibri"/>
                <w:b/>
                <w:color w:val="000000"/>
                <w:sz w:val="20"/>
              </w:rPr>
              <w:t>P&amp;L (₹ Cr)</w:t>
            </w:r>
          </w:p>
        </w:tc>
        <w:tc>
          <w:tcPr>
            <w:tcW w:type="dxa" w:w="2160"/>
          </w:tcPr>
          <w:p>
            <w:r>
              <w:rPr>
                <w:rFonts w:ascii="Calibri" w:hAnsi="Calibri"/>
                <w:b/>
                <w:color w:val="000000"/>
                <w:sz w:val="20"/>
              </w:rPr>
              <w:t>FY24 (audited)</w:t>
            </w:r>
          </w:p>
        </w:tc>
        <w:tc>
          <w:tcPr>
            <w:tcW w:type="dxa" w:w="2160"/>
          </w:tcPr>
          <w:p>
            <w:r>
              <w:rPr>
                <w:rFonts w:ascii="Calibri" w:hAnsi="Calibri"/>
                <w:b/>
                <w:color w:val="000000"/>
                <w:sz w:val="20"/>
              </w:rPr>
              <w:t>FY25 (audited)</w:t>
            </w:r>
          </w:p>
        </w:tc>
        <w:tc>
          <w:tcPr>
            <w:tcW w:type="dxa" w:w="2160"/>
          </w:tcPr>
          <w:p>
            <w:r>
              <w:rPr>
                <w:rFonts w:ascii="Calibri" w:hAnsi="Calibri"/>
                <w:b/>
                <w:color w:val="000000"/>
                <w:sz w:val="20"/>
              </w:rPr>
              <w:t>FY26 (actuals to Mar)</w:t>
            </w:r>
          </w:p>
        </w:tc>
      </w:tr>
      <w:tr>
        <w:tc>
          <w:tcPr>
            <w:tcW w:type="dxa" w:w="2160"/>
          </w:tcPr>
          <w:p>
            <w:r>
              <w:rPr>
                <w:rFonts w:ascii="Calibri" w:hAnsi="Calibri"/>
                <w:color w:val="000000"/>
                <w:sz w:val="20"/>
              </w:rPr>
              <w:t>Revenue from operations</w:t>
            </w:r>
          </w:p>
        </w:tc>
        <w:tc>
          <w:tcPr>
            <w:tcW w:type="dxa" w:w="2160"/>
          </w:tcPr>
          <w:p>
            <w:r>
              <w:rPr>
                <w:rFonts w:ascii="Calibri" w:hAnsi="Calibri"/>
                <w:color w:val="000000"/>
                <w:sz w:val="20"/>
              </w:rPr>
              <w:t>18.58</w:t>
            </w:r>
          </w:p>
        </w:tc>
        <w:tc>
          <w:tcPr>
            <w:tcW w:type="dxa" w:w="2160"/>
          </w:tcPr>
          <w:p>
            <w:r>
              <w:rPr>
                <w:rFonts w:ascii="Calibri" w:hAnsi="Calibri"/>
                <w:color w:val="000000"/>
                <w:sz w:val="20"/>
              </w:rPr>
              <w:t>58.99</w:t>
            </w:r>
          </w:p>
        </w:tc>
        <w:tc>
          <w:tcPr>
            <w:tcW w:type="dxa" w:w="2160"/>
          </w:tcPr>
          <w:p>
            <w:r>
              <w:rPr>
                <w:rFonts w:ascii="Calibri" w:hAnsi="Calibri"/>
                <w:color w:val="000000"/>
                <w:sz w:val="20"/>
              </w:rPr>
              <w:t>108.29</w:t>
            </w:r>
          </w:p>
        </w:tc>
      </w:tr>
      <w:tr>
        <w:tc>
          <w:tcPr>
            <w:tcW w:type="dxa" w:w="2160"/>
          </w:tcPr>
          <w:p>
            <w:r>
              <w:rPr>
                <w:rFonts w:ascii="Calibri" w:hAnsi="Calibri"/>
                <w:color w:val="000000"/>
                <w:sz w:val="20"/>
              </w:rPr>
              <w:t>Total income</w:t>
            </w:r>
          </w:p>
        </w:tc>
        <w:tc>
          <w:tcPr>
            <w:tcW w:type="dxa" w:w="2160"/>
          </w:tcPr>
          <w:p>
            <w:r>
              <w:rPr>
                <w:rFonts w:ascii="Calibri" w:hAnsi="Calibri"/>
                <w:color w:val="000000"/>
                <w:sz w:val="20"/>
              </w:rPr>
              <w:t>21.06</w:t>
            </w:r>
          </w:p>
        </w:tc>
        <w:tc>
          <w:tcPr>
            <w:tcW w:type="dxa" w:w="2160"/>
          </w:tcPr>
          <w:p>
            <w:r>
              <w:rPr>
                <w:rFonts w:ascii="Calibri" w:hAnsi="Calibri"/>
                <w:color w:val="000000"/>
                <w:sz w:val="20"/>
              </w:rPr>
              <w:t>59.95</w:t>
            </w:r>
          </w:p>
        </w:tc>
        <w:tc>
          <w:tcPr>
            <w:tcW w:type="dxa" w:w="2160"/>
          </w:tcPr>
          <w:p>
            <w:r>
              <w:rPr>
                <w:rFonts w:ascii="Calibri" w:hAnsi="Calibri"/>
                <w:color w:val="000000"/>
                <w:sz w:val="20"/>
              </w:rPr>
              <w:t>109.21</w:t>
            </w:r>
          </w:p>
        </w:tc>
      </w:tr>
      <w:tr>
        <w:tc>
          <w:tcPr>
            <w:tcW w:type="dxa" w:w="2160"/>
          </w:tcPr>
          <w:p>
            <w:r>
              <w:rPr>
                <w:rFonts w:ascii="Calibri" w:hAnsi="Calibri"/>
                <w:color w:val="000000"/>
                <w:sz w:val="20"/>
              </w:rPr>
              <w:t>Finance cost</w:t>
            </w:r>
          </w:p>
        </w:tc>
        <w:tc>
          <w:tcPr>
            <w:tcW w:type="dxa" w:w="2160"/>
          </w:tcPr>
          <w:p>
            <w:r>
              <w:rPr>
                <w:rFonts w:ascii="Calibri" w:hAnsi="Calibri"/>
                <w:color w:val="000000"/>
                <w:sz w:val="20"/>
              </w:rPr>
              <w:t>5.98</w:t>
            </w:r>
          </w:p>
        </w:tc>
        <w:tc>
          <w:tcPr>
            <w:tcW w:type="dxa" w:w="2160"/>
          </w:tcPr>
          <w:p>
            <w:r>
              <w:rPr>
                <w:rFonts w:ascii="Calibri" w:hAnsi="Calibri"/>
                <w:color w:val="000000"/>
                <w:sz w:val="20"/>
              </w:rPr>
              <w:t>17.92</w:t>
            </w:r>
          </w:p>
        </w:tc>
        <w:tc>
          <w:tcPr>
            <w:tcW w:type="dxa" w:w="2160"/>
          </w:tcPr>
          <w:p>
            <w:r>
              <w:rPr>
                <w:rFonts w:ascii="Calibri" w:hAnsi="Calibri"/>
                <w:color w:val="000000"/>
                <w:sz w:val="20"/>
              </w:rPr>
              <w:t>49.19</w:t>
            </w:r>
          </w:p>
        </w:tc>
      </w:tr>
      <w:tr>
        <w:tc>
          <w:tcPr>
            <w:tcW w:type="dxa" w:w="2160"/>
          </w:tcPr>
          <w:p>
            <w:r>
              <w:rPr>
                <w:rFonts w:ascii="Calibri" w:hAnsi="Calibri"/>
                <w:color w:val="000000"/>
                <w:sz w:val="20"/>
              </w:rPr>
              <w:t>Net interest income</w:t>
            </w:r>
          </w:p>
        </w:tc>
        <w:tc>
          <w:tcPr>
            <w:tcW w:type="dxa" w:w="2160"/>
          </w:tcPr>
          <w:p>
            <w:r>
              <w:rPr>
                <w:rFonts w:ascii="Calibri" w:hAnsi="Calibri"/>
                <w:color w:val="000000"/>
                <w:sz w:val="20"/>
              </w:rPr>
              <w:t>9.53</w:t>
            </w:r>
          </w:p>
        </w:tc>
        <w:tc>
          <w:tcPr>
            <w:tcW w:type="dxa" w:w="2160"/>
          </w:tcPr>
          <w:p>
            <w:r>
              <w:rPr>
                <w:rFonts w:ascii="Calibri" w:hAnsi="Calibri"/>
                <w:color w:val="000000"/>
                <w:sz w:val="20"/>
              </w:rPr>
              <w:t>37.82</w:t>
            </w:r>
          </w:p>
        </w:tc>
        <w:tc>
          <w:tcPr>
            <w:tcW w:type="dxa" w:w="2160"/>
          </w:tcPr>
          <w:p>
            <w:r>
              <w:rPr>
                <w:rFonts w:ascii="Calibri" w:hAnsi="Calibri"/>
                <w:color w:val="000000"/>
                <w:sz w:val="20"/>
              </w:rPr>
              <w:t>58.02</w:t>
            </w:r>
          </w:p>
        </w:tc>
      </w:tr>
      <w:tr>
        <w:tc>
          <w:tcPr>
            <w:tcW w:type="dxa" w:w="2160"/>
          </w:tcPr>
          <w:p>
            <w:r>
              <w:rPr>
                <w:rFonts w:ascii="Calibri" w:hAnsi="Calibri"/>
                <w:color w:val="000000"/>
                <w:sz w:val="20"/>
              </w:rPr>
              <w:t>Employment cost</w:t>
            </w:r>
          </w:p>
        </w:tc>
        <w:tc>
          <w:tcPr>
            <w:tcW w:type="dxa" w:w="2160"/>
          </w:tcPr>
          <w:p>
            <w:r>
              <w:rPr>
                <w:rFonts w:ascii="Calibri" w:hAnsi="Calibri"/>
                <w:color w:val="000000"/>
                <w:sz w:val="20"/>
              </w:rPr>
              <w:t>6.82</w:t>
            </w:r>
          </w:p>
        </w:tc>
        <w:tc>
          <w:tcPr>
            <w:tcW w:type="dxa" w:w="2160"/>
          </w:tcPr>
          <w:p>
            <w:r>
              <w:rPr>
                <w:rFonts w:ascii="Calibri" w:hAnsi="Calibri"/>
                <w:color w:val="000000"/>
                <w:sz w:val="20"/>
              </w:rPr>
              <w:t>10.44</w:t>
            </w:r>
          </w:p>
        </w:tc>
        <w:tc>
          <w:tcPr>
            <w:tcW w:type="dxa" w:w="2160"/>
          </w:tcPr>
          <w:p>
            <w:r>
              <w:rPr>
                <w:rFonts w:ascii="Calibri" w:hAnsi="Calibri"/>
                <w:color w:val="000000"/>
                <w:sz w:val="20"/>
              </w:rPr>
              <w:t>10.57</w:t>
            </w:r>
          </w:p>
        </w:tc>
      </w:tr>
      <w:tr>
        <w:tc>
          <w:tcPr>
            <w:tcW w:type="dxa" w:w="2160"/>
          </w:tcPr>
          <w:p>
            <w:r>
              <w:rPr>
                <w:rFonts w:ascii="Calibri" w:hAnsi="Calibri"/>
                <w:color w:val="000000"/>
                <w:sz w:val="20"/>
              </w:rPr>
              <w:t>Provision</w:t>
            </w:r>
          </w:p>
        </w:tc>
        <w:tc>
          <w:tcPr>
            <w:tcW w:type="dxa" w:w="2160"/>
          </w:tcPr>
          <w:p>
            <w:r>
              <w:rPr>
                <w:rFonts w:ascii="Calibri" w:hAnsi="Calibri"/>
                <w:color w:val="000000"/>
                <w:sz w:val="20"/>
              </w:rPr>
              <w:t>0.83</w:t>
            </w:r>
          </w:p>
        </w:tc>
        <w:tc>
          <w:tcPr>
            <w:tcW w:type="dxa" w:w="2160"/>
          </w:tcPr>
          <w:p>
            <w:r>
              <w:rPr>
                <w:rFonts w:ascii="Calibri" w:hAnsi="Calibri"/>
                <w:color w:val="000000"/>
                <w:sz w:val="20"/>
              </w:rPr>
              <w:t>1.80</w:t>
            </w:r>
          </w:p>
        </w:tc>
        <w:tc>
          <w:tcPr>
            <w:tcW w:type="dxa" w:w="2160"/>
          </w:tcPr>
          <w:p>
            <w:r>
              <w:rPr>
                <w:rFonts w:ascii="Calibri" w:hAnsi="Calibri"/>
                <w:color w:val="000000"/>
                <w:sz w:val="20"/>
              </w:rPr>
              <w:t>1.92</w:t>
            </w:r>
          </w:p>
        </w:tc>
      </w:tr>
      <w:tr>
        <w:tc>
          <w:tcPr>
            <w:tcW w:type="dxa" w:w="2160"/>
          </w:tcPr>
          <w:p>
            <w:r>
              <w:rPr>
                <w:rFonts w:ascii="Calibri" w:hAnsi="Calibri"/>
                <w:color w:val="000000"/>
                <w:sz w:val="20"/>
              </w:rPr>
              <w:t>Other admin cost</w:t>
            </w:r>
          </w:p>
        </w:tc>
        <w:tc>
          <w:tcPr>
            <w:tcW w:type="dxa" w:w="2160"/>
          </w:tcPr>
          <w:p>
            <w:r>
              <w:rPr>
                <w:rFonts w:ascii="Calibri" w:hAnsi="Calibri"/>
                <w:color w:val="000000"/>
                <w:sz w:val="20"/>
              </w:rPr>
              <w:t>11.46</w:t>
            </w:r>
          </w:p>
        </w:tc>
        <w:tc>
          <w:tcPr>
            <w:tcW w:type="dxa" w:w="2160"/>
          </w:tcPr>
          <w:p>
            <w:r>
              <w:rPr>
                <w:rFonts w:ascii="Calibri" w:hAnsi="Calibri"/>
                <w:color w:val="000000"/>
                <w:sz w:val="20"/>
              </w:rPr>
              <w:t>12.95</w:t>
            </w:r>
          </w:p>
        </w:tc>
        <w:tc>
          <w:tcPr>
            <w:tcW w:type="dxa" w:w="2160"/>
          </w:tcPr>
          <w:p>
            <w:r>
              <w:rPr>
                <w:rFonts w:ascii="Calibri" w:hAnsi="Calibri"/>
                <w:color w:val="000000"/>
                <w:sz w:val="20"/>
              </w:rPr>
              <w:t>27.78</w:t>
            </w:r>
          </w:p>
        </w:tc>
      </w:tr>
      <w:tr>
        <w:tc>
          <w:tcPr>
            <w:tcW w:type="dxa" w:w="2160"/>
          </w:tcPr>
          <w:p>
            <w:r>
              <w:rPr>
                <w:rFonts w:ascii="Calibri" w:hAnsi="Calibri"/>
                <w:color w:val="000000"/>
                <w:sz w:val="20"/>
              </w:rPr>
              <w:t>PBT</w:t>
            </w:r>
          </w:p>
        </w:tc>
        <w:tc>
          <w:tcPr>
            <w:tcW w:type="dxa" w:w="2160"/>
          </w:tcPr>
          <w:p>
            <w:r>
              <w:rPr>
                <w:rFonts w:ascii="Calibri" w:hAnsi="Calibri"/>
                <w:color w:val="000000"/>
                <w:sz w:val="20"/>
              </w:rPr>
              <w:t>(7.37)</w:t>
            </w:r>
          </w:p>
        </w:tc>
        <w:tc>
          <w:tcPr>
            <w:tcW w:type="dxa" w:w="2160"/>
          </w:tcPr>
          <w:p>
            <w:r>
              <w:rPr>
                <w:rFonts w:ascii="Calibri" w:hAnsi="Calibri"/>
                <w:color w:val="000000"/>
                <w:sz w:val="20"/>
              </w:rPr>
              <w:t>13.26</w:t>
            </w:r>
          </w:p>
        </w:tc>
        <w:tc>
          <w:tcPr>
            <w:tcW w:type="dxa" w:w="2160"/>
          </w:tcPr>
          <w:p>
            <w:r>
              <w:rPr>
                <w:rFonts w:ascii="Calibri" w:hAnsi="Calibri"/>
                <w:color w:val="000000"/>
                <w:sz w:val="20"/>
              </w:rPr>
              <w:t>18.34</w:t>
            </w:r>
          </w:p>
        </w:tc>
      </w:tr>
      <w:tr>
        <w:tc>
          <w:tcPr>
            <w:tcW w:type="dxa" w:w="2160"/>
          </w:tcPr>
          <w:p>
            <w:r>
              <w:rPr>
                <w:rFonts w:ascii="Calibri" w:hAnsi="Calibri"/>
                <w:color w:val="000000"/>
                <w:sz w:val="20"/>
              </w:rPr>
              <w:t>Tax</w:t>
            </w:r>
          </w:p>
        </w:tc>
        <w:tc>
          <w:tcPr>
            <w:tcW w:type="dxa" w:w="2160"/>
          </w:tcPr>
          <w:p>
            <w:r>
              <w:rPr>
                <w:rFonts w:ascii="Calibri" w:hAnsi="Calibri"/>
                <w:color w:val="000000"/>
                <w:sz w:val="20"/>
              </w:rPr>
              <w:t>0.00</w:t>
            </w:r>
          </w:p>
        </w:tc>
        <w:tc>
          <w:tcPr>
            <w:tcW w:type="dxa" w:w="2160"/>
          </w:tcPr>
          <w:p>
            <w:r>
              <w:rPr>
                <w:rFonts w:ascii="Calibri" w:hAnsi="Calibri"/>
                <w:color w:val="000000"/>
                <w:sz w:val="20"/>
              </w:rPr>
              <w:t>(8.57) DTA credit</w:t>
            </w:r>
          </w:p>
        </w:tc>
        <w:tc>
          <w:tcPr>
            <w:tcW w:type="dxa" w:w="2160"/>
          </w:tcPr>
          <w:p>
            <w:r>
              <w:rPr>
                <w:rFonts w:ascii="Calibri" w:hAnsi="Calibri"/>
                <w:color w:val="000000"/>
                <w:sz w:val="20"/>
              </w:rPr>
              <w:t>2.09</w:t>
            </w:r>
          </w:p>
        </w:tc>
      </w:tr>
      <w:tr>
        <w:tc>
          <w:tcPr>
            <w:tcW w:type="dxa" w:w="2160"/>
          </w:tcPr>
          <w:p>
            <w:r>
              <w:rPr>
                <w:rFonts w:ascii="Calibri" w:hAnsi="Calibri"/>
                <w:color w:val="000000"/>
                <w:sz w:val="20"/>
              </w:rPr>
              <w:t>PAT</w:t>
            </w:r>
          </w:p>
        </w:tc>
        <w:tc>
          <w:tcPr>
            <w:tcW w:type="dxa" w:w="2160"/>
          </w:tcPr>
          <w:p>
            <w:r>
              <w:rPr>
                <w:rFonts w:ascii="Calibri" w:hAnsi="Calibri"/>
                <w:color w:val="000000"/>
                <w:sz w:val="20"/>
              </w:rPr>
              <w:t>(7.37)</w:t>
            </w:r>
          </w:p>
        </w:tc>
        <w:tc>
          <w:tcPr>
            <w:tcW w:type="dxa" w:w="2160"/>
          </w:tcPr>
          <w:p>
            <w:r>
              <w:rPr>
                <w:rFonts w:ascii="Calibri" w:hAnsi="Calibri"/>
                <w:color w:val="000000"/>
                <w:sz w:val="20"/>
              </w:rPr>
              <w:t>21.84</w:t>
            </w:r>
          </w:p>
        </w:tc>
        <w:tc>
          <w:tcPr>
            <w:tcW w:type="dxa" w:w="2160"/>
          </w:tcPr>
          <w:p>
            <w:r>
              <w:rPr>
                <w:rFonts w:ascii="Calibri" w:hAnsi="Calibri"/>
                <w:color w:val="000000"/>
                <w:sz w:val="20"/>
              </w:rPr>
              <w:t>16.26</w:t>
            </w:r>
          </w:p>
        </w:tc>
      </w:tr>
    </w:tbl>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Calibri" w:hAnsi="Calibri"/>
                <w:b/>
                <w:color w:val="000000"/>
                <w:sz w:val="20"/>
              </w:rPr>
              <w:t>Balance sheet (₹ Cr, at Mar)</w:t>
            </w:r>
          </w:p>
        </w:tc>
        <w:tc>
          <w:tcPr>
            <w:tcW w:type="dxa" w:w="2160"/>
          </w:tcPr>
          <w:p>
            <w:r>
              <w:rPr>
                <w:rFonts w:ascii="Calibri" w:hAnsi="Calibri"/>
                <w:b/>
                <w:color w:val="000000"/>
                <w:sz w:val="20"/>
              </w:rPr>
              <w:t>FY24</w:t>
            </w:r>
          </w:p>
        </w:tc>
        <w:tc>
          <w:tcPr>
            <w:tcW w:type="dxa" w:w="2160"/>
          </w:tcPr>
          <w:p>
            <w:r>
              <w:rPr>
                <w:rFonts w:ascii="Calibri" w:hAnsi="Calibri"/>
                <w:b/>
                <w:color w:val="000000"/>
                <w:sz w:val="20"/>
              </w:rPr>
              <w:t>FY25</w:t>
            </w:r>
          </w:p>
        </w:tc>
        <w:tc>
          <w:tcPr>
            <w:tcW w:type="dxa" w:w="2160"/>
          </w:tcPr>
          <w:p>
            <w:r>
              <w:rPr>
                <w:rFonts w:ascii="Calibri" w:hAnsi="Calibri"/>
                <w:b/>
                <w:color w:val="000000"/>
                <w:sz w:val="20"/>
              </w:rPr>
              <w:t>FY26</w:t>
            </w:r>
          </w:p>
        </w:tc>
      </w:tr>
      <w:tr>
        <w:tc>
          <w:tcPr>
            <w:tcW w:type="dxa" w:w="2160"/>
          </w:tcPr>
          <w:p>
            <w:r>
              <w:rPr>
                <w:rFonts w:ascii="Calibri" w:hAnsi="Calibri"/>
                <w:color w:val="000000"/>
                <w:sz w:val="20"/>
              </w:rPr>
              <w:t>Share capital</w:t>
            </w:r>
          </w:p>
        </w:tc>
        <w:tc>
          <w:tcPr>
            <w:tcW w:type="dxa" w:w="2160"/>
          </w:tcPr>
          <w:p>
            <w:r>
              <w:rPr>
                <w:rFonts w:ascii="Calibri" w:hAnsi="Calibri"/>
                <w:color w:val="000000"/>
                <w:sz w:val="20"/>
              </w:rPr>
              <w:t>57.72</w:t>
            </w:r>
          </w:p>
        </w:tc>
        <w:tc>
          <w:tcPr>
            <w:tcW w:type="dxa" w:w="2160"/>
          </w:tcPr>
          <w:p>
            <w:r>
              <w:rPr>
                <w:rFonts w:ascii="Calibri" w:hAnsi="Calibri"/>
                <w:color w:val="000000"/>
                <w:sz w:val="20"/>
              </w:rPr>
              <w:t>60.55</w:t>
            </w:r>
          </w:p>
        </w:tc>
        <w:tc>
          <w:tcPr>
            <w:tcW w:type="dxa" w:w="2160"/>
          </w:tcPr>
          <w:p>
            <w:r>
              <w:rPr>
                <w:rFonts w:ascii="Calibri" w:hAnsi="Calibri"/>
                <w:color w:val="000000"/>
                <w:sz w:val="20"/>
              </w:rPr>
              <w:t>83.48</w:t>
            </w:r>
          </w:p>
        </w:tc>
      </w:tr>
      <w:tr>
        <w:tc>
          <w:tcPr>
            <w:tcW w:type="dxa" w:w="2160"/>
          </w:tcPr>
          <w:p>
            <w:r>
              <w:rPr>
                <w:rFonts w:ascii="Calibri" w:hAnsi="Calibri"/>
                <w:color w:val="000000"/>
                <w:sz w:val="20"/>
              </w:rPr>
              <w:t>Reserves and surplus</w:t>
            </w:r>
          </w:p>
        </w:tc>
        <w:tc>
          <w:tcPr>
            <w:tcW w:type="dxa" w:w="2160"/>
          </w:tcPr>
          <w:p>
            <w:r>
              <w:rPr>
                <w:rFonts w:ascii="Calibri" w:hAnsi="Calibri"/>
                <w:color w:val="000000"/>
                <w:sz w:val="20"/>
              </w:rPr>
              <w:t>(21.96)</w:t>
            </w:r>
          </w:p>
        </w:tc>
        <w:tc>
          <w:tcPr>
            <w:tcW w:type="dxa" w:w="2160"/>
          </w:tcPr>
          <w:p>
            <w:r>
              <w:rPr>
                <w:rFonts w:ascii="Calibri" w:hAnsi="Calibri"/>
                <w:color w:val="000000"/>
                <w:sz w:val="20"/>
              </w:rPr>
              <w:t>2.95</w:t>
            </w:r>
          </w:p>
        </w:tc>
        <w:tc>
          <w:tcPr>
            <w:tcW w:type="dxa" w:w="2160"/>
          </w:tcPr>
          <w:p>
            <w:r>
              <w:rPr>
                <w:rFonts w:ascii="Calibri" w:hAnsi="Calibri"/>
                <w:color w:val="000000"/>
                <w:sz w:val="20"/>
              </w:rPr>
              <w:t>21.29</w:t>
            </w:r>
          </w:p>
        </w:tc>
      </w:tr>
      <w:tr>
        <w:tc>
          <w:tcPr>
            <w:tcW w:type="dxa" w:w="2160"/>
          </w:tcPr>
          <w:p>
            <w:r>
              <w:rPr>
                <w:rFonts w:ascii="Calibri" w:hAnsi="Calibri"/>
                <w:color w:val="000000"/>
                <w:sz w:val="20"/>
              </w:rPr>
              <w:t>Net worth (incl CCPS)</w:t>
            </w:r>
          </w:p>
        </w:tc>
        <w:tc>
          <w:tcPr>
            <w:tcW w:type="dxa" w:w="2160"/>
          </w:tcPr>
          <w:p>
            <w:r>
              <w:rPr>
                <w:rFonts w:ascii="Calibri" w:hAnsi="Calibri"/>
                <w:color w:val="000000"/>
                <w:sz w:val="20"/>
              </w:rPr>
              <w:t>35.76</w:t>
            </w:r>
          </w:p>
        </w:tc>
        <w:tc>
          <w:tcPr>
            <w:tcW w:type="dxa" w:w="2160"/>
          </w:tcPr>
          <w:p>
            <w:r>
              <w:rPr>
                <w:rFonts w:ascii="Calibri" w:hAnsi="Calibri"/>
                <w:color w:val="000000"/>
                <w:sz w:val="20"/>
              </w:rPr>
              <w:t>63.50</w:t>
            </w:r>
          </w:p>
        </w:tc>
        <w:tc>
          <w:tcPr>
            <w:tcW w:type="dxa" w:w="2160"/>
          </w:tcPr>
          <w:p>
            <w:r>
              <w:rPr>
                <w:rFonts w:ascii="Calibri" w:hAnsi="Calibri"/>
                <w:color w:val="000000"/>
                <w:sz w:val="20"/>
              </w:rPr>
              <w:t>104.77</w:t>
            </w:r>
          </w:p>
        </w:tc>
      </w:tr>
      <w:tr>
        <w:tc>
          <w:tcPr>
            <w:tcW w:type="dxa" w:w="2160"/>
          </w:tcPr>
          <w:p>
            <w:r>
              <w:rPr>
                <w:rFonts w:ascii="Calibri" w:hAnsi="Calibri"/>
                <w:color w:val="000000"/>
                <w:sz w:val="20"/>
              </w:rPr>
              <w:t>Borrowings</w:t>
            </w:r>
          </w:p>
        </w:tc>
        <w:tc>
          <w:tcPr>
            <w:tcW w:type="dxa" w:w="2160"/>
          </w:tcPr>
          <w:p>
            <w:r>
              <w:rPr>
                <w:rFonts w:ascii="Calibri" w:hAnsi="Calibri"/>
                <w:color w:val="000000"/>
                <w:sz w:val="20"/>
              </w:rPr>
              <w:t>67.50</w:t>
            </w:r>
          </w:p>
        </w:tc>
        <w:tc>
          <w:tcPr>
            <w:tcW w:type="dxa" w:w="2160"/>
          </w:tcPr>
          <w:p>
            <w:r>
              <w:rPr>
                <w:rFonts w:ascii="Calibri" w:hAnsi="Calibri"/>
                <w:color w:val="000000"/>
                <w:sz w:val="20"/>
              </w:rPr>
              <w:t>166.01</w:t>
            </w:r>
          </w:p>
        </w:tc>
        <w:tc>
          <w:tcPr>
            <w:tcW w:type="dxa" w:w="2160"/>
          </w:tcPr>
          <w:p>
            <w:r>
              <w:rPr>
                <w:rFonts w:ascii="Calibri" w:hAnsi="Calibri"/>
                <w:color w:val="000000"/>
                <w:sz w:val="20"/>
              </w:rPr>
              <w:t>337.34</w:t>
            </w:r>
          </w:p>
        </w:tc>
      </w:tr>
      <w:tr>
        <w:tc>
          <w:tcPr>
            <w:tcW w:type="dxa" w:w="2160"/>
          </w:tcPr>
          <w:p>
            <w:r>
              <w:rPr>
                <w:rFonts w:ascii="Calibri" w:hAnsi="Calibri"/>
                <w:color w:val="000000"/>
                <w:sz w:val="20"/>
              </w:rPr>
              <w:t>Loan book</w:t>
            </w:r>
          </w:p>
        </w:tc>
        <w:tc>
          <w:tcPr>
            <w:tcW w:type="dxa" w:w="2160"/>
          </w:tcPr>
          <w:p>
            <w:r>
              <w:rPr>
                <w:rFonts w:ascii="Calibri" w:hAnsi="Calibri"/>
                <w:color w:val="000000"/>
                <w:sz w:val="20"/>
              </w:rPr>
              <w:t>75.55</w:t>
            </w:r>
          </w:p>
        </w:tc>
        <w:tc>
          <w:tcPr>
            <w:tcW w:type="dxa" w:w="2160"/>
          </w:tcPr>
          <w:p>
            <w:r>
              <w:rPr>
                <w:rFonts w:ascii="Calibri" w:hAnsi="Calibri"/>
                <w:color w:val="000000"/>
                <w:sz w:val="20"/>
              </w:rPr>
              <w:t>188.28</w:t>
            </w:r>
          </w:p>
        </w:tc>
        <w:tc>
          <w:tcPr>
            <w:tcW w:type="dxa" w:w="2160"/>
          </w:tcPr>
          <w:p>
            <w:r>
              <w:rPr>
                <w:rFonts w:ascii="Calibri" w:hAnsi="Calibri"/>
                <w:color w:val="000000"/>
                <w:sz w:val="20"/>
              </w:rPr>
              <w:t>407.95</w:t>
            </w:r>
          </w:p>
        </w:tc>
      </w:tr>
      <w:tr>
        <w:tc>
          <w:tcPr>
            <w:tcW w:type="dxa" w:w="2160"/>
          </w:tcPr>
          <w:p>
            <w:r>
              <w:rPr>
                <w:rFonts w:ascii="Calibri" w:hAnsi="Calibri"/>
                <w:color w:val="000000"/>
                <w:sz w:val="20"/>
              </w:rPr>
              <w:t>Total assets</w:t>
            </w:r>
          </w:p>
        </w:tc>
        <w:tc>
          <w:tcPr>
            <w:tcW w:type="dxa" w:w="2160"/>
          </w:tcPr>
          <w:p>
            <w:r>
              <w:rPr>
                <w:rFonts w:ascii="Calibri" w:hAnsi="Calibri"/>
                <w:color w:val="000000"/>
                <w:sz w:val="20"/>
              </w:rPr>
              <w:t>111.50</w:t>
            </w:r>
          </w:p>
        </w:tc>
        <w:tc>
          <w:tcPr>
            <w:tcW w:type="dxa" w:w="2160"/>
          </w:tcPr>
          <w:p>
            <w:r>
              <w:rPr>
                <w:rFonts w:ascii="Calibri" w:hAnsi="Calibri"/>
                <w:color w:val="000000"/>
                <w:sz w:val="20"/>
              </w:rPr>
              <w:t>245.93</w:t>
            </w:r>
          </w:p>
        </w:tc>
        <w:tc>
          <w:tcPr>
            <w:tcW w:type="dxa" w:w="2160"/>
          </w:tcPr>
          <w:p>
            <w:r>
              <w:rPr>
                <w:rFonts w:ascii="Calibri" w:hAnsi="Calibri"/>
                <w:color w:val="000000"/>
                <w:sz w:val="20"/>
              </w:rPr>
              <w:t>481.04</w:t>
            </w:r>
          </w:p>
        </w:tc>
      </w:tr>
    </w:tbl>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Calibri" w:hAnsi="Calibri"/>
                <w:b/>
                <w:color w:val="000000"/>
                <w:sz w:val="20"/>
              </w:rPr>
              <w:t>Key ratio (company model)</w:t>
            </w:r>
          </w:p>
        </w:tc>
        <w:tc>
          <w:tcPr>
            <w:tcW w:type="dxa" w:w="2160"/>
          </w:tcPr>
          <w:p>
            <w:r>
              <w:rPr>
                <w:rFonts w:ascii="Calibri" w:hAnsi="Calibri"/>
                <w:b/>
                <w:color w:val="000000"/>
                <w:sz w:val="20"/>
              </w:rPr>
              <w:t>FY24</w:t>
            </w:r>
          </w:p>
        </w:tc>
        <w:tc>
          <w:tcPr>
            <w:tcW w:type="dxa" w:w="2160"/>
          </w:tcPr>
          <w:p>
            <w:r>
              <w:rPr>
                <w:rFonts w:ascii="Calibri" w:hAnsi="Calibri"/>
                <w:b/>
                <w:color w:val="000000"/>
                <w:sz w:val="20"/>
              </w:rPr>
              <w:t>FY25</w:t>
            </w:r>
          </w:p>
        </w:tc>
        <w:tc>
          <w:tcPr>
            <w:tcW w:type="dxa" w:w="2160"/>
          </w:tcPr>
          <w:p>
            <w:r>
              <w:rPr>
                <w:rFonts w:ascii="Calibri" w:hAnsi="Calibri"/>
                <w:b/>
                <w:color w:val="000000"/>
                <w:sz w:val="20"/>
              </w:rPr>
              <w:t>FY26</w:t>
            </w:r>
          </w:p>
        </w:tc>
      </w:tr>
      <w:tr>
        <w:tc>
          <w:tcPr>
            <w:tcW w:type="dxa" w:w="2160"/>
          </w:tcPr>
          <w:p>
            <w:r>
              <w:rPr>
                <w:rFonts w:ascii="Calibri" w:hAnsi="Calibri"/>
                <w:color w:val="000000"/>
                <w:sz w:val="20"/>
              </w:rPr>
              <w:t>Yield %</w:t>
            </w:r>
          </w:p>
        </w:tc>
        <w:tc>
          <w:tcPr>
            <w:tcW w:type="dxa" w:w="2160"/>
          </w:tcPr>
          <w:p>
            <w:r>
              <w:rPr>
                <w:rFonts w:ascii="Calibri" w:hAnsi="Calibri"/>
                <w:color w:val="000000"/>
                <w:sz w:val="20"/>
              </w:rPr>
              <w:t>28</w:t>
            </w:r>
          </w:p>
        </w:tc>
        <w:tc>
          <w:tcPr>
            <w:tcW w:type="dxa" w:w="2160"/>
          </w:tcPr>
          <w:p>
            <w:r>
              <w:rPr>
                <w:rFonts w:ascii="Calibri" w:hAnsi="Calibri"/>
                <w:color w:val="000000"/>
                <w:sz w:val="20"/>
              </w:rPr>
              <w:t>32</w:t>
            </w:r>
          </w:p>
        </w:tc>
        <w:tc>
          <w:tcPr>
            <w:tcW w:type="dxa" w:w="2160"/>
          </w:tcPr>
          <w:p>
            <w:r>
              <w:rPr>
                <w:rFonts w:ascii="Calibri" w:hAnsi="Calibri"/>
                <w:color w:val="000000"/>
                <w:sz w:val="20"/>
              </w:rPr>
              <w:t>27</w:t>
            </w:r>
          </w:p>
        </w:tc>
      </w:tr>
      <w:tr>
        <w:tc>
          <w:tcPr>
            <w:tcW w:type="dxa" w:w="2160"/>
          </w:tcPr>
          <w:p>
            <w:r>
              <w:rPr>
                <w:rFonts w:ascii="Calibri" w:hAnsi="Calibri"/>
                <w:color w:val="000000"/>
                <w:sz w:val="20"/>
              </w:rPr>
              <w:t>Net interest margin %</w:t>
            </w:r>
          </w:p>
        </w:tc>
        <w:tc>
          <w:tcPr>
            <w:tcW w:type="dxa" w:w="2160"/>
          </w:tcPr>
          <w:p>
            <w:r>
              <w:rPr>
                <w:rFonts w:ascii="Calibri" w:hAnsi="Calibri"/>
                <w:color w:val="000000"/>
                <w:sz w:val="20"/>
              </w:rPr>
              <w:t>13</w:t>
            </w:r>
          </w:p>
        </w:tc>
        <w:tc>
          <w:tcPr>
            <w:tcW w:type="dxa" w:w="2160"/>
          </w:tcPr>
          <w:p>
            <w:r>
              <w:rPr>
                <w:rFonts w:ascii="Calibri" w:hAnsi="Calibri"/>
                <w:color w:val="000000"/>
                <w:sz w:val="20"/>
              </w:rPr>
              <w:t>20</w:t>
            </w:r>
          </w:p>
        </w:tc>
        <w:tc>
          <w:tcPr>
            <w:tcW w:type="dxa" w:w="2160"/>
          </w:tcPr>
          <w:p>
            <w:r>
              <w:rPr>
                <w:rFonts w:ascii="Calibri" w:hAnsi="Calibri"/>
                <w:color w:val="000000"/>
                <w:sz w:val="20"/>
              </w:rPr>
              <w:t>14</w:t>
            </w:r>
          </w:p>
        </w:tc>
      </w:tr>
      <w:tr>
        <w:tc>
          <w:tcPr>
            <w:tcW w:type="dxa" w:w="2160"/>
          </w:tcPr>
          <w:p>
            <w:r>
              <w:rPr>
                <w:rFonts w:ascii="Calibri" w:hAnsi="Calibri"/>
                <w:color w:val="000000"/>
                <w:sz w:val="20"/>
              </w:rPr>
              <w:t>ROA %</w:t>
            </w:r>
          </w:p>
        </w:tc>
        <w:tc>
          <w:tcPr>
            <w:tcW w:type="dxa" w:w="2160"/>
          </w:tcPr>
          <w:p>
            <w:r>
              <w:rPr>
                <w:rFonts w:ascii="Calibri" w:hAnsi="Calibri"/>
                <w:color w:val="000000"/>
                <w:sz w:val="20"/>
              </w:rPr>
              <w:t>(7)</w:t>
            </w:r>
          </w:p>
        </w:tc>
        <w:tc>
          <w:tcPr>
            <w:tcW w:type="dxa" w:w="2160"/>
          </w:tcPr>
          <w:p>
            <w:r>
              <w:rPr>
                <w:rFonts w:ascii="Calibri" w:hAnsi="Calibri"/>
                <w:color w:val="000000"/>
                <w:sz w:val="20"/>
              </w:rPr>
              <w:t>9</w:t>
            </w:r>
          </w:p>
        </w:tc>
        <w:tc>
          <w:tcPr>
            <w:tcW w:type="dxa" w:w="2160"/>
          </w:tcPr>
          <w:p>
            <w:r>
              <w:rPr>
                <w:rFonts w:ascii="Calibri" w:hAnsi="Calibri"/>
                <w:color w:val="000000"/>
                <w:sz w:val="20"/>
              </w:rPr>
              <w:t>3</w:t>
            </w:r>
          </w:p>
        </w:tc>
      </w:tr>
      <w:tr>
        <w:tc>
          <w:tcPr>
            <w:tcW w:type="dxa" w:w="2160"/>
          </w:tcPr>
          <w:p>
            <w:r>
              <w:rPr>
                <w:rFonts w:ascii="Calibri" w:hAnsi="Calibri"/>
                <w:color w:val="000000"/>
                <w:sz w:val="20"/>
              </w:rPr>
              <w:t>ROE %</w:t>
            </w:r>
          </w:p>
        </w:tc>
        <w:tc>
          <w:tcPr>
            <w:tcW w:type="dxa" w:w="2160"/>
          </w:tcPr>
          <w:p>
            <w:r>
              <w:rPr>
                <w:rFonts w:ascii="Calibri" w:hAnsi="Calibri"/>
                <w:color w:val="000000"/>
                <w:sz w:val="20"/>
              </w:rPr>
              <w:t>(21)</w:t>
            </w:r>
          </w:p>
        </w:tc>
        <w:tc>
          <w:tcPr>
            <w:tcW w:type="dxa" w:w="2160"/>
          </w:tcPr>
          <w:p>
            <w:r>
              <w:rPr>
                <w:rFonts w:ascii="Calibri" w:hAnsi="Calibri"/>
                <w:color w:val="000000"/>
                <w:sz w:val="20"/>
              </w:rPr>
              <w:t>34</w:t>
            </w:r>
          </w:p>
        </w:tc>
        <w:tc>
          <w:tcPr>
            <w:tcW w:type="dxa" w:w="2160"/>
          </w:tcPr>
          <w:p>
            <w:r>
              <w:rPr>
                <w:rFonts w:ascii="Calibri" w:hAnsi="Calibri"/>
                <w:color w:val="000000"/>
                <w:sz w:val="20"/>
              </w:rPr>
              <w:t>16</w:t>
            </w:r>
          </w:p>
        </w:tc>
      </w:tr>
      <w:tr>
        <w:tc>
          <w:tcPr>
            <w:tcW w:type="dxa" w:w="2160"/>
          </w:tcPr>
          <w:p>
            <w:r>
              <w:rPr>
                <w:rFonts w:ascii="Calibri" w:hAnsi="Calibri"/>
                <w:color w:val="000000"/>
                <w:sz w:val="20"/>
              </w:rPr>
              <w:t>Debt / net worth</w:t>
            </w:r>
          </w:p>
        </w:tc>
        <w:tc>
          <w:tcPr>
            <w:tcW w:type="dxa" w:w="2160"/>
          </w:tcPr>
          <w:p>
            <w:r>
              <w:rPr>
                <w:rFonts w:ascii="Calibri" w:hAnsi="Calibri"/>
                <w:color w:val="000000"/>
                <w:sz w:val="20"/>
              </w:rPr>
              <w:t>1.89</w:t>
            </w:r>
          </w:p>
        </w:tc>
        <w:tc>
          <w:tcPr>
            <w:tcW w:type="dxa" w:w="2160"/>
          </w:tcPr>
          <w:p>
            <w:r>
              <w:rPr>
                <w:rFonts w:ascii="Calibri" w:hAnsi="Calibri"/>
                <w:color w:val="000000"/>
                <w:sz w:val="20"/>
              </w:rPr>
              <w:t>2.61</w:t>
            </w:r>
          </w:p>
        </w:tc>
        <w:tc>
          <w:tcPr>
            <w:tcW w:type="dxa" w:w="2160"/>
          </w:tcPr>
          <w:p>
            <w:r>
              <w:rPr>
                <w:rFonts w:ascii="Calibri" w:hAnsi="Calibri"/>
                <w:color w:val="000000"/>
                <w:sz w:val="20"/>
              </w:rPr>
              <w:t>3.22</w:t>
            </w:r>
          </w:p>
        </w:tc>
      </w:tr>
      <w:tr>
        <w:tc>
          <w:tcPr>
            <w:tcW w:type="dxa" w:w="2160"/>
          </w:tcPr>
          <w:p>
            <w:r>
              <w:rPr>
                <w:rFonts w:ascii="Calibri" w:hAnsi="Calibri"/>
                <w:color w:val="000000"/>
                <w:sz w:val="20"/>
              </w:rPr>
              <w:t>Debt / net owned fund</w:t>
            </w:r>
          </w:p>
        </w:tc>
        <w:tc>
          <w:tcPr>
            <w:tcW w:type="dxa" w:w="2160"/>
          </w:tcPr>
          <w:p>
            <w:r>
              <w:rPr>
                <w:rFonts w:ascii="Calibri" w:hAnsi="Calibri"/>
                <w:color w:val="000000"/>
                <w:sz w:val="20"/>
              </w:rPr>
              <w:t>3.51</w:t>
            </w:r>
          </w:p>
        </w:tc>
        <w:tc>
          <w:tcPr>
            <w:tcW w:type="dxa" w:w="2160"/>
          </w:tcPr>
          <w:p>
            <w:r>
              <w:rPr>
                <w:rFonts w:ascii="Calibri" w:hAnsi="Calibri"/>
                <w:color w:val="000000"/>
                <w:sz w:val="20"/>
              </w:rPr>
              <w:t>3.34</w:t>
            </w:r>
          </w:p>
        </w:tc>
        <w:tc>
          <w:tcPr>
            <w:tcW w:type="dxa" w:w="2160"/>
          </w:tcPr>
          <w:p>
            <w:r>
              <w:rPr>
                <w:rFonts w:ascii="Calibri" w:hAnsi="Calibri"/>
                <w:color w:val="000000"/>
                <w:sz w:val="20"/>
              </w:rPr>
              <w:t>3.55</w:t>
            </w:r>
          </w:p>
        </w:tc>
      </w:tr>
      <w:tr>
        <w:tc>
          <w:tcPr>
            <w:tcW w:type="dxa" w:w="2160"/>
          </w:tcPr>
          <w:p>
            <w:r>
              <w:rPr>
                <w:rFonts w:ascii="Calibri" w:hAnsi="Calibri"/>
                <w:color w:val="000000"/>
                <w:sz w:val="20"/>
              </w:rPr>
              <w:t>CRAR %</w:t>
            </w:r>
          </w:p>
        </w:tc>
        <w:tc>
          <w:tcPr>
            <w:tcW w:type="dxa" w:w="2160"/>
          </w:tcPr>
          <w:p>
            <w:r>
              <w:rPr>
                <w:rFonts w:ascii="Calibri" w:hAnsi="Calibri"/>
                <w:color w:val="000000"/>
                <w:sz w:val="20"/>
              </w:rPr>
              <w:t>69</w:t>
            </w:r>
          </w:p>
        </w:tc>
        <w:tc>
          <w:tcPr>
            <w:tcW w:type="dxa" w:w="2160"/>
          </w:tcPr>
          <w:p>
            <w:r>
              <w:rPr>
                <w:rFonts w:ascii="Calibri" w:hAnsi="Calibri"/>
                <w:color w:val="000000"/>
                <w:sz w:val="20"/>
              </w:rPr>
              <w:t>27</w:t>
            </w:r>
          </w:p>
        </w:tc>
        <w:tc>
          <w:tcPr>
            <w:tcW w:type="dxa" w:w="2160"/>
          </w:tcPr>
          <w:p>
            <w:r>
              <w:rPr>
                <w:rFonts w:ascii="Calibri" w:hAnsi="Calibri"/>
                <w:color w:val="000000"/>
                <w:sz w:val="20"/>
              </w:rPr>
              <w:t>21</w:t>
            </w:r>
          </w:p>
        </w:tc>
      </w:tr>
      <w:tr>
        <w:tc>
          <w:tcPr>
            <w:tcW w:type="dxa" w:w="2160"/>
          </w:tcPr>
          <w:p>
            <w:r>
              <w:rPr>
                <w:rFonts w:ascii="Calibri" w:hAnsi="Calibri"/>
                <w:color w:val="000000"/>
                <w:sz w:val="20"/>
              </w:rPr>
              <w:t>NPA / provision %</w:t>
            </w:r>
          </w:p>
        </w:tc>
        <w:tc>
          <w:tcPr>
            <w:tcW w:type="dxa" w:w="2160"/>
          </w:tcPr>
          <w:p>
            <w:r>
              <w:rPr>
                <w:rFonts w:ascii="Calibri" w:hAnsi="Calibri"/>
                <w:color w:val="000000"/>
                <w:sz w:val="20"/>
              </w:rPr>
              <w:t>about 1</w:t>
            </w:r>
          </w:p>
        </w:tc>
        <w:tc>
          <w:tcPr>
            <w:tcW w:type="dxa" w:w="2160"/>
          </w:tcPr>
          <w:p>
            <w:r>
              <w:rPr>
                <w:rFonts w:ascii="Calibri" w:hAnsi="Calibri"/>
                <w:color w:val="000000"/>
                <w:sz w:val="20"/>
              </w:rPr>
              <w:t>about 1</w:t>
            </w:r>
          </w:p>
        </w:tc>
        <w:tc>
          <w:tcPr>
            <w:tcW w:type="dxa" w:w="2160"/>
          </w:tcPr>
          <w:p>
            <w:r>
              <w:rPr>
                <w:rFonts w:ascii="Calibri" w:hAnsi="Calibri"/>
                <w:color w:val="000000"/>
                <w:sz w:val="20"/>
              </w:rPr>
              <w:t>about 0</w:t>
            </w:r>
          </w:p>
        </w:tc>
      </w:tr>
    </w:tbl>
    <w:p/>
    <w:p>
      <w:r>
        <w:rPr>
          <w:rFonts w:ascii="Calibri" w:hAnsi="Calibri"/>
          <w:color w:val="000000"/>
        </w:rPr>
        <w:t>Our read. Profitability is positive but thin: ROA settling around 3% and ROE around 16% on the FY26 clean basis, with the FY25 spike to 34% ROE largely the deferred-tax credit. NIM at 14% is being eaten by cost of funds as the company leans harder on borrowed money. Capital adequacy at 21% is comfortable against the 15% floor but has fallen sharply (69% to 27% to 21%) as the book has grown faster than equity, and on the model's own projections it keeps drifting down. Leverage on net worth is 3.22x and rising. That is the tension in this credit: a clean, profitable, rated book, funded in a way that is getting more stretched each year and will need the planned equity round to keep capital and leverage where a lender would want them.</w:t>
      </w:r>
    </w:p>
    <w:p>
      <w:pPr>
        <w:pBdr>
          <w:bottom w:val="single" w:sz="6" w:space="1" w:color="000000"/>
        </w:pBdr>
      </w:pPr>
    </w:p>
    <w:p>
      <w:pPr>
        <w:pStyle w:val="Heading2"/>
      </w:pPr>
      <w:r>
        <w:rPr>
          <w:rFonts w:ascii="Calibri" w:hAnsi="Calibri"/>
          <w:b/>
          <w:color w:val="000000"/>
          <w:sz w:val="24"/>
        </w:rPr>
        <w:t>Section 7 - Asset quality, concentration and collections</w:t>
      </w:r>
    </w:p>
    <w:p>
      <w:r>
        <w:rPr>
          <w:rFonts w:ascii="Calibri" w:hAnsi="Calibri"/>
          <w:color w:val="000000"/>
        </w:rPr>
        <w:t>This is the heart of the screen, and it cuts two ways.</w:t>
      </w:r>
    </w:p>
    <w:p>
      <w:r>
        <w:rPr>
          <w:rFonts w:ascii="Calibri" w:hAnsi="Calibri"/>
          <w:color w:val="000000"/>
        </w:rPr>
        <w:t>On asset quality the book is about as clean as it gets. As of March 2026 essentially 100% of the ₹434.0 Cr total AUM is current, with the 0-30, 31-60, 61-90 and 90-plus buckets all effectively nil (Annexure 4). Collection efficiency runs at about 100% every month with closing overdue near zero (Annexure 6), and the historical 90-plus buckets are trivial (₹0.31 Cr in FY22, ₹0.018 Cr in FY24). That is consistent with a short-tenure, anchor-linked, self-liquidating supply-chain book and it is corroborated by the IND BBB- rating. We will say plainly that a book showing literally zero delinquency is unusual, and one diligence task is to confirm it is genuine and not a product of rollovers or ever-greening, by walking cohort-level repayment and overdue ageing at the loan level.</w:t>
      </w:r>
    </w:p>
    <w:p>
      <w:r>
        <w:rPr>
          <w:rFonts w:ascii="Calibri" w:hAnsi="Calibri"/>
          <w:color w:val="000000"/>
        </w:rPr>
        <w:t>On concentration the picture is the opposite, and it is the dominant risk. The move into wholesale supply-chain lending has made the book lumpy.</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Calibri" w:hAnsi="Calibri"/>
                <w:b/>
                <w:color w:val="000000"/>
                <w:sz w:val="20"/>
              </w:rPr>
              <w:t>Concentration (own book ₹407.95 Cr, Mar 2026)</w:t>
            </w:r>
          </w:p>
        </w:tc>
        <w:tc>
          <w:tcPr>
            <w:tcW w:type="dxa" w:w="2880"/>
          </w:tcPr>
          <w:p>
            <w:r>
              <w:rPr>
                <w:rFonts w:ascii="Calibri" w:hAnsi="Calibri"/>
                <w:b/>
                <w:color w:val="000000"/>
                <w:sz w:val="20"/>
              </w:rPr>
              <w:t>Amount (₹ Cr)</w:t>
            </w:r>
          </w:p>
        </w:tc>
        <w:tc>
          <w:tcPr>
            <w:tcW w:type="dxa" w:w="2880"/>
          </w:tcPr>
          <w:p>
            <w:r>
              <w:rPr>
                <w:rFonts w:ascii="Calibri" w:hAnsi="Calibri"/>
                <w:b/>
                <w:color w:val="000000"/>
                <w:sz w:val="20"/>
              </w:rPr>
              <w:t>Share of own book</w:t>
            </w:r>
          </w:p>
        </w:tc>
      </w:tr>
      <w:tr>
        <w:tc>
          <w:tcPr>
            <w:tcW w:type="dxa" w:w="2880"/>
          </w:tcPr>
          <w:p>
            <w:r>
              <w:rPr>
                <w:rFonts w:ascii="Calibri" w:hAnsi="Calibri"/>
                <w:color w:val="000000"/>
                <w:sz w:val="20"/>
              </w:rPr>
              <w:t>Largest borrower (MXON Electricals and Hardware)</w:t>
            </w:r>
          </w:p>
        </w:tc>
        <w:tc>
          <w:tcPr>
            <w:tcW w:type="dxa" w:w="2880"/>
          </w:tcPr>
          <w:p>
            <w:r>
              <w:rPr>
                <w:rFonts w:ascii="Calibri" w:hAnsi="Calibri"/>
                <w:color w:val="000000"/>
                <w:sz w:val="20"/>
              </w:rPr>
              <w:t>22.32</w:t>
            </w:r>
          </w:p>
        </w:tc>
        <w:tc>
          <w:tcPr>
            <w:tcW w:type="dxa" w:w="2880"/>
          </w:tcPr>
          <w:p>
            <w:r>
              <w:rPr>
                <w:rFonts w:ascii="Calibri" w:hAnsi="Calibri"/>
                <w:color w:val="000000"/>
                <w:sz w:val="20"/>
              </w:rPr>
              <w:t>about 5.5%</w:t>
            </w:r>
          </w:p>
        </w:tc>
      </w:tr>
      <w:tr>
        <w:tc>
          <w:tcPr>
            <w:tcW w:type="dxa" w:w="2880"/>
          </w:tcPr>
          <w:p>
            <w:r>
              <w:rPr>
                <w:rFonts w:ascii="Calibri" w:hAnsi="Calibri"/>
                <w:color w:val="000000"/>
                <w:sz w:val="20"/>
              </w:rPr>
              <w:t>Top 10 borrowers</w:t>
            </w:r>
          </w:p>
        </w:tc>
        <w:tc>
          <w:tcPr>
            <w:tcW w:type="dxa" w:w="2880"/>
          </w:tcPr>
          <w:p>
            <w:r>
              <w:rPr>
                <w:rFonts w:ascii="Calibri" w:hAnsi="Calibri"/>
                <w:color w:val="000000"/>
                <w:sz w:val="20"/>
              </w:rPr>
              <w:t>about 184.69</w:t>
            </w:r>
          </w:p>
        </w:tc>
        <w:tc>
          <w:tcPr>
            <w:tcW w:type="dxa" w:w="2880"/>
          </w:tcPr>
          <w:p>
            <w:r>
              <w:rPr>
                <w:rFonts w:ascii="Calibri" w:hAnsi="Calibri"/>
                <w:color w:val="000000"/>
                <w:sz w:val="20"/>
              </w:rPr>
              <w:t>about 45%</w:t>
            </w:r>
          </w:p>
        </w:tc>
      </w:tr>
      <w:tr>
        <w:tc>
          <w:tcPr>
            <w:tcW w:type="dxa" w:w="2880"/>
          </w:tcPr>
          <w:p>
            <w:r>
              <w:rPr>
                <w:rFonts w:ascii="Calibri" w:hAnsi="Calibri"/>
                <w:color w:val="000000"/>
                <w:sz w:val="20"/>
              </w:rPr>
              <w:t>Top 20 borrowers</w:t>
            </w:r>
          </w:p>
        </w:tc>
        <w:tc>
          <w:tcPr>
            <w:tcW w:type="dxa" w:w="2880"/>
          </w:tcPr>
          <w:p>
            <w:r>
              <w:rPr>
                <w:rFonts w:ascii="Calibri" w:hAnsi="Calibri"/>
                <w:color w:val="000000"/>
                <w:sz w:val="20"/>
              </w:rPr>
              <w:t>about 289.25</w:t>
            </w:r>
          </w:p>
        </w:tc>
        <w:tc>
          <w:tcPr>
            <w:tcW w:type="dxa" w:w="2880"/>
          </w:tcPr>
          <w:p>
            <w:r>
              <w:rPr>
                <w:rFonts w:ascii="Calibri" w:hAnsi="Calibri"/>
                <w:color w:val="000000"/>
                <w:sz w:val="20"/>
              </w:rPr>
              <w:t>about 71%</w:t>
            </w:r>
          </w:p>
        </w:tc>
      </w:tr>
    </w:tbl>
    <w:p/>
    <w:p>
      <w:r>
        <w:rPr>
          <w:rFonts w:ascii="Calibri" w:hAnsi="Calibri"/>
          <w:color w:val="000000"/>
        </w:rPr>
        <w:t>Seventy-one percent of the own book sits in twenty names, mostly trading and electricals enterprises that look like anchor-linked dealers. For a debt fund lending into this, the single-name and anchor concentration is the issue that matters most. It is partly structural to supply-chain financing, but it is a sharp contrast with the granular consumer books we have seen elsewhere, and it changes the nature of the risk from statistical to name-specific. Diligence has to go borrower by borrower on the top 20, understand the anchors behind them, and confirm there is no common end-obligor hiding behind several names.</w:t>
      </w:r>
    </w:p>
    <w:p>
      <w:r>
        <w:rPr>
          <w:rFonts w:ascii="Calibri" w:hAnsi="Calibri"/>
          <w:color w:val="000000"/>
        </w:rPr>
        <w:t>Liquidity at the asset level is helped by the short tenor of the book, most of it turns within months, which feeds the ALM point we want to build in diligence. The DNBS-4B structural-liquidity return for December 2025 is filed, which is a good compliance signal, but a full bucketed asset-liability statement was not shared at screening and we will build one.</w:t>
      </w:r>
    </w:p>
    <w:p>
      <w:pPr>
        <w:pBdr>
          <w:bottom w:val="single" w:sz="6" w:space="1" w:color="000000"/>
        </w:pBdr>
      </w:pPr>
    </w:p>
    <w:p>
      <w:pPr>
        <w:pStyle w:val="Heading2"/>
      </w:pPr>
      <w:r>
        <w:rPr>
          <w:rFonts w:ascii="Calibri" w:hAnsi="Calibri"/>
          <w:b/>
          <w:color w:val="000000"/>
          <w:sz w:val="24"/>
        </w:rPr>
        <w:t>Section 8 - Debt structure and funding</w:t>
      </w:r>
    </w:p>
    <w:p>
      <w:r>
        <w:rPr>
          <w:rFonts w:ascii="Calibri" w:hAnsi="Calibri"/>
          <w:color w:val="000000"/>
        </w:rPr>
        <w:t>The funding stack is the other half of the risk. Outstanding borrowings were ₹337.34 Cr across 50 facilities at 31 March 2026 (Annexure 9). The mix is unusual and it drives both the leverage read and the refinancing read.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Calibri" w:hAnsi="Calibri"/>
                <w:b/>
                <w:color w:val="000000"/>
                <w:sz w:val="20"/>
              </w:rPr>
              <w:t>Facility type</w:t>
            </w:r>
          </w:p>
        </w:tc>
        <w:tc>
          <w:tcPr>
            <w:tcW w:type="dxa" w:w="2160"/>
          </w:tcPr>
          <w:p>
            <w:r>
              <w:rPr>
                <w:rFonts w:ascii="Calibri" w:hAnsi="Calibri"/>
                <w:b/>
                <w:color w:val="000000"/>
                <w:sz w:val="20"/>
              </w:rPr>
              <w:t>Outstanding (₹ Cr)</w:t>
            </w:r>
          </w:p>
        </w:tc>
        <w:tc>
          <w:tcPr>
            <w:tcW w:type="dxa" w:w="2160"/>
          </w:tcPr>
          <w:p>
            <w:r>
              <w:rPr>
                <w:rFonts w:ascii="Calibri" w:hAnsi="Calibri"/>
                <w:b/>
                <w:color w:val="000000"/>
                <w:sz w:val="20"/>
              </w:rPr>
              <w:t>Share</w:t>
            </w:r>
          </w:p>
        </w:tc>
        <w:tc>
          <w:tcPr>
            <w:tcW w:type="dxa" w:w="2160"/>
          </w:tcPr>
          <w:p>
            <w:r>
              <w:rPr>
                <w:rFonts w:ascii="Calibri" w:hAnsi="Calibri"/>
                <w:b/>
                <w:color w:val="000000"/>
                <w:sz w:val="20"/>
              </w:rPr>
              <w:t>Notes</w:t>
            </w:r>
          </w:p>
        </w:tc>
      </w:tr>
      <w:tr>
        <w:tc>
          <w:tcPr>
            <w:tcW w:type="dxa" w:w="2160"/>
          </w:tcPr>
          <w:p>
            <w:r>
              <w:rPr>
                <w:rFonts w:ascii="Calibri" w:hAnsi="Calibri"/>
                <w:color w:val="000000"/>
                <w:sz w:val="20"/>
              </w:rPr>
              <w:t>Convertible notes (ALT Income Investments, ALMA Sunbird / Aquila)</w:t>
            </w:r>
          </w:p>
        </w:tc>
        <w:tc>
          <w:tcPr>
            <w:tcW w:type="dxa" w:w="2160"/>
          </w:tcPr>
          <w:p>
            <w:r>
              <w:rPr>
                <w:rFonts w:ascii="Calibri" w:hAnsi="Calibri"/>
                <w:color w:val="000000"/>
                <w:sz w:val="20"/>
              </w:rPr>
              <w:t>about 189.5</w:t>
            </w:r>
          </w:p>
        </w:tc>
        <w:tc>
          <w:tcPr>
            <w:tcW w:type="dxa" w:w="2160"/>
          </w:tcPr>
          <w:p>
            <w:r>
              <w:rPr>
                <w:rFonts w:ascii="Calibri" w:hAnsi="Calibri"/>
                <w:color w:val="000000"/>
                <w:sz w:val="20"/>
              </w:rPr>
              <w:t>about 56%</w:t>
            </w:r>
          </w:p>
        </w:tc>
        <w:tc>
          <w:tcPr>
            <w:tcW w:type="dxa" w:w="2160"/>
          </w:tcPr>
          <w:p>
            <w:r>
              <w:rPr>
                <w:rFonts w:ascii="Calibri" w:hAnsi="Calibri"/>
                <w:color w:val="000000"/>
                <w:sz w:val="20"/>
              </w:rPr>
              <w:t>36 to 72 month tenure, 14 to 17%, interest periodic plus bullet principal, convertible. Quasi-equity in character</w:t>
            </w:r>
          </w:p>
        </w:tc>
      </w:tr>
      <w:tr>
        <w:tc>
          <w:tcPr>
            <w:tcW w:type="dxa" w:w="2160"/>
          </w:tcPr>
          <w:p>
            <w:r>
              <w:rPr>
                <w:rFonts w:ascii="Calibri" w:hAnsi="Calibri"/>
                <w:color w:val="000000"/>
                <w:sz w:val="20"/>
              </w:rPr>
              <w:t>Inter-corporate deposits (NuCash, Mapletree, Krishna Developers, KS Amine, Monedo Corporate Services)</w:t>
            </w:r>
          </w:p>
        </w:tc>
        <w:tc>
          <w:tcPr>
            <w:tcW w:type="dxa" w:w="2160"/>
          </w:tcPr>
          <w:p>
            <w:r>
              <w:rPr>
                <w:rFonts w:ascii="Calibri" w:hAnsi="Calibri"/>
                <w:color w:val="000000"/>
                <w:sz w:val="20"/>
              </w:rPr>
              <w:t>about 60</w:t>
            </w:r>
          </w:p>
        </w:tc>
        <w:tc>
          <w:tcPr>
            <w:tcW w:type="dxa" w:w="2160"/>
          </w:tcPr>
          <w:p>
            <w:r>
              <w:rPr>
                <w:rFonts w:ascii="Calibri" w:hAnsi="Calibri"/>
                <w:color w:val="000000"/>
                <w:sz w:val="20"/>
              </w:rPr>
              <w:t>about 18%</w:t>
            </w:r>
          </w:p>
        </w:tc>
        <w:tc>
          <w:tcPr>
            <w:tcW w:type="dxa" w:w="2160"/>
          </w:tcPr>
          <w:p>
            <w:r>
              <w:rPr>
                <w:rFonts w:ascii="Calibri" w:hAnsi="Calibri"/>
                <w:color w:val="000000"/>
                <w:sz w:val="20"/>
              </w:rPr>
              <w:t>callable on about 1 month mutual notice, rollover-dependent; ₹21 Cr is related-party at 7%</w:t>
            </w:r>
          </w:p>
        </w:tc>
      </w:tr>
      <w:tr>
        <w:tc>
          <w:tcPr>
            <w:tcW w:type="dxa" w:w="2160"/>
          </w:tcPr>
          <w:p>
            <w:r>
              <w:rPr>
                <w:rFonts w:ascii="Calibri" w:hAnsi="Calibri"/>
                <w:color w:val="000000"/>
                <w:sz w:val="20"/>
              </w:rPr>
              <w:t>Term loans (MAS, Hinduja Leyland, Shriram, STCI, Kaleidofin, UC Inclusive, Vivifi and others)</w:t>
            </w:r>
          </w:p>
        </w:tc>
        <w:tc>
          <w:tcPr>
            <w:tcW w:type="dxa" w:w="2160"/>
          </w:tcPr>
          <w:p>
            <w:r>
              <w:rPr>
                <w:rFonts w:ascii="Calibri" w:hAnsi="Calibri"/>
                <w:color w:val="000000"/>
                <w:sz w:val="20"/>
              </w:rPr>
              <w:t>about 80</w:t>
            </w:r>
          </w:p>
        </w:tc>
        <w:tc>
          <w:tcPr>
            <w:tcW w:type="dxa" w:w="2160"/>
          </w:tcPr>
          <w:p>
            <w:r>
              <w:rPr>
                <w:rFonts w:ascii="Calibri" w:hAnsi="Calibri"/>
                <w:color w:val="000000"/>
                <w:sz w:val="20"/>
              </w:rPr>
              <w:t>about 24%</w:t>
            </w:r>
          </w:p>
        </w:tc>
        <w:tc>
          <w:tcPr>
            <w:tcW w:type="dxa" w:w="2160"/>
          </w:tcPr>
          <w:p>
            <w:r>
              <w:rPr>
                <w:rFonts w:ascii="Calibri" w:hAnsi="Calibri"/>
                <w:color w:val="000000"/>
                <w:sz w:val="20"/>
              </w:rPr>
              <w:t>6 to 36 month, 12 to 17%, cash collateral 5 to 10% plus book-debt cover 1.1 to 1.25x</w:t>
            </w:r>
          </w:p>
        </w:tc>
      </w:tr>
      <w:tr>
        <w:tc>
          <w:tcPr>
            <w:tcW w:type="dxa" w:w="2160"/>
          </w:tcPr>
          <w:p>
            <w:r>
              <w:rPr>
                <w:rFonts w:ascii="Calibri" w:hAnsi="Calibri"/>
                <w:color w:val="000000"/>
                <w:sz w:val="20"/>
              </w:rPr>
              <w:t>NCDs (Vardan Venus, Aquilon)</w:t>
            </w:r>
          </w:p>
        </w:tc>
        <w:tc>
          <w:tcPr>
            <w:tcW w:type="dxa" w:w="2160"/>
          </w:tcPr>
          <w:p>
            <w:r>
              <w:rPr>
                <w:rFonts w:ascii="Calibri" w:hAnsi="Calibri"/>
                <w:color w:val="000000"/>
                <w:sz w:val="20"/>
              </w:rPr>
              <w:t>about 7.5</w:t>
            </w:r>
          </w:p>
        </w:tc>
        <w:tc>
          <w:tcPr>
            <w:tcW w:type="dxa" w:w="2160"/>
          </w:tcPr>
          <w:p>
            <w:r>
              <w:rPr>
                <w:rFonts w:ascii="Calibri" w:hAnsi="Calibri"/>
                <w:color w:val="000000"/>
                <w:sz w:val="20"/>
              </w:rPr>
              <w:t>about 2%</w:t>
            </w:r>
          </w:p>
        </w:tc>
        <w:tc>
          <w:tcPr>
            <w:tcW w:type="dxa" w:w="2160"/>
          </w:tcPr>
          <w:p>
            <w:r>
              <w:rPr>
                <w:rFonts w:ascii="Calibri" w:hAnsi="Calibri"/>
                <w:color w:val="000000"/>
                <w:sz w:val="20"/>
              </w:rPr>
              <w:t>12 month, 17 to 18%</w:t>
            </w:r>
          </w:p>
        </w:tc>
      </w:tr>
    </w:tbl>
    <w:p/>
    <w:p>
      <w:r>
        <w:rPr>
          <w:rFonts w:ascii="Calibri" w:hAnsi="Calibri"/>
          <w:color w:val="000000"/>
        </w:rPr>
        <w:t>Two features stand out. First, more than half the debt is convertible notes from two foreign credit funds, ALT Income Investments (about ₹94.8 Cr, roughly 28% of debt) and the ALMA entities, Sunbird and Aquila (about ₹94.7 Cr, roughly 28%). Worth noting, the ALMA money is the Almavest fund, which Monedo can reasonably be described as an early India investment for. Because these notes are long-dated and convertible, they behave more like quasi-equity than ordinary debt. Treat them that way and leverage falls from the reported 3.22x to about 1.41x. That is the more honest picture of solvency, but it leaves the company heavily reliant on two related instruments from two funds, so we will want to read the conversion and put or call terms and any FX exposure closely.</w:t>
      </w:r>
    </w:p>
    <w:p>
      <w:r>
        <w:rPr>
          <w:rFonts w:ascii="Calibri" w:hAnsi="Calibri"/>
          <w:color w:val="000000"/>
        </w:rPr>
        <w:t>Second, the inter-corporate deposits, including the ₹21 Cr from the subsidiary, are short and callable on roughly a month's notice. That is cheap and flexible in good times and a rollover risk in bad ones. The term-loan book from regulated NBFC lenders is the most conventional and best-secured slice.</w:t>
      </w:r>
    </w:p>
    <w:p>
      <w:r>
        <w:rPr>
          <w:rFonts w:ascii="Calibri" w:hAnsi="Calibri"/>
          <w:color w:val="000000"/>
        </w:rPr>
        <w:t>So the headline is a diversified count of lenders (50 facilities) sitting on top of a concentrated set of instruments (top two funds about 56% of debt) and a layer of callable inter-corporate money. Our security and covenant suggestions in the recommendation are aimed squarely at this.</w:t>
      </w:r>
    </w:p>
    <w:p>
      <w:pPr>
        <w:pBdr>
          <w:bottom w:val="single" w:sz="6" w:space="1" w:color="000000"/>
        </w:pBdr>
      </w:pPr>
    </w:p>
    <w:p>
      <w:pPr>
        <w:pStyle w:val="Heading2"/>
      </w:pPr>
      <w:r>
        <w:rPr>
          <w:rFonts w:ascii="Calibri" w:hAnsi="Calibri"/>
          <w:b/>
          <w:color w:val="000000"/>
          <w:sz w:val="24"/>
        </w:rPr>
        <w:t>Section 9 - Compliance, rating and legal</w:t>
      </w:r>
    </w:p>
    <w:p>
      <w:r>
        <w:rPr>
          <w:rFonts w:ascii="Calibri" w:hAnsi="Calibri"/>
          <w:color w:val="000000"/>
        </w:rPr>
        <w:t>The company is RBI-listed as an NBFC and files its regulatory returns; the DNBS-4B for December 2025 is on file. It carries an external rating of IND BBB-/Stable from India Ratings (October 2025) on ₹100 Cr of facilities, which is a meaningful third-party validation that neither of our two reference deals had. FY24 and FY25 are audited (the copies shared are scanned). No legal or compliance red flags surfaced at screening. Items for diligence: the auditor's report and any CARO remarks read in full, statutory-dues discipline (GST, EPF, TDS), and the rating rationale and any covenants attached to the rated facilities.</w:t>
      </w:r>
    </w:p>
    <w:p>
      <w:pPr>
        <w:pBdr>
          <w:bottom w:val="single" w:sz="6" w:space="1" w:color="000000"/>
        </w:pBdr>
      </w:pPr>
    </w:p>
    <w:p>
      <w:pPr>
        <w:pStyle w:val="Heading2"/>
      </w:pPr>
      <w:r>
        <w:rPr>
          <w:rFonts w:ascii="Calibri" w:hAnsi="Calibri"/>
          <w:b/>
          <w:color w:val="000000"/>
          <w:sz w:val="24"/>
        </w:rPr>
        <w:t>Section 10 - NRA model and risk read</w:t>
      </w:r>
    </w:p>
    <w:p>
      <w:r>
        <w:rPr>
          <w:rFonts w:ascii="Calibri" w:hAnsi="Calibri"/>
          <w:color w:val="000000"/>
        </w:rPr>
        <w:t>We have not run the full NRA scoring file at screening, but on the framework's logic Monedo lands in the upper band. Profitability is positive, capital adequacy clears the floor, the book is clean and externally rated, the promoter is committed, and the sector (supply-chain and SME lending) carries lower regulatory-APR risk than the high-APR consumer-payday segment that dominates the risk discussion for digital consumer lenders. What pulls the score down, and what diligence has to settle, is the borrower concentration, the rising leverage and the convertible-note dependence, and the related-party circularity. On a provisional read this is a "proceed, structure for the concentration and funding" rather than a clean low-risk pass. We will finalise the NRA score once the diligence data is in.</w:t>
      </w:r>
    </w:p>
    <w:p>
      <w:pPr>
        <w:pBdr>
          <w:bottom w:val="single" w:sz="6" w:space="1" w:color="000000"/>
        </w:pBdr>
      </w:pPr>
    </w:p>
    <w:p>
      <w:pPr>
        <w:pStyle w:val="Heading2"/>
      </w:pPr>
      <w:r>
        <w:rPr>
          <w:rFonts w:ascii="Calibri" w:hAnsi="Calibri"/>
          <w:b/>
          <w:color w:val="000000"/>
          <w:sz w:val="24"/>
        </w:rPr>
        <w:t>Key flags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Calibri" w:hAnsi="Calibri"/>
                <w:b/>
                <w:color w:val="000000"/>
                <w:sz w:val="20"/>
              </w:rPr>
              <w:t>Flag</w:t>
            </w:r>
          </w:p>
        </w:tc>
        <w:tc>
          <w:tcPr>
            <w:tcW w:type="dxa" w:w="2160"/>
          </w:tcPr>
          <w:p>
            <w:r>
              <w:rPr>
                <w:rFonts w:ascii="Calibri" w:hAnsi="Calibri"/>
                <w:b/>
                <w:color w:val="000000"/>
                <w:sz w:val="20"/>
              </w:rPr>
              <w:t>Severity</w:t>
            </w:r>
          </w:p>
        </w:tc>
        <w:tc>
          <w:tcPr>
            <w:tcW w:type="dxa" w:w="2160"/>
          </w:tcPr>
          <w:p>
            <w:r>
              <w:rPr>
                <w:rFonts w:ascii="Calibri" w:hAnsi="Calibri"/>
                <w:b/>
                <w:color w:val="000000"/>
                <w:sz w:val="20"/>
              </w:rPr>
              <w:t>Section</w:t>
            </w:r>
          </w:p>
        </w:tc>
        <w:tc>
          <w:tcPr>
            <w:tcW w:type="dxa" w:w="2160"/>
          </w:tcPr>
          <w:p>
            <w:r>
              <w:rPr>
                <w:rFonts w:ascii="Calibri" w:hAnsi="Calibri"/>
                <w:b/>
                <w:color w:val="000000"/>
                <w:sz w:val="20"/>
              </w:rPr>
              <w:t>Detail</w:t>
            </w:r>
          </w:p>
        </w:tc>
      </w:tr>
      <w:tr>
        <w:tc>
          <w:tcPr>
            <w:tcW w:type="dxa" w:w="2160"/>
          </w:tcPr>
          <w:p>
            <w:r>
              <w:rPr>
                <w:rFonts w:ascii="Calibri" w:hAnsi="Calibri"/>
                <w:color w:val="000000"/>
                <w:sz w:val="20"/>
              </w:rPr>
              <w:t>Borrower concentration</w:t>
            </w:r>
          </w:p>
        </w:tc>
        <w:tc>
          <w:tcPr>
            <w:tcW w:type="dxa" w:w="2160"/>
          </w:tcPr>
          <w:p>
            <w:r>
              <w:rPr>
                <w:rFonts w:ascii="Calibri" w:hAnsi="Calibri"/>
                <w:color w:val="000000"/>
                <w:sz w:val="20"/>
              </w:rPr>
              <w:t>High</w:t>
            </w:r>
          </w:p>
        </w:tc>
        <w:tc>
          <w:tcPr>
            <w:tcW w:type="dxa" w:w="2160"/>
          </w:tcPr>
          <w:p>
            <w:r>
              <w:rPr>
                <w:rFonts w:ascii="Calibri" w:hAnsi="Calibri"/>
                <w:color w:val="000000"/>
                <w:sz w:val="20"/>
              </w:rPr>
              <w:t>7</w:t>
            </w:r>
          </w:p>
        </w:tc>
        <w:tc>
          <w:tcPr>
            <w:tcW w:type="dxa" w:w="2160"/>
          </w:tcPr>
          <w:p>
            <w:r>
              <w:rPr>
                <w:rFonts w:ascii="Calibri" w:hAnsi="Calibri"/>
                <w:color w:val="000000"/>
                <w:sz w:val="20"/>
              </w:rPr>
              <w:t>Top 20 borrowers about 71% of own book, largest about 5.5%. Structural to supply-chain lending but name-specific risk, the dominant issue</w:t>
            </w:r>
          </w:p>
        </w:tc>
      </w:tr>
      <w:tr>
        <w:tc>
          <w:tcPr>
            <w:tcW w:type="dxa" w:w="2160"/>
          </w:tcPr>
          <w:p>
            <w:r>
              <w:rPr>
                <w:rFonts w:ascii="Calibri" w:hAnsi="Calibri"/>
                <w:color w:val="000000"/>
                <w:sz w:val="20"/>
              </w:rPr>
              <w:t>Leverage rising</w:t>
            </w:r>
          </w:p>
        </w:tc>
        <w:tc>
          <w:tcPr>
            <w:tcW w:type="dxa" w:w="2160"/>
          </w:tcPr>
          <w:p>
            <w:r>
              <w:rPr>
                <w:rFonts w:ascii="Calibri" w:hAnsi="Calibri"/>
                <w:color w:val="000000"/>
                <w:sz w:val="20"/>
              </w:rPr>
              <w:t>High</w:t>
            </w:r>
          </w:p>
        </w:tc>
        <w:tc>
          <w:tcPr>
            <w:tcW w:type="dxa" w:w="2160"/>
          </w:tcPr>
          <w:p>
            <w:r>
              <w:rPr>
                <w:rFonts w:ascii="Calibri" w:hAnsi="Calibri"/>
                <w:color w:val="000000"/>
                <w:sz w:val="20"/>
              </w:rPr>
              <w:t>6, 8</w:t>
            </w:r>
          </w:p>
        </w:tc>
        <w:tc>
          <w:tcPr>
            <w:tcW w:type="dxa" w:w="2160"/>
          </w:tcPr>
          <w:p>
            <w:r>
              <w:rPr>
                <w:rFonts w:ascii="Calibri" w:hAnsi="Calibri"/>
                <w:color w:val="000000"/>
                <w:sz w:val="20"/>
              </w:rPr>
              <w:t>Debt / net worth 3.22x and climbing on the model's own projections, above a typical 3.0x cap. About 1.41x if convertible notes are treated as quasi-equity</w:t>
            </w:r>
          </w:p>
        </w:tc>
      </w:tr>
      <w:tr>
        <w:tc>
          <w:tcPr>
            <w:tcW w:type="dxa" w:w="2160"/>
          </w:tcPr>
          <w:p>
            <w:r>
              <w:rPr>
                <w:rFonts w:ascii="Calibri" w:hAnsi="Calibri"/>
                <w:color w:val="000000"/>
                <w:sz w:val="20"/>
              </w:rPr>
              <w:t>Funding concentration in two funds</w:t>
            </w:r>
          </w:p>
        </w:tc>
        <w:tc>
          <w:tcPr>
            <w:tcW w:type="dxa" w:w="2160"/>
          </w:tcPr>
          <w:p>
            <w:r>
              <w:rPr>
                <w:rFonts w:ascii="Calibri" w:hAnsi="Calibri"/>
                <w:color w:val="000000"/>
                <w:sz w:val="20"/>
              </w:rPr>
              <w:t>Medium</w:t>
            </w:r>
          </w:p>
        </w:tc>
        <w:tc>
          <w:tcPr>
            <w:tcW w:type="dxa" w:w="2160"/>
          </w:tcPr>
          <w:p>
            <w:r>
              <w:rPr>
                <w:rFonts w:ascii="Calibri" w:hAnsi="Calibri"/>
                <w:color w:val="000000"/>
                <w:sz w:val="20"/>
              </w:rPr>
              <w:t>8</w:t>
            </w:r>
          </w:p>
        </w:tc>
        <w:tc>
          <w:tcPr>
            <w:tcW w:type="dxa" w:w="2160"/>
          </w:tcPr>
          <w:p>
            <w:r>
              <w:rPr>
                <w:rFonts w:ascii="Calibri" w:hAnsi="Calibri"/>
                <w:color w:val="000000"/>
                <w:sz w:val="20"/>
              </w:rPr>
              <w:t>ALT Income and ALMA convertible notes about 56% of total debt; conversion, put or call and FX terms to be read</w:t>
            </w:r>
          </w:p>
        </w:tc>
      </w:tr>
      <w:tr>
        <w:tc>
          <w:tcPr>
            <w:tcW w:type="dxa" w:w="2160"/>
          </w:tcPr>
          <w:p>
            <w:r>
              <w:rPr>
                <w:rFonts w:ascii="Calibri" w:hAnsi="Calibri"/>
                <w:color w:val="000000"/>
                <w:sz w:val="20"/>
              </w:rPr>
              <w:t>Related-party circularity</w:t>
            </w:r>
          </w:p>
        </w:tc>
        <w:tc>
          <w:tcPr>
            <w:tcW w:type="dxa" w:w="2160"/>
          </w:tcPr>
          <w:p>
            <w:r>
              <w:rPr>
                <w:rFonts w:ascii="Calibri" w:hAnsi="Calibri"/>
                <w:color w:val="000000"/>
                <w:sz w:val="20"/>
              </w:rPr>
              <w:t>Medium</w:t>
            </w:r>
          </w:p>
        </w:tc>
        <w:tc>
          <w:tcPr>
            <w:tcW w:type="dxa" w:w="2160"/>
          </w:tcPr>
          <w:p>
            <w:r>
              <w:rPr>
                <w:rFonts w:ascii="Calibri" w:hAnsi="Calibri"/>
                <w:color w:val="000000"/>
                <w:sz w:val="20"/>
              </w:rPr>
              <w:t>5</w:t>
            </w:r>
          </w:p>
        </w:tc>
        <w:tc>
          <w:tcPr>
            <w:tcW w:type="dxa" w:w="2160"/>
          </w:tcPr>
          <w:p>
            <w:r>
              <w:rPr>
                <w:rFonts w:ascii="Calibri" w:hAnsi="Calibri"/>
                <w:color w:val="000000"/>
                <w:sz w:val="20"/>
              </w:rPr>
              <w:t>₹20.09 Cr invested in subsidiary Monedo Corporate Services, which lends ₹21 Cr back at 7%; plus the Mihuru travel link</w:t>
            </w:r>
          </w:p>
        </w:tc>
      </w:tr>
      <w:tr>
        <w:tc>
          <w:tcPr>
            <w:tcW w:type="dxa" w:w="2160"/>
          </w:tcPr>
          <w:p>
            <w:r>
              <w:rPr>
                <w:rFonts w:ascii="Calibri" w:hAnsi="Calibri"/>
                <w:color w:val="000000"/>
                <w:sz w:val="20"/>
              </w:rPr>
              <w:t>Zero delinquency to be proven genuine</w:t>
            </w:r>
          </w:p>
        </w:tc>
        <w:tc>
          <w:tcPr>
            <w:tcW w:type="dxa" w:w="2160"/>
          </w:tcPr>
          <w:p>
            <w:r>
              <w:rPr>
                <w:rFonts w:ascii="Calibri" w:hAnsi="Calibri"/>
                <w:color w:val="000000"/>
                <w:sz w:val="20"/>
              </w:rPr>
              <w:t>Medium</w:t>
            </w:r>
          </w:p>
        </w:tc>
        <w:tc>
          <w:tcPr>
            <w:tcW w:type="dxa" w:w="2160"/>
          </w:tcPr>
          <w:p>
            <w:r>
              <w:rPr>
                <w:rFonts w:ascii="Calibri" w:hAnsi="Calibri"/>
                <w:color w:val="000000"/>
                <w:sz w:val="20"/>
              </w:rPr>
              <w:t>7</w:t>
            </w:r>
          </w:p>
        </w:tc>
        <w:tc>
          <w:tcPr>
            <w:tcW w:type="dxa" w:w="2160"/>
          </w:tcPr>
          <w:p>
            <w:r>
              <w:rPr>
                <w:rFonts w:ascii="Calibri" w:hAnsi="Calibri"/>
                <w:color w:val="000000"/>
                <w:sz w:val="20"/>
              </w:rPr>
              <w:t>A book at about 100% current is unusual; confirm no rollovers or ever-greening at loan level</w:t>
            </w:r>
          </w:p>
        </w:tc>
      </w:tr>
      <w:tr>
        <w:tc>
          <w:tcPr>
            <w:tcW w:type="dxa" w:w="2160"/>
          </w:tcPr>
          <w:p>
            <w:r>
              <w:rPr>
                <w:rFonts w:ascii="Calibri" w:hAnsi="Calibri"/>
                <w:color w:val="000000"/>
                <w:sz w:val="20"/>
              </w:rPr>
              <w:t>FY25 profit flattered by DTA</w:t>
            </w:r>
          </w:p>
        </w:tc>
        <w:tc>
          <w:tcPr>
            <w:tcW w:type="dxa" w:w="2160"/>
          </w:tcPr>
          <w:p>
            <w:r>
              <w:rPr>
                <w:rFonts w:ascii="Calibri" w:hAnsi="Calibri"/>
                <w:color w:val="000000"/>
                <w:sz w:val="20"/>
              </w:rPr>
              <w:t>Low</w:t>
            </w:r>
          </w:p>
        </w:tc>
        <w:tc>
          <w:tcPr>
            <w:tcW w:type="dxa" w:w="2160"/>
          </w:tcPr>
          <w:p>
            <w:r>
              <w:rPr>
                <w:rFonts w:ascii="Calibri" w:hAnsi="Calibri"/>
                <w:color w:val="000000"/>
                <w:sz w:val="20"/>
              </w:rPr>
              <w:t>6</w:t>
            </w:r>
          </w:p>
        </w:tc>
        <w:tc>
          <w:tcPr>
            <w:tcW w:type="dxa" w:w="2160"/>
          </w:tcPr>
          <w:p>
            <w:r>
              <w:rPr>
                <w:rFonts w:ascii="Calibri" w:hAnsi="Calibri"/>
                <w:color w:val="000000"/>
                <w:sz w:val="20"/>
              </w:rPr>
              <w:t>₹8.57 Cr deferred-tax credit lifts FY25 PAT above PBT; FY26 clean PAT ₹16.26 Cr is the better guide</w:t>
            </w:r>
          </w:p>
        </w:tc>
      </w:tr>
      <w:tr>
        <w:tc>
          <w:tcPr>
            <w:tcW w:type="dxa" w:w="2160"/>
          </w:tcPr>
          <w:p>
            <w:r>
              <w:rPr>
                <w:rFonts w:ascii="Calibri" w:hAnsi="Calibri"/>
                <w:color w:val="000000"/>
                <w:sz w:val="20"/>
              </w:rPr>
              <w:t>Key-person dependence</w:t>
            </w:r>
          </w:p>
        </w:tc>
        <w:tc>
          <w:tcPr>
            <w:tcW w:type="dxa" w:w="2160"/>
          </w:tcPr>
          <w:p>
            <w:r>
              <w:rPr>
                <w:rFonts w:ascii="Calibri" w:hAnsi="Calibri"/>
                <w:color w:val="000000"/>
                <w:sz w:val="20"/>
              </w:rPr>
              <w:t>Low</w:t>
            </w:r>
          </w:p>
        </w:tc>
        <w:tc>
          <w:tcPr>
            <w:tcW w:type="dxa" w:w="2160"/>
          </w:tcPr>
          <w:p>
            <w:r>
              <w:rPr>
                <w:rFonts w:ascii="Calibri" w:hAnsi="Calibri"/>
                <w:color w:val="000000"/>
                <w:sz w:val="20"/>
              </w:rPr>
              <w:t>4</w:t>
            </w:r>
          </w:p>
        </w:tc>
        <w:tc>
          <w:tcPr>
            <w:tcW w:type="dxa" w:w="2160"/>
          </w:tcPr>
          <w:p>
            <w:r>
              <w:rPr>
                <w:rFonts w:ascii="Calibri" w:hAnsi="Calibri"/>
                <w:color w:val="000000"/>
                <w:sz w:val="20"/>
              </w:rPr>
              <w:t>Promoter is about 91% owner and CEO; headcount down to 44; team depth to be checked</w:t>
            </w:r>
          </w:p>
        </w:tc>
      </w:tr>
      <w:tr>
        <w:tc>
          <w:tcPr>
            <w:tcW w:type="dxa" w:w="2160"/>
          </w:tcPr>
          <w:p>
            <w:r>
              <w:rPr>
                <w:rFonts w:ascii="Calibri" w:hAnsi="Calibri"/>
                <w:color w:val="000000"/>
                <w:sz w:val="20"/>
              </w:rPr>
              <w:t>ALM not yet built</w:t>
            </w:r>
          </w:p>
        </w:tc>
        <w:tc>
          <w:tcPr>
            <w:tcW w:type="dxa" w:w="2160"/>
          </w:tcPr>
          <w:p>
            <w:r>
              <w:rPr>
                <w:rFonts w:ascii="Calibri" w:hAnsi="Calibri"/>
                <w:color w:val="000000"/>
                <w:sz w:val="20"/>
              </w:rPr>
              <w:t>Low</w:t>
            </w:r>
          </w:p>
        </w:tc>
        <w:tc>
          <w:tcPr>
            <w:tcW w:type="dxa" w:w="2160"/>
          </w:tcPr>
          <w:p>
            <w:r>
              <w:rPr>
                <w:rFonts w:ascii="Calibri" w:hAnsi="Calibri"/>
                <w:color w:val="000000"/>
                <w:sz w:val="20"/>
              </w:rPr>
              <w:t>2, 7</w:t>
            </w:r>
          </w:p>
        </w:tc>
        <w:tc>
          <w:tcPr>
            <w:tcW w:type="dxa" w:w="2160"/>
          </w:tcPr>
          <w:p>
            <w:r>
              <w:rPr>
                <w:rFonts w:ascii="Calibri" w:hAnsi="Calibri"/>
                <w:color w:val="000000"/>
                <w:sz w:val="20"/>
              </w:rPr>
              <w:t>DNBS-4B filed but a full bucketed ALM to be constructed in DD</w:t>
            </w:r>
          </w:p>
        </w:tc>
      </w:tr>
    </w:tbl>
    <w:p/>
    <w:p>
      <w:pPr>
        <w:pBdr>
          <w:bottom w:val="single" w:sz="6" w:space="1" w:color="000000"/>
        </w:pBdr>
      </w:pPr>
    </w:p>
    <w:p>
      <w:pPr>
        <w:pStyle w:val="Heading2"/>
      </w:pPr>
      <w:r>
        <w:rPr>
          <w:rFonts w:ascii="Calibri" w:hAnsi="Calibri"/>
          <w:b/>
          <w:color w:val="000000"/>
          <w:sz w:val="24"/>
        </w:rPr>
        <w:t>Recommendation</w:t>
      </w:r>
    </w:p>
    <w:p>
      <w:r>
        <w:rPr>
          <w:rFonts w:ascii="Calibri" w:hAnsi="Calibri"/>
          <w:color w:val="000000"/>
        </w:rPr>
        <w:t>We shall proceed with due diligence.</w:t>
      </w:r>
    </w:p>
    <w:p>
      <w:r>
        <w:rPr>
          <w:rFonts w:ascii="Calibri" w:hAnsi="Calibri"/>
          <w:color w:val="000000"/>
        </w:rPr>
        <w:t>Monedo is an investable-looking credit at this stage. It is a profitable, externally rated NBFC with a clean book, a committed promoter putting in his own equity, and a short, self-liquidating supply-chain portfolio funded by a wide set of lenders. The case to proceed rests on that. The decision will be made on two issues, and our diligence and structure are built around them: how concentrated the book really is once we look behind the top twenty names and their anchors, and how durable the funding is given that leverage is rising and more than half the debt is convertible notes from two funds. Neither is a reason to stop now, both are reasons to structure carefully.</w:t>
      </w:r>
    </w:p>
    <w:p>
      <w:r>
        <w:rPr>
          <w:rFonts w:ascii="Calibri" w:hAnsi="Calibri"/>
          <w:color w:val="000000"/>
        </w:rPr>
        <w:t>Strengths</w:t>
      </w:r>
    </w:p>
    <w:p>
      <w:pPr>
        <w:pStyle w:val="ListBullet"/>
      </w:pPr>
      <w:r>
        <w:rPr>
          <w:rFonts w:ascii="Calibri" w:hAnsi="Calibri"/>
          <w:color w:val="000000"/>
        </w:rPr>
        <w:t>Profitable and rated. FY26 PBT ₹18.34 Cr and clean PAT ₹16.26 Cr, ROA about 3%, ROE about 16%, with an external IND BBB-/Stable rating from India Ratings (Oct 2025).</w:t>
      </w:r>
    </w:p>
    <w:p>
      <w:pPr>
        <w:pStyle w:val="ListBullet"/>
      </w:pPr>
      <w:r>
        <w:rPr>
          <w:rFonts w:ascii="Calibri" w:hAnsi="Calibri"/>
          <w:color w:val="000000"/>
        </w:rPr>
        <w:t>Clean asset quality. About 100% of the ₹434.0 Cr AUM current at Mar 2026, collection efficiency about 100% monthly, negligible historical write-offs.</w:t>
      </w:r>
    </w:p>
    <w:p>
      <w:pPr>
        <w:pStyle w:val="ListBullet"/>
      </w:pPr>
      <w:r>
        <w:rPr>
          <w:rFonts w:ascii="Calibri" w:hAnsi="Calibri"/>
          <w:color w:val="000000"/>
        </w:rPr>
        <w:t>Committed promoter. About 91% held by Mr. Ashish Kohli, who infused ₹12.93 Cr (Aug 2025) and ₹10 Cr (Feb 2026); net worth up to ₹104.8 Cr.</w:t>
      </w:r>
    </w:p>
    <w:p>
      <w:pPr>
        <w:pStyle w:val="ListBullet"/>
      </w:pPr>
      <w:r>
        <w:rPr>
          <w:rFonts w:ascii="Calibri" w:hAnsi="Calibri"/>
          <w:color w:val="000000"/>
        </w:rPr>
        <w:t>Self-liquidating, short-tenure book that supports liquidity and asset-liability matching, plus optional co-lending capacity now live with Kaleidofin.</w:t>
      </w:r>
    </w:p>
    <w:p>
      <w:pPr>
        <w:pStyle w:val="ListBullet"/>
      </w:pPr>
      <w:r>
        <w:rPr>
          <w:rFonts w:ascii="Calibri" w:hAnsi="Calibri"/>
          <w:color w:val="000000"/>
        </w:rPr>
        <w:t>Capital adequacy at about 21%, comfortably above the 15% RBI floor.</w:t>
      </w:r>
    </w:p>
    <w:p>
      <w:r>
        <w:rPr>
          <w:rFonts w:ascii="Calibri" w:hAnsi="Calibri"/>
          <w:color w:val="000000"/>
        </w:rPr>
        <w:t>Weaknesses</w:t>
      </w:r>
    </w:p>
    <w:p>
      <w:pPr>
        <w:pStyle w:val="ListBullet"/>
      </w:pPr>
      <w:r>
        <w:rPr>
          <w:rFonts w:ascii="Calibri" w:hAnsi="Calibri"/>
          <w:color w:val="000000"/>
        </w:rPr>
        <w:t>High borrower concentration, top 20 about 71% of own book, against the granular books typical of digital consumer lenders. This is the dominant risk.</w:t>
      </w:r>
    </w:p>
    <w:p>
      <w:pPr>
        <w:pStyle w:val="ListBullet"/>
      </w:pPr>
      <w:r>
        <w:rPr>
          <w:rFonts w:ascii="Calibri" w:hAnsi="Calibri"/>
          <w:color w:val="000000"/>
        </w:rPr>
        <w:t>Rising leverage, debt / net worth 3.22x and drifting up on the company's own projections, with CRAR trending down from 69% to 21% over three years.</w:t>
      </w:r>
    </w:p>
    <w:p>
      <w:pPr>
        <w:pStyle w:val="ListBullet"/>
      </w:pPr>
      <w:r>
        <w:rPr>
          <w:rFonts w:ascii="Calibri" w:hAnsi="Calibri"/>
          <w:color w:val="000000"/>
        </w:rPr>
        <w:t>Funding leans on two foreign-fund convertible-note programmes (about 56% of debt) and a layer of callable inter-corporate deposits, including a related-party ICD.</w:t>
      </w:r>
    </w:p>
    <w:p>
      <w:pPr>
        <w:pStyle w:val="ListBullet"/>
      </w:pPr>
      <w:r>
        <w:rPr>
          <w:rFonts w:ascii="Calibri" w:hAnsi="Calibri"/>
          <w:color w:val="000000"/>
        </w:rPr>
        <w:t>Related-party circularity between the NBFC and its subsidiary, and a connected travel-fintech, not yet traced to source.</w:t>
      </w:r>
    </w:p>
    <w:p>
      <w:pPr>
        <w:pStyle w:val="ListBullet"/>
      </w:pPr>
      <w:r>
        <w:rPr>
          <w:rFonts w:ascii="Calibri" w:hAnsi="Calibri"/>
          <w:color w:val="000000"/>
        </w:rPr>
        <w:t>FY25 profit flattered by a one-off deferred-tax credit; underlying margins are thin and finance cost is rising fast.</w:t>
      </w:r>
    </w:p>
    <w:p>
      <w:r>
        <w:rPr>
          <w:rFonts w:ascii="Calibri" w:hAnsi="Calibri"/>
          <w:color w:val="000000"/>
        </w:rPr>
        <w:t>Areas for further deep diligence</w:t>
      </w:r>
    </w:p>
    <w:p>
      <w:pPr>
        <w:pStyle w:val="ListBullet"/>
      </w:pPr>
      <w:r>
        <w:rPr>
          <w:rFonts w:ascii="Calibri" w:hAnsi="Calibri"/>
          <w:color w:val="000000"/>
        </w:rPr>
        <w:t>Top-20 borrowers name by name: the anchors behind them, sector spread, and whether several names share a common end-obligor. Single-name and anchor exposure limits.</w:t>
      </w:r>
    </w:p>
    <w:p>
      <w:pPr>
        <w:pStyle w:val="ListBullet"/>
      </w:pPr>
      <w:r>
        <w:rPr>
          <w:rFonts w:ascii="Calibri" w:hAnsi="Calibri"/>
          <w:color w:val="000000"/>
        </w:rPr>
        <w:t>Loan-level cohort repayment and overdue ageing, to confirm the near-zero delinquency is genuine and not rollover-driven.</w:t>
      </w:r>
    </w:p>
    <w:p>
      <w:pPr>
        <w:pStyle w:val="ListBullet"/>
      </w:pPr>
      <w:r>
        <w:rPr>
          <w:rFonts w:ascii="Calibri" w:hAnsi="Calibri"/>
          <w:color w:val="000000"/>
        </w:rPr>
        <w:t>The convertible notes (ALT Income, ALMA / Almavest): conversion terms, put or call options, ranking, and any currency exposure.</w:t>
      </w:r>
    </w:p>
    <w:p>
      <w:pPr>
        <w:pStyle w:val="ListBullet"/>
      </w:pPr>
      <w:r>
        <w:rPr>
          <w:rFonts w:ascii="Calibri" w:hAnsi="Calibri"/>
          <w:color w:val="000000"/>
        </w:rPr>
        <w:t>The subsidiary and related-party flows (Monedo Corporate Services ICD, Mihuru commissions): purpose, pricing, and whether any of it props the reported numbers.</w:t>
      </w:r>
    </w:p>
    <w:p>
      <w:pPr>
        <w:pStyle w:val="ListBullet"/>
      </w:pPr>
      <w:r>
        <w:rPr>
          <w:rFonts w:ascii="Calibri" w:hAnsi="Calibri"/>
          <w:color w:val="000000"/>
        </w:rPr>
        <w:t>A full bucketed ALM, the rating rationale and covenants on the rated facilities, the audited statements and CARO remarks, and statutory-dues discipline.</w:t>
      </w:r>
    </w:p>
    <w:p>
      <w:pPr>
        <w:pStyle w:val="ListBullet"/>
      </w:pPr>
      <w:r>
        <w:rPr>
          <w:rFonts w:ascii="Calibri" w:hAnsi="Calibri"/>
          <w:color w:val="000000"/>
        </w:rPr>
        <w:t>Progress and likelihood of the planned 2026 equity round, given its importance to capital and leverage.</w:t>
      </w:r>
    </w:p>
    <w:p>
      <w:r>
        <w:rPr>
          <w:rFonts w:ascii="Calibri" w:hAnsi="Calibri"/>
          <w:color w:val="000000"/>
        </w:rPr>
        <w:t>Suggested structure or mitigants</w:t>
      </w:r>
    </w:p>
    <w:p>
      <w:pPr>
        <w:pStyle w:val="ListBullet"/>
      </w:pPr>
      <w:r>
        <w:rPr>
          <w:rFonts w:ascii="Calibri" w:hAnsi="Calibri"/>
          <w:color w:val="000000"/>
        </w:rPr>
        <w:t>Single-borrower and anchor-group exposure covenants, capping concentration as the book grows.</w:t>
      </w:r>
    </w:p>
    <w:p>
      <w:pPr>
        <w:pStyle w:val="ListBullet"/>
      </w:pPr>
      <w:r>
        <w:rPr>
          <w:rFonts w:ascii="Calibri" w:hAnsi="Calibri"/>
          <w:color w:val="000000"/>
        </w:rPr>
        <w:t>A leverage covenant (debt to tangible net worth) and a CRAR floor above the regulatory minimum, tested monthly.</w:t>
      </w:r>
    </w:p>
    <w:p>
      <w:pPr>
        <w:pStyle w:val="ListBullet"/>
      </w:pPr>
      <w:r>
        <w:rPr>
          <w:rFonts w:ascii="Calibri" w:hAnsi="Calibri"/>
          <w:color w:val="000000"/>
        </w:rPr>
        <w:t>An asset-quality covenant on the lines we use elsewhere, PAR 90 nil or fully provided, or a composite cap on PAR-plus-write-offs over trailing disbursement.</w:t>
      </w:r>
    </w:p>
    <w:p>
      <w:pPr>
        <w:pStyle w:val="ListBullet"/>
      </w:pPr>
      <w:r>
        <w:rPr>
          <w:rFonts w:ascii="Calibri" w:hAnsi="Calibri"/>
          <w:color w:val="000000"/>
        </w:rPr>
        <w:t>Exclusive charge on identified current receivables at 1.15 to 1.25x, with receivables kept to DPD not over 30 days, perfected within 30 days.</w:t>
      </w:r>
    </w:p>
    <w:p>
      <w:pPr>
        <w:pStyle w:val="ListBullet"/>
      </w:pPr>
      <w:r>
        <w:rPr>
          <w:rFonts w:ascii="Calibri" w:hAnsi="Calibri"/>
          <w:color w:val="000000"/>
        </w:rPr>
        <w:t>Subordination of related-party and promoter debt, including the subsidiary ICD, to our facility.</w:t>
      </w:r>
    </w:p>
    <w:p>
      <w:pPr>
        <w:pStyle w:val="ListBullet"/>
      </w:pPr>
      <w:r>
        <w:rPr>
          <w:rFonts w:ascii="Calibri" w:hAnsi="Calibri"/>
          <w:color w:val="000000"/>
        </w:rPr>
        <w:t>Visibility and, if possible, a milestone on the planned equity round.</w:t>
      </w:r>
    </w:p>
    <w:p>
      <w:pPr>
        <w:pBdr>
          <w:bottom w:val="single" w:sz="6" w:space="1" w:color="000000"/>
        </w:pBdr>
      </w:pPr>
    </w:p>
    <w:p>
      <w:pPr>
        <w:pStyle w:val="Heading2"/>
      </w:pPr>
      <w:r>
        <w:rPr>
          <w:rFonts w:ascii="Calibri" w:hAnsi="Calibri"/>
          <w:b/>
          <w:color w:val="000000"/>
          <w:sz w:val="24"/>
        </w:rPr>
        <w:t>Data sources used in this note</w:t>
      </w:r>
    </w:p>
    <w:p>
      <w:pPr>
        <w:pStyle w:val="ListBullet"/>
      </w:pPr>
      <w:r>
        <w:rPr>
          <w:rFonts w:ascii="Calibri" w:hAnsi="Calibri"/>
          <w:color w:val="000000"/>
        </w:rPr>
        <w:t>Brief about Monedo (company profile).</w:t>
      </w:r>
    </w:p>
    <w:p>
      <w:pPr>
        <w:pStyle w:val="ListBullet"/>
      </w:pPr>
      <w:r>
        <w:rPr>
          <w:rFonts w:ascii="Calibri" w:hAnsi="Calibri"/>
          <w:color w:val="000000"/>
        </w:rPr>
        <w:t>Annexure 12, financial model (FY22 to FY25 audited actuals, FY26 actuals to Mar 2026, P&amp;L, balance sheet, key ratios).</w:t>
      </w:r>
    </w:p>
    <w:p>
      <w:pPr>
        <w:pStyle w:val="ListBullet"/>
      </w:pPr>
      <w:r>
        <w:rPr>
          <w:rFonts w:ascii="Calibri" w:hAnsi="Calibri"/>
          <w:color w:val="000000"/>
        </w:rPr>
        <w:t>Annexure 4, portfolio cuts and PAR (own book and co-lending), Mar 2026.</w:t>
      </w:r>
    </w:p>
    <w:p>
      <w:pPr>
        <w:pStyle w:val="ListBullet"/>
      </w:pPr>
      <w:r>
        <w:rPr>
          <w:rFonts w:ascii="Calibri" w:hAnsi="Calibri"/>
          <w:color w:val="000000"/>
        </w:rPr>
        <w:t>Annexure 6, collection efficiency to 31 Mar 2026.</w:t>
      </w:r>
    </w:p>
    <w:p>
      <w:pPr>
        <w:pStyle w:val="ListBullet"/>
      </w:pPr>
      <w:r>
        <w:rPr>
          <w:rFonts w:ascii="Calibri" w:hAnsi="Calibri"/>
          <w:color w:val="000000"/>
        </w:rPr>
        <w:t>Annexure 9, borrowing profile as on 31 Mar 2026.</w:t>
      </w:r>
    </w:p>
    <w:p>
      <w:pPr>
        <w:pStyle w:val="ListBullet"/>
      </w:pPr>
      <w:r>
        <w:rPr>
          <w:rFonts w:ascii="Calibri" w:hAnsi="Calibri"/>
          <w:color w:val="000000"/>
        </w:rPr>
        <w:t>Annexure 16, top 20 borrowers as on Mar 2026.</w:t>
      </w:r>
    </w:p>
    <w:p>
      <w:pPr>
        <w:pStyle w:val="ListBullet"/>
      </w:pPr>
      <w:r>
        <w:rPr>
          <w:rFonts w:ascii="Calibri" w:hAnsi="Calibri"/>
          <w:color w:val="000000"/>
        </w:rPr>
        <w:t>Annexure 3, shareholding, and Annexure 2, equity infusion.</w:t>
      </w:r>
    </w:p>
    <w:p>
      <w:pPr>
        <w:pStyle w:val="ListBullet"/>
      </w:pPr>
      <w:r>
        <w:rPr>
          <w:rFonts w:ascii="Calibri" w:hAnsi="Calibri"/>
          <w:color w:val="000000"/>
        </w:rPr>
        <w:t>Annexure 14, related-party transactions.</w:t>
      </w:r>
    </w:p>
    <w:p>
      <w:pPr>
        <w:pStyle w:val="ListBullet"/>
      </w:pPr>
      <w:r>
        <w:rPr>
          <w:rFonts w:ascii="Calibri" w:hAnsi="Calibri"/>
          <w:color w:val="000000"/>
        </w:rPr>
        <w:t>Annexure 15, co-lending agreement with Kaleidofin Capital.</w:t>
      </w:r>
    </w:p>
    <w:p>
      <w:pPr>
        <w:pStyle w:val="ListBullet"/>
      </w:pPr>
      <w:r>
        <w:rPr>
          <w:rFonts w:ascii="Calibri" w:hAnsi="Calibri"/>
          <w:color w:val="000000"/>
        </w:rPr>
        <w:t>Annexure 5, India Ratings rating letter (Oct 2025).</w:t>
      </w:r>
    </w:p>
    <w:p>
      <w:pPr>
        <w:pStyle w:val="ListBullet"/>
      </w:pPr>
      <w:r>
        <w:rPr>
          <w:rFonts w:ascii="Calibri" w:hAnsi="Calibri"/>
          <w:color w:val="000000"/>
        </w:rPr>
        <w:t>Annexure 10, operational details, and Annexure 11, organisation chart.</w:t>
      </w:r>
    </w:p>
    <w:p>
      <w:pPr>
        <w:pStyle w:val="ListBullet"/>
      </w:pPr>
      <w:r>
        <w:rPr>
          <w:rFonts w:ascii="Calibri" w:hAnsi="Calibri"/>
          <w:color w:val="000000"/>
        </w:rPr>
        <w:t>Annexure 17, DNBS-4B regulatory return (Dec 2025).</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000000"/>
        <w:sz w:val="16"/>
      </w:rPr>
      <w:t>Nandan Fund, Confidential. Monedo Financial Services Private Limited. Initial Screening. 09 June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