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left"/>
      </w:pPr>
      <w:r>
        <w:rPr>
          <w:rFonts w:ascii="Arial" w:cs="Arial" w:eastAsia="Arial" w:hAnsi="Arial"/>
          <w:b/>
          <w:bCs/>
          <w:color w:val="1F3864"/>
          <w:sz w:val="48"/>
          <w:szCs w:val="48"/>
        </w:rPr>
        <w:t xml:space="preserve">Executive Summary</w:t>
      </w:r>
    </w:p>
    <w:p>
      <w:pPr>
        <w:spacing w:after="60" w:before="0"/>
      </w:pPr>
      <w:r>
        <w:rPr>
          <w:rFonts w:ascii="Arial" w:cs="Arial" w:eastAsia="Arial" w:hAnsi="Arial"/>
          <w:i/>
          <w:iCs/>
          <w:color w:val="6B6B6B"/>
          <w:sz w:val="22"/>
          <w:szCs w:val="22"/>
        </w:rPr>
        <w:t xml:space="preserve">Telecom Customer Churn — Findings, Risk Assessment &amp; Retention Strategy</w:t>
      </w:r>
    </w:p>
    <w:p>
      <w:pPr>
        <w:spacing w:after="280" w:before="0"/>
      </w:pPr>
      <w:r>
        <w:rPr>
          <w:rFonts w:ascii="Arial" w:cs="Arial" w:eastAsia="Arial" w:hAnsi="Arial"/>
          <w:color w:val="6B6B6B"/>
          <w:sz w:val="19"/>
          <w:szCs w:val="19"/>
        </w:rPr>
        <w:t xml:space="preserve">Prepared by: </w:t>
      </w:r>
      <w:r>
        <w:rPr>
          <w:rFonts w:ascii="Arial" w:cs="Arial" w:eastAsia="Arial" w:hAnsi="Arial"/>
          <w:b/>
          <w:bCs/>
          <w:color w:val="2C5F9E"/>
          <w:sz w:val="19"/>
          <w:szCs w:val="19"/>
        </w:rPr>
        <w:t xml:space="preserve">[Your Name]</w:t>
      </w:r>
      <w:r>
        <w:rPr>
          <w:rFonts w:ascii="Arial" w:cs="Arial" w:eastAsia="Arial" w:hAnsi="Arial"/>
          <w:color w:val="6B6B6B"/>
          <w:sz w:val="19"/>
          <w:szCs w:val="19"/>
        </w:rPr>
        <w:t xml:space="preserve">     |     </w:t>
      </w:r>
      <w:r>
        <w:rPr>
          <w:rFonts w:ascii="Arial" w:cs="Arial" w:eastAsia="Arial" w:hAnsi="Arial"/>
          <w:color w:val="6B6B6B"/>
          <w:sz w:val="19"/>
          <w:szCs w:val="19"/>
        </w:rPr>
        <w:t xml:space="preserve">Dataset: Telecom Customer Records (6,418 customers)     |     </w:t>
      </w:r>
      <w:r>
        <w:rPr>
          <w:rFonts w:ascii="Arial" w:cs="Arial" w:eastAsia="Arial" w:hAnsi="Arial"/>
          <w:color w:val="6B6B6B"/>
          <w:sz w:val="19"/>
          <w:szCs w:val="19"/>
        </w:rPr>
        <w:t xml:space="preserve">Tool Stack: Python · Power BI · Excel ·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5F9E" w:sz="1"/>
              <w:left w:val="single" w:color="2C5F9E" w:sz="1"/>
              <w:bottom w:val="single" w:color="2C5F9E" w:sz="1"/>
              <w:right w:val="single" w:color="2C5F9E" w:sz="1"/>
            </w:tcBorders>
            <w:shd w:fill="1F3864"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36"/>
                <w:szCs w:val="36"/>
              </w:rPr>
              <w:t xml:space="preserve">6,418</w:t>
            </w:r>
          </w:p>
          <w:p>
            <w:pPr>
              <w:spacing w:after="0" w:before="20"/>
              <w:jc w:val="center"/>
            </w:pPr>
            <w:r>
              <w:rPr>
                <w:rFonts w:ascii="Arial" w:cs="Arial" w:eastAsia="Arial" w:hAnsi="Arial"/>
                <w:color w:val="A8BEDD"/>
                <w:sz w:val="17"/>
                <w:szCs w:val="17"/>
              </w:rPr>
              <w:t xml:space="preserve">Total Customers</w:t>
            </w:r>
          </w:p>
        </w:tc>
        <w:tc>
          <w:tcPr>
            <w:tcW w:type="dxa" w:w="2340"/>
            <w:tcBorders>
              <w:top w:val="single" w:color="2C5F9E" w:sz="1"/>
              <w:left w:val="single" w:color="2C5F9E" w:sz="1"/>
              <w:bottom w:val="single" w:color="2C5F9E" w:sz="1"/>
              <w:right w:val="single" w:color="2C5F9E" w:sz="1"/>
            </w:tcBorders>
            <w:shd w:fill="1F3864"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36"/>
                <w:szCs w:val="36"/>
              </w:rPr>
              <w:t xml:space="preserve">1,732</w:t>
            </w:r>
          </w:p>
          <w:p>
            <w:pPr>
              <w:spacing w:after="0" w:before="20"/>
              <w:jc w:val="center"/>
            </w:pPr>
            <w:r>
              <w:rPr>
                <w:rFonts w:ascii="Arial" w:cs="Arial" w:eastAsia="Arial" w:hAnsi="Arial"/>
                <w:color w:val="A8BEDD"/>
                <w:sz w:val="17"/>
                <w:szCs w:val="17"/>
              </w:rPr>
              <w:t xml:space="preserve">Customers Lost</w:t>
            </w:r>
          </w:p>
        </w:tc>
        <w:tc>
          <w:tcPr>
            <w:tcW w:type="dxa" w:w="2340"/>
            <w:tcBorders>
              <w:top w:val="single" w:color="2C5F9E" w:sz="1"/>
              <w:left w:val="single" w:color="2C5F9E" w:sz="1"/>
              <w:bottom w:val="single" w:color="2C5F9E" w:sz="1"/>
              <w:right w:val="single" w:color="2C5F9E" w:sz="1"/>
            </w:tcBorders>
            <w:shd w:fill="1F3864"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36"/>
                <w:szCs w:val="36"/>
              </w:rPr>
              <w:t xml:space="preserve">26.99%</w:t>
            </w:r>
          </w:p>
          <w:p>
            <w:pPr>
              <w:spacing w:after="0" w:before="20"/>
              <w:jc w:val="center"/>
            </w:pPr>
            <w:r>
              <w:rPr>
                <w:rFonts w:ascii="Arial" w:cs="Arial" w:eastAsia="Arial" w:hAnsi="Arial"/>
                <w:color w:val="A8BEDD"/>
                <w:sz w:val="17"/>
                <w:szCs w:val="17"/>
              </w:rPr>
              <w:t xml:space="preserve">Churn Rate</w:t>
            </w:r>
          </w:p>
        </w:tc>
        <w:tc>
          <w:tcPr>
            <w:tcW w:type="dxa" w:w="2340"/>
            <w:tcBorders>
              <w:top w:val="single" w:color="2C5F9E" w:sz="1"/>
              <w:left w:val="single" w:color="2C5F9E" w:sz="1"/>
              <w:bottom w:val="single" w:color="2C5F9E" w:sz="1"/>
              <w:right w:val="single" w:color="2C5F9E" w:sz="1"/>
            </w:tcBorders>
            <w:shd w:fill="1F3864"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36"/>
                <w:szCs w:val="36"/>
              </w:rPr>
              <w:t xml:space="preserve">$3.4M</w:t>
            </w:r>
          </w:p>
          <w:p>
            <w:pPr>
              <w:spacing w:after="0" w:before="20"/>
              <w:jc w:val="center"/>
            </w:pPr>
            <w:r>
              <w:rPr>
                <w:rFonts w:ascii="Arial" w:cs="Arial" w:eastAsia="Arial" w:hAnsi="Arial"/>
                <w:color w:val="A8BEDD"/>
                <w:sz w:val="17"/>
                <w:szCs w:val="17"/>
              </w:rPr>
              <w:t xml:space="preserve">Revenue at Risk</w:t>
            </w:r>
          </w:p>
        </w:tc>
      </w:tr>
    </w:tbl>
    <w:p>
      <w:pPr>
        <w:pBdr>
          <w:bottom w:val="single" w:color="2C5F9E" w:sz="4" w:space="4"/>
        </w:pBdr>
        <w:spacing w:after="120" w:before="320"/>
      </w:pPr>
      <w:r>
        <w:rPr>
          <w:rFonts w:ascii="Arial" w:cs="Arial" w:eastAsia="Arial" w:hAnsi="Arial"/>
          <w:b/>
          <w:bCs/>
          <w:caps w:val="false"/>
          <w:color w:val="2C5F9E"/>
          <w:sz w:val="18"/>
          <w:szCs w:val="18"/>
        </w:rPr>
        <w:t xml:space="preserve">01   THE BUSINESS PROBLEM</w:t>
      </w:r>
    </w:p>
    <w:p>
      <w:pPr>
        <w:spacing w:after="160" w:before="0"/>
        <w:ind w:left="0"/>
      </w:pPr>
      <w:r>
        <w:rPr>
          <w:rFonts w:ascii="Georgia" w:cs="Georgia" w:eastAsia="Georgia" w:hAnsi="Georgia"/>
          <w:color w:val="4A4A4A"/>
          <w:sz w:val="22"/>
          <w:szCs w:val="22"/>
        </w:rPr>
        <w:t xml:space="preserve">The telecom company is facing a serious and measurable customer retention crisis. A full </w:t>
      </w:r>
      <w:r>
        <w:rPr>
          <w:rFonts w:ascii="Georgia" w:cs="Georgia" w:eastAsia="Georgia" w:hAnsi="Georgia"/>
          <w:b/>
          <w:bCs/>
          <w:color w:val="4A4A4A"/>
          <w:sz w:val="22"/>
          <w:szCs w:val="22"/>
        </w:rPr>
        <w:t xml:space="preserve">26.99% of its customer base — 1,732 out of 6,418 customers — has already left the business.</w:t>
      </w:r>
      <w:r>
        <w:rPr>
          <w:rFonts w:ascii="Georgia" w:cs="Georgia" w:eastAsia="Georgia" w:hAnsi="Georgia"/>
          <w:color w:val="4A4A4A"/>
          <w:sz w:val="22"/>
          <w:szCs w:val="22"/>
        </w:rPr>
        <w:t xml:space="preserve"> In a competitive telecom market, a churn rate approaching 27% is well above the industry benchmark of 15–20% and signals a structural problem that requires immediate management attention.</w:t>
      </w:r>
    </w:p>
    <w:p>
      <w:pPr>
        <w:spacing w:after="160" w:before="0"/>
        <w:ind w:left="0"/>
      </w:pPr>
      <w:r>
        <w:rPr>
          <w:rFonts w:ascii="Georgia" w:cs="Georgia" w:eastAsia="Georgia" w:hAnsi="Georgia"/>
          <w:color w:val="4A4A4A"/>
          <w:sz w:val="22"/>
          <w:szCs w:val="22"/>
        </w:rPr>
        <w:t xml:space="preserve">The financial consequence of this churn is direct and significant. Based on each departing customer's lifetime revenue with the company, the total revenue lost to churn amounts to </w:t>
      </w:r>
      <w:r>
        <w:rPr>
          <w:rFonts w:ascii="Georgia" w:cs="Georgia" w:eastAsia="Georgia" w:hAnsi="Georgia"/>
          <w:b/>
          <w:bCs/>
          <w:color w:val="4A4A4A"/>
          <w:sz w:val="22"/>
          <w:szCs w:val="22"/>
        </w:rPr>
        <w:t xml:space="preserve">$3,411,960.</w:t>
      </w:r>
      <w:r>
        <w:rPr>
          <w:rFonts w:ascii="Georgia" w:cs="Georgia" w:eastAsia="Georgia" w:hAnsi="Georgia"/>
          <w:color w:val="4A4A4A"/>
          <w:sz w:val="22"/>
          <w:szCs w:val="22"/>
        </w:rPr>
        <w:t xml:space="preserve"> This is not projected or estimated — it is revenue that the company has already failed to retain. Left unaddressed, at the current rate, this loss will compound year on year as new customers cycle through the same churn patterns.</w:t>
      </w:r>
    </w:p>
    <w:p>
      <w:pPr>
        <w:spacing w:after="160" w:before="0"/>
        <w:ind w:left="0"/>
      </w:pPr>
      <w:r>
        <w:rPr>
          <w:rFonts w:ascii="Georgia" w:cs="Georgia" w:eastAsia="Georgia" w:hAnsi="Georgia"/>
          <w:color w:val="4A4A4A"/>
          <w:sz w:val="22"/>
          <w:szCs w:val="22"/>
        </w:rPr>
        <w:t xml:space="preserve">The purpose of this analysis is to identify </w:t>
      </w:r>
      <w:r>
        <w:rPr>
          <w:rFonts w:ascii="Georgia" w:cs="Georgia" w:eastAsia="Georgia" w:hAnsi="Georgia"/>
          <w:b/>
          <w:bCs/>
          <w:color w:val="4A4A4A"/>
          <w:sz w:val="22"/>
          <w:szCs w:val="22"/>
        </w:rPr>
        <w:t xml:space="preserve">why customers are leaving, which segments are at highest risk,</w:t>
      </w:r>
      <w:r>
        <w:rPr>
          <w:rFonts w:ascii="Georgia" w:cs="Georgia" w:eastAsia="Georgia" w:hAnsi="Georgia"/>
          <w:color w:val="4A4A4A"/>
          <w:sz w:val="22"/>
          <w:szCs w:val="22"/>
        </w:rPr>
        <w:t xml:space="preserve"> and what specific actions the business should take to reduce churn and recover lost revenue. The findings below are drawn from a full analysis of customer-level data and are supported by a predictive model identifying future churn candidates.</w:t>
      </w:r>
    </w:p>
    <w:p>
      <w:pPr>
        <w:pBdr>
          <w:bottom w:val="single" w:color="2C5F9E" w:sz="4" w:space="4"/>
        </w:pBdr>
        <w:spacing w:after="120" w:before="320"/>
      </w:pPr>
      <w:r>
        <w:rPr>
          <w:rFonts w:ascii="Arial" w:cs="Arial" w:eastAsia="Arial" w:hAnsi="Arial"/>
          <w:b/>
          <w:bCs/>
          <w:caps w:val="false"/>
          <w:color w:val="2C5F9E"/>
          <w:sz w:val="18"/>
          <w:szCs w:val="18"/>
        </w:rPr>
        <w:t xml:space="preserve">02   KEY FINDINGS</w:t>
      </w:r>
    </w:p>
    <w:p>
      <w:pPr>
        <w:spacing w:after="120" w:before="0"/>
        <w:ind w:left="0"/>
      </w:pPr>
      <w:r>
        <w:rPr>
          <w:rFonts w:ascii="Georgia" w:cs="Georgia" w:eastAsia="Georgia" w:hAnsi="Georgia"/>
          <w:color w:val="4A4A4A"/>
          <w:sz w:val="22"/>
          <w:szCs w:val="22"/>
        </w:rPr>
        <w:t xml:space="preserve">A detailed examination of all 1,732 churned customers reveals five consistent, data-backed patterns that explain where and why the business is losing customers:</w:t>
      </w:r>
    </w:p>
    <w:p>
      <w:pPr>
        <w:pStyle w:val="ListParagraph"/>
        <w:numPr>
          <w:ilvl w:val="0"/>
          <w:numId w:val="2"/>
        </w:numPr>
        <w:spacing w:after="60" w:before="60"/>
      </w:pPr>
      <w:r>
        <w:rPr>
          <w:rFonts w:ascii="Georgia" w:cs="Georgia" w:eastAsia="Georgia" w:hAnsi="Georgia"/>
          <w:b/>
          <w:bCs/>
          <w:color w:val="1F3864"/>
          <w:sz w:val="22"/>
          <w:szCs w:val="22"/>
        </w:rPr>
        <w:t xml:space="preserve">Contract type is the strongest predictor of churn. </w:t>
      </w:r>
      <w:r>
        <w:rPr>
          <w:rFonts w:ascii="Georgia" w:cs="Georgia" w:eastAsia="Georgia" w:hAnsi="Georgia"/>
          <w:color w:val="4A4A4A"/>
          <w:sz w:val="22"/>
          <w:szCs w:val="22"/>
        </w:rPr>
        <w:t xml:space="preserve">Month-to-month customers churn at 46.5% — nearly 17 times higher than two-year contract holders, who churn at just 2.7%. This single variable accounts for the majority of churn risk across the entire customer base.</w:t>
      </w:r>
    </w:p>
    <w:p>
      <w:pPr>
        <w:pStyle w:val="ListParagraph"/>
        <w:numPr>
          <w:ilvl w:val="0"/>
          <w:numId w:val="2"/>
        </w:numPr>
        <w:spacing w:after="60" w:before="60"/>
      </w:pPr>
      <w:r>
        <w:rPr>
          <w:rFonts w:ascii="Georgia" w:cs="Georgia" w:eastAsia="Georgia" w:hAnsi="Georgia"/>
          <w:b/>
          <w:bCs/>
          <w:color w:val="1F3864"/>
          <w:sz w:val="22"/>
          <w:szCs w:val="22"/>
        </w:rPr>
        <w:t xml:space="preserve">Competitive pressure is the leading stated reason for leaving. </w:t>
      </w:r>
      <w:r>
        <w:rPr>
          <w:rFonts w:ascii="Georgia" w:cs="Georgia" w:eastAsia="Georgia" w:hAnsi="Georgia"/>
          <w:color w:val="4A4A4A"/>
          <w:sz w:val="22"/>
          <w:szCs w:val="22"/>
        </w:rPr>
        <w:t xml:space="preserve">761 customers — 44% of all who churned — left specifically because a competitor made a better offer. The most common sub-reasons were better devices (289 customers), a better overall package (274), more data (106), and faster speeds (92).</w:t>
      </w:r>
    </w:p>
    <w:p>
      <w:pPr>
        <w:pStyle w:val="ListParagraph"/>
        <w:numPr>
          <w:ilvl w:val="0"/>
          <w:numId w:val="2"/>
        </w:numPr>
        <w:spacing w:after="60" w:before="60"/>
      </w:pPr>
      <w:r>
        <w:rPr>
          <w:rFonts w:ascii="Georgia" w:cs="Georgia" w:eastAsia="Georgia" w:hAnsi="Georgia"/>
          <w:b/>
          <w:bCs/>
          <w:color w:val="1F3864"/>
          <w:sz w:val="22"/>
          <w:szCs w:val="22"/>
        </w:rPr>
        <w:t xml:space="preserve">Fiber Optic users are the highest-paying and highest-churning segment. </w:t>
      </w:r>
      <w:r>
        <w:rPr>
          <w:rFonts w:ascii="Georgia" w:cs="Georgia" w:eastAsia="Georgia" w:hAnsi="Georgia"/>
          <w:color w:val="4A4A4A"/>
          <w:sz w:val="22"/>
          <w:szCs w:val="22"/>
        </w:rPr>
        <w:t xml:space="preserve">Despite paying an average of $90.26 per month — more than any other internet type — Fiber Optic customers churn at 41.1%. This segment alone accounts for $2,782,240 of the total revenue lost, representing 81.5% of all churn-related losses.</w:t>
      </w:r>
    </w:p>
    <w:p>
      <w:pPr>
        <w:pStyle w:val="ListParagraph"/>
        <w:numPr>
          <w:ilvl w:val="0"/>
          <w:numId w:val="2"/>
        </w:numPr>
        <w:spacing w:after="60" w:before="60"/>
      </w:pPr>
      <w:r>
        <w:rPr>
          <w:rFonts w:ascii="Georgia" w:cs="Georgia" w:eastAsia="Georgia" w:hAnsi="Georgia"/>
          <w:b/>
          <w:bCs/>
          <w:color w:val="1F3864"/>
          <w:sz w:val="22"/>
          <w:szCs w:val="22"/>
        </w:rPr>
        <w:t xml:space="preserve">40% of churned customers leave within the first 12 months. </w:t>
      </w:r>
      <w:r>
        <w:rPr>
          <w:rFonts w:ascii="Georgia" w:cs="Georgia" w:eastAsia="Georgia" w:hAnsi="Georgia"/>
          <w:color w:val="4A4A4A"/>
          <w:sz w:val="22"/>
          <w:szCs w:val="22"/>
        </w:rPr>
        <w:t xml:space="preserve">693 out of 1,732 churned customers left before completing one full year. This indicates a failure in early-stage customer engagement and onboarding, particularly for new high-value customers.</w:t>
      </w:r>
    </w:p>
    <w:p>
      <w:pPr>
        <w:pStyle w:val="ListParagraph"/>
        <w:numPr>
          <w:ilvl w:val="0"/>
          <w:numId w:val="2"/>
        </w:numPr>
        <w:spacing w:after="60" w:before="60"/>
      </w:pPr>
      <w:r>
        <w:rPr>
          <w:rFonts w:ascii="Georgia" w:cs="Georgia" w:eastAsia="Georgia" w:hAnsi="Georgia"/>
          <w:b/>
          <w:bCs/>
          <w:color w:val="1F3864"/>
          <w:sz w:val="22"/>
          <w:szCs w:val="22"/>
        </w:rPr>
        <w:t xml:space="preserve">Paperless billing is associated with higher churn. </w:t>
      </w:r>
      <w:r>
        <w:rPr>
          <w:rFonts w:ascii="Georgia" w:cs="Georgia" w:eastAsia="Georgia" w:hAnsi="Georgia"/>
          <w:color w:val="4A4A4A"/>
          <w:sz w:val="22"/>
          <w:szCs w:val="22"/>
        </w:rPr>
        <w:t xml:space="preserve">Customers on paperless billing churn at 34.1%, noticeably higher than those who receive physical bills. This may reflect a lower sense of engagement or perceived value among digitally acquired customers.</w:t>
      </w:r>
    </w:p>
    <w:p>
      <w:pPr>
        <w:spacing w:after="0" w:before="80"/>
      </w:pPr>
      <w:r>
        <w:rPr>
          <w:rFonts w:ascii="Georgia" w:cs="Georgia" w:eastAsia="Georgia" w:hAnsi="Georgia"/>
          <w:color w:val="4A4A4A"/>
          <w:sz w:val="22"/>
          <w:szCs w:val="22"/>
        </w:rPr>
        <w:t xml:space="preserve"/>
      </w:r>
    </w:p>
    <w:p>
      <w:pPr>
        <w:pBdr>
          <w:bottom w:val="single" w:color="2C5F9E" w:sz="4" w:space="4"/>
        </w:pBdr>
        <w:spacing w:after="120" w:before="320"/>
      </w:pPr>
      <w:r>
        <w:rPr>
          <w:rFonts w:ascii="Arial" w:cs="Arial" w:eastAsia="Arial" w:hAnsi="Arial"/>
          <w:b/>
          <w:bCs/>
          <w:caps w:val="false"/>
          <w:color w:val="2C5F9E"/>
          <w:sz w:val="18"/>
          <w:szCs w:val="18"/>
        </w:rPr>
        <w:t xml:space="preserve">03   RECOMMENDATIONS</w:t>
      </w:r>
    </w:p>
    <w:p>
      <w:pPr>
        <w:spacing w:after="140" w:before="0"/>
        <w:ind w:left="0"/>
      </w:pPr>
      <w:r>
        <w:rPr>
          <w:rFonts w:ascii="Georgia" w:cs="Georgia" w:eastAsia="Georgia" w:hAnsi="Georgia"/>
          <w:color w:val="4A4A4A"/>
          <w:sz w:val="22"/>
          <w:szCs w:val="22"/>
        </w:rPr>
        <w:t xml:space="preserve">Based on the findings above, three targeted interventions are recommended. Each is designed to address a specific, identified driver of churn and is expected to deliver measurable impact within one to two business 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6040"/>
      </w:tblGrid>
      <w:tr>
        <w:tc>
          <w:tcPr>
            <w:tcW w:type="dxa" w:w="520"/>
            <w:tcBorders>
              <w:top w:val="none" w:color="FFFFFF" w:sz="0"/>
              <w:left w:val="none" w:color="FFFFFF" w:sz="0"/>
              <w:bottom w:val="none" w:color="FFFFFF" w:sz="0"/>
              <w:right w:val="none" w:color="FFFFFF" w:sz="0"/>
            </w:tcBorders>
            <w:shd w:fill="1F386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1</w:t>
            </w:r>
          </w:p>
        </w:tc>
        <w:tc>
          <w:tcPr>
            <w:tcW w:type="dxa" w:w="2800"/>
            <w:tcBorders>
              <w:top w:val="none" w:color="FFFFFF" w:sz="0"/>
              <w:left w:val="none" w:color="FFFFFF" w:sz="0"/>
              <w:bottom w:val="none" w:color="FFFFFF" w:sz="0"/>
              <w:right w:val="single" w:color="CCCCCC" w:sz="1"/>
            </w:tcBorders>
            <w:shd w:fill="E8ECF2" w:val="clear"/>
            <w:tcMar>
              <w:top w:type="dxa" w:w="100"/>
              <w:left w:type="dxa" w:w="140"/>
              <w:bottom w:type="dxa" w:w="100"/>
              <w:right w:type="dxa" w:w="140"/>
            </w:tcMar>
            <w:vAlign w:val="center"/>
          </w:tcPr>
          <w:p>
            <w:pPr>
              <w:spacing w:after="0" w:before="0"/>
            </w:pPr>
            <w:r>
              <w:rPr>
                <w:rFonts w:ascii="Arial" w:cs="Arial" w:eastAsia="Arial" w:hAnsi="Arial"/>
                <w:b/>
                <w:bCs/>
                <w:color w:val="1F3864"/>
                <w:sz w:val="20"/>
                <w:szCs w:val="20"/>
              </w:rPr>
              <w:t xml:space="preserve">Stay &amp; Save Contract Program</w:t>
            </w:r>
          </w:p>
        </w:tc>
        <w:tc>
          <w:tcPr>
            <w:tcW w:type="dxa" w:w="604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vAlign w:val="center"/>
          </w:tcPr>
          <w:p>
            <w:pPr>
              <w:spacing w:after="0" w:before="0"/>
            </w:pPr>
            <w:r>
              <w:rPr>
                <w:rFonts w:ascii="Georgia" w:cs="Georgia" w:eastAsia="Georgia" w:hAnsi="Georgia"/>
                <w:color w:val="4A4A4A"/>
                <w:sz w:val="20"/>
                <w:szCs w:val="20"/>
              </w:rPr>
              <w:t xml:space="preserve">Offer month-to-month customers a 10–15% rate discount in exchange for upgrading to a one-year or two-year contract. Target customers proactively at the 9–11 month mark, before the decision to leave is made.</w:t>
            </w:r>
          </w:p>
        </w:tc>
      </w:tr>
    </w:tbl>
    <w:p>
      <w:pPr>
        <w:spacing w:after="0" w:before="0"/>
      </w:pPr>
      <w:r>
        <w:rPr>
          <w:rFonts w:ascii="Georgia" w:cs="Georgia" w:eastAsia="Georgia" w:hAnsi="Georgia"/>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6040"/>
      </w:tblGrid>
      <w:tr>
        <w:tc>
          <w:tcPr>
            <w:tcW w:type="dxa" w:w="520"/>
            <w:tcBorders>
              <w:top w:val="none" w:color="FFFFFF" w:sz="0"/>
              <w:left w:val="none" w:color="FFFFFF" w:sz="0"/>
              <w:bottom w:val="none" w:color="FFFFFF" w:sz="0"/>
              <w:right w:val="none" w:color="FFFFFF" w:sz="0"/>
            </w:tcBorders>
            <w:shd w:fill="1F386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2</w:t>
            </w:r>
          </w:p>
        </w:tc>
        <w:tc>
          <w:tcPr>
            <w:tcW w:type="dxa" w:w="2800"/>
            <w:tcBorders>
              <w:top w:val="none" w:color="FFFFFF" w:sz="0"/>
              <w:left w:val="none" w:color="FFFFFF" w:sz="0"/>
              <w:bottom w:val="none" w:color="FFFFFF" w:sz="0"/>
              <w:right w:val="single" w:color="CCCCCC" w:sz="1"/>
            </w:tcBorders>
            <w:shd w:fill="E8ECF2" w:val="clear"/>
            <w:tcMar>
              <w:top w:type="dxa" w:w="100"/>
              <w:left w:type="dxa" w:w="140"/>
              <w:bottom w:type="dxa" w:w="100"/>
              <w:right w:type="dxa" w:w="140"/>
            </w:tcMar>
            <w:vAlign w:val="center"/>
          </w:tcPr>
          <w:p>
            <w:pPr>
              <w:spacing w:after="0" w:before="0"/>
            </w:pPr>
            <w:r>
              <w:rPr>
                <w:rFonts w:ascii="Arial" w:cs="Arial" w:eastAsia="Arial" w:hAnsi="Arial"/>
                <w:b/>
                <w:bCs/>
                <w:color w:val="1F3864"/>
                <w:sz w:val="20"/>
                <w:szCs w:val="20"/>
              </w:rPr>
              <w:t xml:space="preserve">Competitive Loyalty Shield</w:t>
            </w:r>
          </w:p>
        </w:tc>
        <w:tc>
          <w:tcPr>
            <w:tcW w:type="dxa" w:w="604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vAlign w:val="center"/>
          </w:tcPr>
          <w:p>
            <w:pPr>
              <w:spacing w:after="0" w:before="0"/>
            </w:pPr>
            <w:r>
              <w:rPr>
                <w:rFonts w:ascii="Georgia" w:cs="Georgia" w:eastAsia="Georgia" w:hAnsi="Georgia"/>
                <w:color w:val="4A4A4A"/>
                <w:sz w:val="20"/>
                <w:szCs w:val="20"/>
              </w:rPr>
              <w:t xml:space="preserve">Establish a Loyalty Pricing Desk to counter competitor offers for at-risk customers. Introduce tiered rewards at 6, 12, and 24 months — including device upgrades or data bonuses — directly addressing the top four competitor advantages identified in the data.</w:t>
            </w:r>
          </w:p>
        </w:tc>
      </w:tr>
    </w:tbl>
    <w:p>
      <w:pPr>
        <w:spacing w:after="0" w:before="0"/>
      </w:pPr>
      <w:r>
        <w:rPr>
          <w:rFonts w:ascii="Georgia" w:cs="Georgia" w:eastAsia="Georgia" w:hAnsi="Georgia"/>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6040"/>
      </w:tblGrid>
      <w:tr>
        <w:tc>
          <w:tcPr>
            <w:tcW w:type="dxa" w:w="520"/>
            <w:tcBorders>
              <w:top w:val="none" w:color="FFFFFF" w:sz="0"/>
              <w:left w:val="none" w:color="FFFFFF" w:sz="0"/>
              <w:bottom w:val="none" w:color="FFFFFF" w:sz="0"/>
              <w:right w:val="none" w:color="FFFFFF" w:sz="0"/>
            </w:tcBorders>
            <w:shd w:fill="1F386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3</w:t>
            </w:r>
          </w:p>
        </w:tc>
        <w:tc>
          <w:tcPr>
            <w:tcW w:type="dxa" w:w="2800"/>
            <w:tcBorders>
              <w:top w:val="none" w:color="FFFFFF" w:sz="0"/>
              <w:left w:val="none" w:color="FFFFFF" w:sz="0"/>
              <w:bottom w:val="none" w:color="FFFFFF" w:sz="0"/>
              <w:right w:val="single" w:color="CCCCCC" w:sz="1"/>
            </w:tcBorders>
            <w:shd w:fill="E8ECF2" w:val="clear"/>
            <w:tcMar>
              <w:top w:type="dxa" w:w="100"/>
              <w:left w:type="dxa" w:w="140"/>
              <w:bottom w:type="dxa" w:w="100"/>
              <w:right w:type="dxa" w:w="140"/>
            </w:tcMar>
            <w:vAlign w:val="center"/>
          </w:tcPr>
          <w:p>
            <w:pPr>
              <w:spacing w:after="0" w:before="0"/>
            </w:pPr>
            <w:r>
              <w:rPr>
                <w:rFonts w:ascii="Arial" w:cs="Arial" w:eastAsia="Arial" w:hAnsi="Arial"/>
                <w:b/>
                <w:bCs/>
                <w:color w:val="1F3864"/>
                <w:sz w:val="20"/>
                <w:szCs w:val="20"/>
              </w:rPr>
              <w:t xml:space="preserve">Fiber Optic Success Program</w:t>
            </w:r>
          </w:p>
        </w:tc>
        <w:tc>
          <w:tcPr>
            <w:tcW w:type="dxa" w:w="604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vAlign w:val="center"/>
          </w:tcPr>
          <w:p>
            <w:pPr>
              <w:spacing w:after="0" w:before="0"/>
            </w:pPr>
            <w:r>
              <w:rPr>
                <w:rFonts w:ascii="Georgia" w:cs="Georgia" w:eastAsia="Georgia" w:hAnsi="Georgia"/>
                <w:color w:val="4A4A4A"/>
                <w:sz w:val="20"/>
                <w:szCs w:val="20"/>
              </w:rPr>
              <w:t xml:space="preserve">Assign a proactive check-in call to every new Fiber Optic customer at day 30 and month 6. Deploy a satisfaction survey at month 3 and flag any score below 7/10 for immediate retention follow-up by a specialist.</w:t>
            </w:r>
          </w:p>
        </w:tc>
      </w:tr>
    </w:tbl>
    <w:p>
      <w:pPr>
        <w:spacing w:after="0" w:before="160"/>
      </w:pPr>
      <w:r>
        <w:rPr>
          <w:rFonts w:ascii="Georgia" w:cs="Georgia" w:eastAsia="Georgia" w:hAnsi="Georgia"/>
          <w:color w:val="4A4A4A"/>
          <w:sz w:val="22"/>
          <w:szCs w:val="22"/>
        </w:rPr>
        <w:t xml:space="preserve"/>
      </w:r>
    </w:p>
    <w:p>
      <w:pPr>
        <w:pBdr>
          <w:bottom w:val="single" w:color="2C5F9E" w:sz="4" w:space="4"/>
        </w:pBdr>
        <w:spacing w:after="120" w:before="320"/>
      </w:pPr>
      <w:r>
        <w:rPr>
          <w:rFonts w:ascii="Arial" w:cs="Arial" w:eastAsia="Arial" w:hAnsi="Arial"/>
          <w:b/>
          <w:bCs/>
          <w:caps w:val="false"/>
          <w:color w:val="2C5F9E"/>
          <w:sz w:val="18"/>
          <w:szCs w:val="18"/>
        </w:rPr>
        <w:t xml:space="preserve">04   EXPECTED IMPACT</w:t>
      </w:r>
    </w:p>
    <w:p>
      <w:pPr>
        <w:spacing w:after="160" w:before="0"/>
        <w:ind w:left="0"/>
      </w:pPr>
      <w:r>
        <w:rPr>
          <w:rFonts w:ascii="Georgia" w:cs="Georgia" w:eastAsia="Georgia" w:hAnsi="Georgia"/>
          <w:color w:val="4A4A4A"/>
          <w:sz w:val="22"/>
          <w:szCs w:val="22"/>
        </w:rPr>
        <w:t xml:space="preserve">If these three recommendations are implemented and collectively reduce churn by </w:t>
      </w:r>
      <w:r>
        <w:rPr>
          <w:rFonts w:ascii="Georgia" w:cs="Georgia" w:eastAsia="Georgia" w:hAnsi="Georgia"/>
          <w:b/>
          <w:bCs/>
          <w:color w:val="4A4A4A"/>
          <w:sz w:val="22"/>
          <w:szCs w:val="22"/>
        </w:rPr>
        <w:t xml:space="preserve">10 to 20%</w:t>
      </w:r>
      <w:r>
        <w:rPr>
          <w:rFonts w:ascii="Georgia" w:cs="Georgia" w:eastAsia="Georgia" w:hAnsi="Georgia"/>
          <w:color w:val="4A4A4A"/>
          <w:sz w:val="22"/>
          <w:szCs w:val="22"/>
        </w:rPr>
        <w:t xml:space="preserve"> across the identified high-risk segments, the business stands to recover between </w:t>
      </w:r>
      <w:r>
        <w:rPr>
          <w:rFonts w:ascii="Georgia" w:cs="Georgia" w:eastAsia="Georgia" w:hAnsi="Georgia"/>
          <w:b/>
          <w:bCs/>
          <w:color w:val="4A4A4A"/>
          <w:sz w:val="22"/>
          <w:szCs w:val="22"/>
        </w:rPr>
        <w:t xml:space="preserve">$341,196 and $682,392 in annual revenue</w:t>
      </w:r>
      <w:r>
        <w:rPr>
          <w:rFonts w:ascii="Georgia" w:cs="Georgia" w:eastAsia="Georgia" w:hAnsi="Georgia"/>
          <w:color w:val="4A4A4A"/>
          <w:sz w:val="22"/>
          <w:szCs w:val="22"/>
        </w:rPr>
        <w:t xml:space="preserve"> — with no requirement for new customer acquisition spend. These figures represent a conservative estimate based on the existing churned revenue pool and do not account for compounding retention benefits in subsequent years.</w:t>
      </w:r>
    </w:p>
    <w:p>
      <w:pPr>
        <w:spacing w:after="160" w:before="0"/>
        <w:ind w:left="0"/>
      </w:pPr>
      <w:r>
        <w:rPr>
          <w:rFonts w:ascii="Georgia" w:cs="Georgia" w:eastAsia="Georgia" w:hAnsi="Georgia"/>
          <w:color w:val="4A4A4A"/>
          <w:sz w:val="22"/>
          <w:szCs w:val="22"/>
        </w:rPr>
        <w:t xml:space="preserve">The highest-priority action is the </w:t>
      </w:r>
      <w:r>
        <w:rPr>
          <w:rFonts w:ascii="Georgia" w:cs="Georgia" w:eastAsia="Georgia" w:hAnsi="Georgia"/>
          <w:b/>
          <w:bCs/>
          <w:color w:val="4A4A4A"/>
          <w:sz w:val="22"/>
          <w:szCs w:val="22"/>
        </w:rPr>
        <w:t xml:space="preserve">contract upgrade program</w:t>
      </w:r>
      <w:r>
        <w:rPr>
          <w:rFonts w:ascii="Georgia" w:cs="Georgia" w:eastAsia="Georgia" w:hAnsi="Georgia"/>
          <w:color w:val="4A4A4A"/>
          <w:sz w:val="22"/>
          <w:szCs w:val="22"/>
        </w:rPr>
        <w:t xml:space="preserve">, as month-to-month customers represent 88.3% of all churned customers and the revenue impact of shifting even a fraction of this segment to annual contracts is immediate and significant. The </w:t>
      </w:r>
      <w:r>
        <w:rPr>
          <w:rFonts w:ascii="Georgia" w:cs="Georgia" w:eastAsia="Georgia" w:hAnsi="Georgia"/>
          <w:b/>
          <w:bCs/>
          <w:color w:val="4A4A4A"/>
          <w:sz w:val="22"/>
          <w:szCs w:val="22"/>
        </w:rPr>
        <w:t xml:space="preserve">625 customers currently identified as High Risk</w:t>
      </w:r>
      <w:r>
        <w:rPr>
          <w:rFonts w:ascii="Georgia" w:cs="Georgia" w:eastAsia="Georgia" w:hAnsi="Georgia"/>
          <w:color w:val="4A4A4A"/>
          <w:sz w:val="22"/>
          <w:szCs w:val="22"/>
        </w:rPr>
        <w:t xml:space="preserve"> — those on month-to-month Fiber Optic plans with under 12 months tenure — should be the first cohort targeted for retention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9E" w:sz="1"/>
              <w:left w:val="single" w:color="2C5F9E" w:sz="18"/>
              <w:bottom w:val="single" w:color="2C5F9E" w:sz="1"/>
              <w:right w:val="single" w:color="2C5F9E" w:sz="1"/>
            </w:tcBorders>
            <w:shd w:fill="EBF1FA" w:val="clear"/>
            <w:tcMar>
              <w:top w:type="dxa" w:w="160"/>
              <w:left w:type="dxa" w:w="220"/>
              <w:bottom w:type="dxa" w:w="160"/>
              <w:right w:type="dxa" w:w="180"/>
            </w:tcMar>
          </w:tcPr>
          <w:p>
            <w:pPr>
              <w:spacing w:after="80" w:before="0"/>
            </w:pPr>
            <w:r>
              <w:rPr>
                <w:rFonts w:ascii="Georgia" w:cs="Georgia" w:eastAsia="Georgia" w:hAnsi="Georgia"/>
                <w:color w:val="4A4A4A"/>
                <w:sz w:val="21"/>
                <w:szCs w:val="21"/>
              </w:rPr>
              <w:t xml:space="preserve">Bottom line: The company is currently losing $3.4 million in revenue it has already earned relationships with. The cost of retaining an existing customer is a fraction of acquiring a new one.</w:t>
            </w:r>
          </w:p>
          <w:p>
            <w:pPr>
              <w:spacing w:after="0" w:before="0"/>
            </w:pPr>
            <w:r>
              <w:rPr>
                <w:rFonts w:ascii="Georgia" w:cs="Georgia" w:eastAsia="Georgia" w:hAnsi="Georgia"/>
                <w:color w:val="4A4A4A"/>
                <w:sz w:val="21"/>
                <w:szCs w:val="21"/>
              </w:rPr>
              <w:t xml:space="preserve">Acting on these recommendations with a focused 90-day pilot program is the most immediate, cost-effective path to reversing the current churn trend.</w:t>
            </w:r>
          </w:p>
        </w:tc>
      </w:tr>
    </w:tbl>
    <w:p>
      <w:pPr>
        <w:spacing w:after="0" w:before="200"/>
      </w:pPr>
      <w:r>
        <w:rPr>
          <w:rFonts w:ascii="Georgia" w:cs="Georgia" w:eastAsia="Georgia" w:hAnsi="Georgia"/>
          <w:color w:val="4A4A4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2" w:sz="6" w:space="6"/>
      </w:pBdr>
      <w:spacing w:after="0" w:before="80"/>
      <w:jc w:val="center"/>
    </w:pPr>
    <w:r>
      <w:rPr>
        <w:rFonts w:ascii="Arial" w:cs="Arial" w:eastAsia="Arial" w:hAnsi="Arial"/>
        <w:color w:val="6B6B6B"/>
        <w:sz w:val="16"/>
        <w:szCs w:val="16"/>
      </w:rPr>
      <w:t xml:space="preserve">Prepared for Internal Review   |   Telecom Churn Analysis Project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CF2" w:sz="6" w:space="6"/>
      </w:pBdr>
      <w:spacing w:after="80" w:before="0"/>
    </w:pPr>
    <w:r>
      <w:rPr>
        <w:rFonts w:ascii="Arial" w:cs="Arial" w:eastAsia="Arial" w:hAnsi="Arial"/>
        <w:b/>
        <w:bCs/>
        <w:color w:val="2C5F9E"/>
        <w:sz w:val="18"/>
        <w:szCs w:val="18"/>
      </w:rPr>
      <w:t xml:space="preserve">TELECOM CUSTOMER RETENTION   </w:t>
    </w:r>
    <w:r>
      <w:rPr>
        <w:rFonts w:ascii="Arial" w:cs="Arial" w:eastAsia="Arial" w:hAnsi="Arial"/>
        <w:color w:val="6B6B6B"/>
        <w:sz w:val="18"/>
        <w:szCs w:val="18"/>
      </w:rPr>
      <w:t xml:space="preserve">|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rPr>
        <w:rFonts w:ascii="Arial" w:cs="Arial" w:eastAsia="Arial" w:hAnsi="Arial"/>
        <w:b/>
        <w:bCs/>
        <w:color w:val="2C5F9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2026-05-07T09:28:33.515Z</dcterms:created>
  <dcterms:modified xsi:type="dcterms:W3CDTF">2026-05-07T09:28:33.531Z</dcterms:modified>
</cp:coreProperties>
</file>

<file path=docProps/custom.xml><?xml version="1.0" encoding="utf-8"?>
<Properties xmlns="http://schemas.openxmlformats.org/officeDocument/2006/custom-properties" xmlns:vt="http://schemas.openxmlformats.org/officeDocument/2006/docPropsVTypes"/>
</file>