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20" w:line="240" w:lineRule="auto"/>
        <w:jc w:val="center"/>
      </w:pPr>
      <w:r>
        <w:rPr>
          <w:rFonts w:ascii="Times New Roman" w:hAnsi="Times New Roman"/>
          <w:b/>
          <w:i w:val="0"/>
          <w:color w:val="000000"/>
          <w:sz w:val="36"/>
        </w:rPr>
        <w:t>AI-Based Inventory Forecasting for Small Businesses</w:t>
      </w:r>
    </w:p>
    <w:tbl>
      <w:tblPr>
        <w:tblW w:type="auto" w:w="0"/>
        <w:jc w:val="center"/>
        <w:tblLook w:firstColumn="1" w:firstRow="1" w:lastColumn="0" w:lastRow="0" w:noHBand="0" w:noVBand="1" w:val="04A0"/>
      </w:tblPr>
      <w:tblGrid>
        <w:gridCol w:w="3480"/>
        <w:gridCol w:w="3480"/>
        <w:gridCol w:w="3480"/>
      </w:tblGrid>
      <w:tr>
        <w:trPr>
          <w:cantSplit/>
        </w:trPr>
        <w:tc>
          <w:tcPr>
            <w:tcW w:type="dxa" w:w="3480"/>
          </w:tcPr>
          <w:p>
            <w:pPr>
              <w:spacing w:before="0" w:after="40" w:line="240" w:lineRule="auto"/>
              <w:jc w:val="center"/>
            </w:pPr>
            <w:r>
              <w:rPr>
                <w:rFonts w:ascii="Times New Roman" w:hAnsi="Times New Roman"/>
                <w:b w:val="0"/>
                <w:i w:val="0"/>
                <w:color w:val="000000"/>
                <w:sz w:val="17"/>
              </w:rPr>
              <w:t>Sanmati Jain</w:t>
              <w:br/>
              <w:t>Dept. of Computer Science Eng.</w:t>
              <w:br/>
              <w:t>Chandigarh University, Mohali, India</w:t>
              <w:br/>
              <w:t>sanmatijain2204@gmail.com</w:t>
            </w:r>
          </w:p>
        </w:tc>
        <w:tc>
          <w:tcPr>
            <w:tcW w:type="dxa" w:w="3480"/>
          </w:tcPr>
          <w:p>
            <w:pPr>
              <w:spacing w:before="0" w:after="40" w:line="240" w:lineRule="auto"/>
              <w:jc w:val="center"/>
            </w:pPr>
            <w:r>
              <w:rPr>
                <w:rFonts w:ascii="Times New Roman" w:hAnsi="Times New Roman"/>
                <w:b w:val="0"/>
                <w:i w:val="0"/>
                <w:color w:val="000000"/>
                <w:sz w:val="17"/>
              </w:rPr>
              <w:t>Devanshu Sharma</w:t>
              <w:br/>
              <w:t>Dept. of Computer Science Eng.</w:t>
              <w:br/>
              <w:t>Chandigarh University, Mohali, India</w:t>
              <w:br/>
              <w:t>devanshusharmagsp@gmail.com</w:t>
            </w:r>
          </w:p>
        </w:tc>
        <w:tc>
          <w:tcPr>
            <w:tcW w:type="dxa" w:w="3480"/>
          </w:tcPr>
          <w:p>
            <w:pPr>
              <w:spacing w:before="0" w:after="40" w:line="240" w:lineRule="auto"/>
              <w:jc w:val="center"/>
            </w:pPr>
            <w:r>
              <w:rPr>
                <w:rFonts w:ascii="Times New Roman" w:hAnsi="Times New Roman"/>
                <w:b w:val="0"/>
                <w:i w:val="0"/>
                <w:color w:val="000000"/>
                <w:sz w:val="17"/>
              </w:rPr>
              <w:t>Ayush Sharma</w:t>
              <w:br/>
              <w:t>Dept. of Computer Science Eng.</w:t>
              <w:br/>
              <w:t>Chandigarh University, Mohali, India</w:t>
              <w:br/>
              <w:t>ayushsharma.ml04@gmail.com</w:t>
            </w:r>
          </w:p>
        </w:tc>
      </w:tr>
      <w:tr>
        <w:trPr>
          <w:cantSplit/>
        </w:trPr>
        <w:tc>
          <w:tcPr>
            <w:tcW w:type="dxa" w:w="3480"/>
          </w:tcPr>
          <w:p>
            <w:pPr>
              <w:spacing w:before="0" w:after="40" w:line="240" w:lineRule="auto"/>
              <w:jc w:val="center"/>
            </w:pPr>
            <w:r>
              <w:rPr>
                <w:rFonts w:ascii="Times New Roman" w:hAnsi="Times New Roman"/>
                <w:b w:val="0"/>
                <w:i w:val="0"/>
                <w:color w:val="000000"/>
                <w:sz w:val="17"/>
              </w:rPr>
              <w:t>Dhruv Lakhan</w:t>
              <w:br/>
              <w:t>Dept. of Computer Science Eng.</w:t>
              <w:br/>
              <w:t>Chandigarh University, Mohali, India</w:t>
              <w:br/>
              <w:t>dhruvlakhlan@gmail.com</w:t>
            </w:r>
          </w:p>
        </w:tc>
        <w:tc>
          <w:tcPr>
            <w:tcW w:type="dxa" w:w="3480"/>
          </w:tcPr>
          <w:p>
            <w:pPr>
              <w:spacing w:before="0" w:after="40" w:line="240" w:lineRule="auto"/>
              <w:jc w:val="center"/>
            </w:pPr>
            <w:r>
              <w:rPr>
                <w:rFonts w:ascii="Times New Roman" w:hAnsi="Times New Roman"/>
                <w:b w:val="0"/>
                <w:i w:val="0"/>
                <w:color w:val="000000"/>
                <w:sz w:val="17"/>
              </w:rPr>
              <w:t>Mukul Kumar</w:t>
              <w:br/>
              <w:t>Dept. of Computer Science Eng.</w:t>
              <w:br/>
              <w:t>Chandigarh University, Mohali, India</w:t>
              <w:br/>
              <w:t>mukulkumarxyz@gmail.com</w:t>
            </w:r>
          </w:p>
        </w:tc>
        <w:tc>
          <w:tcPr>
            <w:tcW w:type="dxa" w:w="3480"/>
          </w:tcPr>
          <w:p>
            <w:pPr>
              <w:spacing w:before="0" w:after="40" w:line="240" w:lineRule="auto"/>
              <w:jc w:val="center"/>
            </w:pPr>
            <w:r>
              <w:rPr>
                <w:rFonts w:ascii="Times New Roman" w:hAnsi="Times New Roman"/>
                <w:b w:val="0"/>
                <w:i w:val="0"/>
                <w:color w:val="000000"/>
                <w:sz w:val="17"/>
              </w:rPr>
              <w:t>Nistha</w:t>
              <w:br/>
              <w:t>Dept. of Computer Science Eng.</w:t>
              <w:br/>
              <w:t>Chandigarh University, Mohali, India</w:t>
              <w:br/>
              <w:t>nisthadatt30@gmail.com</w:t>
            </w:r>
          </w:p>
        </w:tc>
      </w:tr>
    </w:tbl>
    <w:p>
      <w:pPr>
        <w:sectPr>
          <w:pgSz w:w="12240" w:h="15840"/>
          <w:pgMar w:top="1080" w:right="900" w:bottom="1080" w:left="900" w:header="720" w:footer="720" w:gutter="0"/>
          <w:cols w:space="720"/>
          <w:docGrid w:linePitch="360"/>
        </w:sectPr>
      </w:pPr>
    </w:p>
    <w:p>
      <w:pPr>
        <w:keepNext w:val="0"/>
        <w:spacing w:before="80" w:after="70" w:line="240" w:lineRule="auto"/>
        <w:jc w:val="both"/>
      </w:pPr>
      <w:r>
        <w:rPr>
          <w:rFonts w:ascii="Times New Roman" w:hAnsi="Times New Roman"/>
          <w:b/>
          <w:i w:val="0"/>
          <w:color w:val="000000"/>
          <w:sz w:val="19"/>
        </w:rPr>
        <w:t>Abstract—</w:t>
      </w:r>
      <w:r>
        <w:rPr>
          <w:rFonts w:ascii="Times New Roman" w:hAnsi="Times New Roman"/>
          <w:b w:val="0"/>
          <w:i/>
          <w:color w:val="000000"/>
          <w:sz w:val="19"/>
        </w:rPr>
        <w:t>Creating accurate forecasts is crucial to managing inventory effectively, but many small and medium-sized businesses (SMBs) lack enterprise-grade forecasting infrastructure. In this paper, a low-cost end-to-end sales forecasting system is proposed, specifically designed for resource-constrained SMB environments. The Rossmann Store Sales dataset is used to evaluate three forecasting approaches: a 7-day Moving Average baseline, ARIMA(2,1,2), and an XGBoost model with engineered lag and rolling-window features. Experiments were conducted across all 1,115 stores using a chronological 670-day training period followed by a 60-day test period. XGBoost achieved the best overall performance, with an MAE of 663.05, RMSE of 1148.99, MAPE of 9.35%, and sMAPE of 35.62%, substantially outperforming Moving Average and ARIMA baselines and reducing MAE by 70.0% and MAPE by 57.0% compared to the moving-average baseline. Translating forecast uncertainty into safety stock suggests estimated safety-buffer reductions of 62.2% relative to Moving Average and 61.5% relative to ARIMA. We conclude with operational limitations and directions for validation across diverse retail verticals.</w:t>
      </w:r>
    </w:p>
    <w:p>
      <w:pPr>
        <w:keepNext w:val="0"/>
        <w:spacing w:before="0" w:after="90" w:line="240" w:lineRule="auto"/>
        <w:jc w:val="both"/>
      </w:pPr>
      <w:r>
        <w:rPr>
          <w:rFonts w:ascii="Times New Roman" w:hAnsi="Times New Roman"/>
          <w:b/>
          <w:i w:val="0"/>
          <w:color w:val="000000"/>
          <w:sz w:val="19"/>
        </w:rPr>
        <w:t>Index Terms—</w:t>
      </w:r>
      <w:r>
        <w:rPr>
          <w:rFonts w:ascii="Times New Roman" w:hAnsi="Times New Roman"/>
          <w:b w:val="0"/>
          <w:i/>
          <w:color w:val="000000"/>
          <w:sz w:val="19"/>
        </w:rPr>
        <w:t>inventory management, demand forecasting, machine learning, small and medium enterprises, XGBoost, ARIMA, time series.</w:t>
      </w:r>
    </w:p>
    <w:p>
      <w:pPr>
        <w:keepNext/>
        <w:spacing w:before="120" w:after="40" w:line="240" w:lineRule="auto"/>
        <w:jc w:val="center"/>
      </w:pPr>
      <w:r>
        <w:rPr>
          <w:rFonts w:ascii="Times New Roman" w:hAnsi="Times New Roman"/>
          <w:b/>
          <w:i w:val="0"/>
          <w:color w:val="000000"/>
          <w:sz w:val="20"/>
        </w:rPr>
        <w:t>I. INTRODUCTION</w:t>
      </w:r>
    </w:p>
    <w:p>
      <w:pPr>
        <w:keepNext w:val="0"/>
        <w:spacing w:before="0" w:after="70" w:line="240" w:lineRule="auto"/>
        <w:jc w:val="both"/>
      </w:pPr>
      <w:r>
        <w:rPr>
          <w:rFonts w:ascii="Times New Roman" w:hAnsi="Times New Roman"/>
          <w:b w:val="0"/>
          <w:i w:val="0"/>
          <w:color w:val="000000"/>
          <w:sz w:val="20"/>
        </w:rPr>
        <w:t>Profitability in retail operations depends fundamentally on maintaining optimal inventory levels. Holding insufficient stock leads to stockout events, lost sales, and degraded customer satisfaction, whereas excess inventory incurs substantial storage, holding, and capital costs. Large retail enterprises address this balance through advanced demand forecasting pipelines embedded in enterprise resource planning (ERP) architectures and maintained by dedicated teams of data scientists and supply-chain professionals. However, small and medium-sized businesses (SMBs) face identical inventory challenges without the corresponding financial or technical resources [1]–[4].</w:t>
      </w:r>
    </w:p>
    <w:p>
      <w:pPr>
        <w:keepNext w:val="0"/>
        <w:spacing w:before="0" w:after="70" w:line="240" w:lineRule="auto"/>
        <w:jc w:val="both"/>
      </w:pPr>
      <w:r>
        <w:rPr>
          <w:rFonts w:ascii="Times New Roman" w:hAnsi="Times New Roman"/>
          <w:b w:val="0"/>
          <w:i w:val="0"/>
          <w:color w:val="000000"/>
          <w:sz w:val="20"/>
        </w:rPr>
        <w:t>Research conducted on SMEs' inventory management practices consistently shows that most small businesses have no formal inventory management system in place, or one that is not data-driven — often decisions are based on previous experience, rule-of-thumb heuristics, and intuition as opposed to empirical data [1]. While there is some awareness among the SMEs about the available tools to make the system more formal, the problems are limited software budgets and not having the technical and data science skills needed in-house. This observation holds true across geographically distributed small businesses ranging from micro-enterprises with minimal software budgets [3] to urban retail surveys where implementation cost and technical complexity remain dominant obstacles [4].</w:t>
      </w:r>
    </w:p>
    <w:p>
      <w:pPr>
        <w:keepNext w:val="0"/>
        <w:spacing w:before="0" w:after="70" w:line="240" w:lineRule="auto"/>
        <w:jc w:val="both"/>
      </w:pPr>
      <w:r>
        <w:rPr>
          <w:rFonts w:ascii="Times New Roman" w:hAnsi="Times New Roman"/>
          <w:b w:val="0"/>
          <w:i w:val="0"/>
          <w:color w:val="000000"/>
          <w:sz w:val="20"/>
        </w:rPr>
        <w:t>In the meantime, however, published forecasting methods are not always evaluated from the perspective of the operational constraints faced by SMBs, such as limited historical data, limited forecasting infrastructure, and the need for systems that can be maintained by non-specialists. Specifically, academic forecasting studies typically assume multi-store pooled datasets, distributed computing clusters, dedicated tuning pipelines, and statistical metrics divorced from inventory outcomes. In contrast, the SMB setting is governed by distinct operational realities: (i) limited historical data (typically one or two years of single-store daily history), (ii) absence of dedicated data science staff, requiring models that operate reliably without continuous manual hyperparameter tuning, (iii) execution on commodity personal computers or low-cost cloud instances rather than distributed clusters, and (iv) the need to output information that can support actionable inventory decisions and provide insight into the potential implications for business costs rather than just delivering a raw statistical model.</w:t>
      </w:r>
    </w:p>
    <w:p>
      <w:pPr>
        <w:keepNext w:val="0"/>
        <w:spacing w:before="0" w:after="50" w:line="240" w:lineRule="auto"/>
        <w:jc w:val="both"/>
      </w:pPr>
      <w:r>
        <w:rPr>
          <w:rFonts w:ascii="Times New Roman" w:hAnsi="Times New Roman"/>
          <w:b w:val="0"/>
          <w:i w:val="0"/>
          <w:color w:val="000000"/>
          <w:sz w:val="20"/>
        </w:rPr>
        <w:t>All design decisions in Section III are based on these constraints: to make the best use of limited training data, a lightweight gradient boosting model was chosen over deep architectures, and models are assessed in terms of inventory buffer implications rather than purely abstract statistical measures. In this paper, we contribute three ideas which address this gap:</w:t>
      </w:r>
    </w:p>
    <w:p>
      <w:pPr>
        <w:keepNext w:val="0"/>
        <w:spacing w:before="0" w:after="50" w:line="240" w:lineRule="auto"/>
        <w:jc w:val="both"/>
      </w:pPr>
      <w:r>
        <w:rPr>
          <w:rFonts w:ascii="Times New Roman" w:hAnsi="Times New Roman"/>
          <w:b w:val="0"/>
          <w:i w:val="0"/>
          <w:color w:val="000000"/>
          <w:sz w:val="20"/>
        </w:rPr>
        <w:t>(1) A simple prototype system with a relational data layer, a real data ingestion pipeline validated against the Rossmann Store Sales data, and three different models: a moving-average baseline, an ARIMA model, and a feature-engineered XGBoost model.</w:t>
      </w:r>
    </w:p>
    <w:p>
      <w:pPr>
        <w:keepNext w:val="0"/>
        <w:spacing w:before="0" w:after="50" w:line="240" w:lineRule="auto"/>
        <w:jc w:val="both"/>
      </w:pPr>
      <w:r>
        <w:rPr>
          <w:rFonts w:ascii="Times New Roman" w:hAnsi="Times New Roman"/>
          <w:b w:val="0"/>
          <w:i w:val="0"/>
          <w:color w:val="000000"/>
          <w:sz w:val="20"/>
        </w:rPr>
        <w:t>(2) A suitable chronological train-test evaluation methodology with standard error measures (MAE, RMSE, MAPE, and sMAPE) evaluated at the individual-store level under SMB operational constraints across all 1,115 stores.</w:t>
      </w:r>
    </w:p>
    <w:p>
      <w:pPr>
        <w:keepNext w:val="0"/>
        <w:spacing w:before="0" w:after="70" w:line="240" w:lineRule="auto"/>
        <w:jc w:val="both"/>
      </w:pPr>
      <w:r>
        <w:rPr>
          <w:rFonts w:ascii="Times New Roman" w:hAnsi="Times New Roman"/>
          <w:b w:val="0"/>
          <w:i w:val="0"/>
          <w:color w:val="000000"/>
          <w:sz w:val="20"/>
        </w:rPr>
        <w:t>(3) A framing of the business-relevance aspect connecting forecast error reductions directly to safety-stock sizing and business cost implications to support inventory planning decisions for small business owners.</w:t>
      </w:r>
    </w:p>
    <w:p>
      <w:pPr>
        <w:keepNext w:val="0"/>
        <w:spacing w:before="0" w:after="70" w:line="240" w:lineRule="auto"/>
        <w:jc w:val="both"/>
      </w:pPr>
      <w:r>
        <w:rPr>
          <w:rFonts w:ascii="Times New Roman" w:hAnsi="Times New Roman"/>
          <w:b w:val="0"/>
          <w:i w:val="0"/>
          <w:color w:val="000000"/>
          <w:sz w:val="20"/>
        </w:rPr>
        <w:t>A review of previous research on demand forecasting is provided followed by the specific problems faced by SMBs (Section II). Section III outlines the architecture of the system, the dataset, the feature engineering pipeline, and the three evaluated models. Experimental results across all 1,115 stores and representative cases are presented in Section IV. Section V discusses inventory impact, deployment feasibility, threats to validity, and limitations. Section VI concludes the paper and highlights future research directions.</w:t>
      </w:r>
    </w:p>
    <w:p>
      <w:pPr>
        <w:keepNext/>
        <w:spacing w:before="120" w:after="40" w:line="240" w:lineRule="auto"/>
        <w:jc w:val="center"/>
      </w:pPr>
      <w:r>
        <w:rPr>
          <w:rFonts w:ascii="Times New Roman" w:hAnsi="Times New Roman"/>
          <w:b/>
          <w:i w:val="0"/>
          <w:color w:val="000000"/>
          <w:sz w:val="20"/>
        </w:rPr>
        <w:t>II. RELATED WORK</w:t>
      </w:r>
    </w:p>
    <w:p>
      <w:pPr>
        <w:keepNext/>
        <w:spacing w:before="80" w:after="30" w:line="240" w:lineRule="auto"/>
        <w:jc w:val="left"/>
      </w:pPr>
      <w:r>
        <w:rPr>
          <w:rFonts w:ascii="Times New Roman" w:hAnsi="Times New Roman"/>
          <w:b w:val="0"/>
          <w:i/>
          <w:color w:val="000000"/>
          <w:sz w:val="20"/>
        </w:rPr>
        <w:t>A. Inventory Problems for Small Businesses</w:t>
      </w:r>
    </w:p>
    <w:p>
      <w:pPr>
        <w:keepNext w:val="0"/>
        <w:spacing w:before="0" w:after="70" w:line="240" w:lineRule="auto"/>
        <w:jc w:val="both"/>
      </w:pPr>
      <w:r>
        <w:rPr>
          <w:rFonts w:ascii="Times New Roman" w:hAnsi="Times New Roman"/>
          <w:b w:val="0"/>
          <w:i w:val="0"/>
          <w:color w:val="000000"/>
          <w:sz w:val="20"/>
        </w:rPr>
        <w:t>A recurring finding across small business literature is that inventory inefficiencies and demand blind spots stem primarily from the absence of affordable, right-sized forecasting tooling rather than a lack of inventory awareness [1]–[3]. Only a small minority of small businesses employ an inventory worker specialized in this role; when they do, businesses typically cross-train existing workers in inventory or record data in spreadsheets, both of which slow the turnaround time of demand signals [1]. Intriguingly, scarce tooling is not the main issue in ERP-adoption literature [2], [4]; surveys suggest that limited technical staff, integration complexity, and high license costs are the main obstacles to enterprise system adoption. A wider consensus emerges that stockout risks and lack of demand visibility are fundamentally driven by the lack of right-sized, affordable tooling. This fact is crucial in the design of the system proposed in this paper, which must be cost-effective and simple enough for a non-specialist to maintain [14].</w:t>
      </w:r>
    </w:p>
    <w:p>
      <w:pPr>
        <w:keepNext/>
        <w:spacing w:before="80" w:after="30" w:line="240" w:lineRule="auto"/>
        <w:jc w:val="left"/>
      </w:pPr>
      <w:r>
        <w:rPr>
          <w:rFonts w:ascii="Times New Roman" w:hAnsi="Times New Roman"/>
          <w:b w:val="0"/>
          <w:i/>
          <w:color w:val="000000"/>
          <w:sz w:val="20"/>
        </w:rPr>
        <w:t>B. Forecasting Approaches</w:t>
      </w:r>
    </w:p>
    <w:p>
      <w:pPr>
        <w:keepNext w:val="0"/>
        <w:spacing w:before="0" w:after="70" w:line="240" w:lineRule="auto"/>
        <w:jc w:val="both"/>
      </w:pPr>
      <w:r>
        <w:rPr>
          <w:rFonts w:ascii="Times New Roman" w:hAnsi="Times New Roman"/>
          <w:b w:val="0"/>
          <w:i w:val="0"/>
          <w:color w:val="000000"/>
          <w:sz w:val="20"/>
        </w:rPr>
        <w:t>Simple heuristic methods are widely used in inventory control despite being less data-intensive [15]. Classical time-series techniques, such as ARIMA, have a solid statistical foundation and are well-suited for sequential demand data [7]. Machine learning techniques like XGBoost can capture complex nonlinear relationships and interactions using gradient boosted decision trees [6]. Sequential deep-learning architectures, including Recurrent Neural Networks and Long Short-Term Memory (LSTM) networks, have also been investigated for supply-chain demand forecasting [4], [8], [10], though their computational overhead and complex tuning make them less practical for resource-constrained SMBs [14]. Carbonneau et al. evaluated neural networks, recurrent neural networks, and support vector machines for supply-chain demand forecasting [4]. Multiscale structural component models have also been explored for hierarchical series [13]. Large-scale forecasting competitions such as M4 [5] and M5 [11] benchmarked hundreds of models across broad retail datasets, demonstrating the strong competitive advantage of gradient boosted decision trees on retail demand series. Syntetos et al. emphasized the persistent gap between academic forecasting theory and real-world supply-chain practice [16].</w:t>
      </w:r>
    </w:p>
    <w:p>
      <w:pPr>
        <w:keepNext/>
        <w:spacing w:before="80" w:after="20" w:line="240" w:lineRule="auto"/>
        <w:jc w:val="center"/>
      </w:pPr>
      <w:r>
        <w:rPr>
          <w:rFonts w:ascii="Times New Roman" w:hAnsi="Times New Roman"/>
          <w:b w:val="0"/>
          <w:i/>
          <w:color w:val="000000"/>
          <w:sz w:val="17"/>
        </w:rPr>
        <w:t>TABLE I.  POSITIONING RELATIVE TO CLOSELY RELATED WORK</w:t>
      </w:r>
    </w:p>
    <w:tbl>
      <w:tblPr>
        <w:tblW w:type="auto" w:w="0"/>
        <w:jc w:val="center"/>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2610"/>
        <w:gridCol w:w="2610"/>
        <w:gridCol w:w="2610"/>
        <w:gridCol w:w="2610"/>
      </w:tblGrid>
      <w:tr>
        <w:trPr>
          <w:cantSplit/>
        </w:trPr>
        <w:tc>
          <w:tcPr>
            <w:tcW w:type="dxa" w:w="2610"/>
            <w:tcW w:w="936" w:type="dxa"/>
          </w:tcPr>
          <w:p>
            <w:pPr>
              <w:spacing w:before="0" w:after="20"/>
              <w:jc w:val="center"/>
            </w:pPr>
            <w:r>
              <w:rPr>
                <w:rFonts w:ascii="Times New Roman" w:hAnsi="Times New Roman"/>
                <w:b/>
                <w:i w:val="0"/>
                <w:color w:val="000000"/>
                <w:sz w:val="15"/>
              </w:rPr>
              <w:t>Study</w:t>
            </w:r>
          </w:p>
        </w:tc>
        <w:tc>
          <w:tcPr>
            <w:tcW w:type="dxa" w:w="2610"/>
            <w:tcW w:w="1368" w:type="dxa"/>
          </w:tcPr>
          <w:p>
            <w:pPr>
              <w:spacing w:before="0" w:after="20"/>
              <w:jc w:val="left"/>
            </w:pPr>
            <w:r>
              <w:rPr>
                <w:rFonts w:ascii="Times New Roman" w:hAnsi="Times New Roman"/>
                <w:b/>
                <w:i w:val="0"/>
                <w:color w:val="000000"/>
                <w:sz w:val="15"/>
              </w:rPr>
              <w:t>Target Scale</w:t>
            </w:r>
          </w:p>
        </w:tc>
        <w:tc>
          <w:tcPr>
            <w:tcW w:type="dxa" w:w="2610"/>
            <w:tcW w:w="1368" w:type="dxa"/>
          </w:tcPr>
          <w:p>
            <w:pPr>
              <w:spacing w:before="0" w:after="20"/>
              <w:jc w:val="left"/>
            </w:pPr>
            <w:r>
              <w:rPr>
                <w:rFonts w:ascii="Times New Roman" w:hAnsi="Times New Roman"/>
                <w:b/>
                <w:i w:val="0"/>
                <w:color w:val="000000"/>
                <w:sz w:val="15"/>
              </w:rPr>
              <w:t>Models</w:t>
            </w:r>
          </w:p>
        </w:tc>
        <w:tc>
          <w:tcPr>
            <w:tcW w:type="dxa" w:w="2610"/>
            <w:tcW w:w="1152" w:type="dxa"/>
          </w:tcPr>
          <w:p>
            <w:pPr>
              <w:spacing w:before="0" w:after="20"/>
              <w:jc w:val="left"/>
            </w:pPr>
            <w:r>
              <w:rPr>
                <w:rFonts w:ascii="Times New Roman" w:hAnsi="Times New Roman"/>
                <w:b/>
                <w:i w:val="0"/>
                <w:color w:val="000000"/>
                <w:sz w:val="15"/>
              </w:rPr>
              <w:t>Cost Framing</w:t>
            </w:r>
          </w:p>
        </w:tc>
      </w:tr>
      <w:tr>
        <w:trPr>
          <w:cantSplit/>
        </w:trPr>
        <w:tc>
          <w:tcPr>
            <w:tcW w:type="dxa" w:w="2610"/>
            <w:tcW w:w="936" w:type="dxa"/>
          </w:tcPr>
          <w:p>
            <w:pPr>
              <w:spacing w:before="0" w:after="20"/>
              <w:jc w:val="center"/>
            </w:pPr>
            <w:r>
              <w:rPr>
                <w:rFonts w:ascii="Times New Roman" w:hAnsi="Times New Roman"/>
                <w:b w:val="0"/>
                <w:i w:val="0"/>
                <w:color w:val="000000"/>
                <w:sz w:val="15"/>
              </w:rPr>
              <w:t>[11]</w:t>
            </w:r>
          </w:p>
        </w:tc>
        <w:tc>
          <w:tcPr>
            <w:tcW w:type="dxa" w:w="2610"/>
            <w:tcW w:w="1368" w:type="dxa"/>
          </w:tcPr>
          <w:p>
            <w:pPr>
              <w:spacing w:before="0" w:after="20"/>
              <w:jc w:val="left"/>
            </w:pPr>
            <w:r>
              <w:rPr>
                <w:rFonts w:ascii="Times New Roman" w:hAnsi="Times New Roman"/>
                <w:b w:val="0"/>
                <w:i w:val="0"/>
                <w:color w:val="000000"/>
                <w:sz w:val="15"/>
              </w:rPr>
              <w:t>General retail</w:t>
            </w:r>
          </w:p>
        </w:tc>
        <w:tc>
          <w:tcPr>
            <w:tcW w:type="dxa" w:w="2610"/>
            <w:tcW w:w="1368" w:type="dxa"/>
          </w:tcPr>
          <w:p>
            <w:pPr>
              <w:spacing w:before="0" w:after="20"/>
              <w:jc w:val="left"/>
            </w:pPr>
            <w:r>
              <w:rPr>
                <w:rFonts w:ascii="Times New Roman" w:hAnsi="Times New Roman"/>
                <w:b w:val="0"/>
                <w:i w:val="0"/>
                <w:color w:val="000000"/>
                <w:sz w:val="15"/>
              </w:rPr>
              <w:t>GBDT &amp; ML (M5)</w:t>
            </w:r>
          </w:p>
        </w:tc>
        <w:tc>
          <w:tcPr>
            <w:tcW w:type="dxa" w:w="2610"/>
            <w:tcW w:w="1152" w:type="dxa"/>
          </w:tcPr>
          <w:p>
            <w:pPr>
              <w:spacing w:before="0" w:after="20"/>
              <w:jc w:val="left"/>
            </w:pPr>
            <w:r>
              <w:rPr>
                <w:rFonts w:ascii="Times New Roman" w:hAnsi="Times New Roman"/>
                <w:b w:val="0"/>
                <w:i w:val="0"/>
                <w:color w:val="000000"/>
                <w:sz w:val="15"/>
              </w:rPr>
              <w:t>No</w:t>
            </w:r>
          </w:p>
        </w:tc>
      </w:tr>
      <w:tr>
        <w:trPr>
          <w:cantSplit/>
        </w:trPr>
        <w:tc>
          <w:tcPr>
            <w:tcW w:type="dxa" w:w="2610"/>
            <w:tcW w:w="936" w:type="dxa"/>
          </w:tcPr>
          <w:p>
            <w:pPr>
              <w:spacing w:before="0" w:after="20"/>
              <w:jc w:val="center"/>
            </w:pPr>
            <w:r>
              <w:rPr>
                <w:rFonts w:ascii="Times New Roman" w:hAnsi="Times New Roman"/>
                <w:b w:val="0"/>
                <w:i w:val="0"/>
                <w:color w:val="000000"/>
                <w:sz w:val="15"/>
              </w:rPr>
              <w:t>[5]</w:t>
            </w:r>
          </w:p>
        </w:tc>
        <w:tc>
          <w:tcPr>
            <w:tcW w:type="dxa" w:w="2610"/>
            <w:tcW w:w="1368" w:type="dxa"/>
          </w:tcPr>
          <w:p>
            <w:pPr>
              <w:spacing w:before="0" w:after="20"/>
              <w:jc w:val="left"/>
            </w:pPr>
            <w:r>
              <w:rPr>
                <w:rFonts w:ascii="Times New Roman" w:hAnsi="Times New Roman"/>
                <w:b w:val="0"/>
                <w:i w:val="0"/>
                <w:color w:val="000000"/>
                <w:sz w:val="15"/>
              </w:rPr>
              <w:t>General time series</w:t>
            </w:r>
          </w:p>
        </w:tc>
        <w:tc>
          <w:tcPr>
            <w:tcW w:type="dxa" w:w="2610"/>
            <w:tcW w:w="1368" w:type="dxa"/>
          </w:tcPr>
          <w:p>
            <w:pPr>
              <w:spacing w:before="0" w:after="20"/>
              <w:jc w:val="left"/>
            </w:pPr>
            <w:r>
              <w:rPr>
                <w:rFonts w:ascii="Times New Roman" w:hAnsi="Times New Roman"/>
                <w:b w:val="0"/>
                <w:i w:val="0"/>
                <w:color w:val="000000"/>
                <w:sz w:val="15"/>
              </w:rPr>
              <w:t>Classical &amp; Neural (M4)</w:t>
            </w:r>
          </w:p>
        </w:tc>
        <w:tc>
          <w:tcPr>
            <w:tcW w:type="dxa" w:w="2610"/>
            <w:tcW w:w="1152" w:type="dxa"/>
          </w:tcPr>
          <w:p>
            <w:pPr>
              <w:spacing w:before="0" w:after="20"/>
              <w:jc w:val="left"/>
            </w:pPr>
            <w:r>
              <w:rPr>
                <w:rFonts w:ascii="Times New Roman" w:hAnsi="Times New Roman"/>
                <w:b w:val="0"/>
                <w:i w:val="0"/>
                <w:color w:val="000000"/>
                <w:sz w:val="15"/>
              </w:rPr>
              <w:t>No</w:t>
            </w:r>
          </w:p>
        </w:tc>
      </w:tr>
      <w:tr>
        <w:trPr>
          <w:cantSplit/>
        </w:trPr>
        <w:tc>
          <w:tcPr>
            <w:tcW w:type="dxa" w:w="2610"/>
            <w:tcW w:w="936" w:type="dxa"/>
          </w:tcPr>
          <w:p>
            <w:pPr>
              <w:spacing w:before="0" w:after="20"/>
              <w:jc w:val="center"/>
            </w:pPr>
            <w:r>
              <w:rPr>
                <w:rFonts w:ascii="Times New Roman" w:hAnsi="Times New Roman"/>
                <w:b w:val="0"/>
                <w:i w:val="0"/>
                <w:color w:val="000000"/>
                <w:sz w:val="15"/>
              </w:rPr>
              <w:t>[4]</w:t>
            </w:r>
          </w:p>
        </w:tc>
        <w:tc>
          <w:tcPr>
            <w:tcW w:type="dxa" w:w="2610"/>
            <w:tcW w:w="1368" w:type="dxa"/>
          </w:tcPr>
          <w:p>
            <w:pPr>
              <w:spacing w:before="0" w:after="20"/>
              <w:jc w:val="left"/>
            </w:pPr>
            <w:r>
              <w:rPr>
                <w:rFonts w:ascii="Times New Roman" w:hAnsi="Times New Roman"/>
                <w:b w:val="0"/>
                <w:i w:val="0"/>
                <w:color w:val="000000"/>
                <w:sz w:val="15"/>
              </w:rPr>
              <w:t>Supply chain demand</w:t>
            </w:r>
          </w:p>
        </w:tc>
        <w:tc>
          <w:tcPr>
            <w:tcW w:type="dxa" w:w="2610"/>
            <w:tcW w:w="1368" w:type="dxa"/>
          </w:tcPr>
          <w:p>
            <w:pPr>
              <w:spacing w:before="0" w:after="20"/>
              <w:jc w:val="left"/>
            </w:pPr>
            <w:r>
              <w:rPr>
                <w:rFonts w:ascii="Times New Roman" w:hAnsi="Times New Roman"/>
                <w:b w:val="0"/>
                <w:i w:val="0"/>
                <w:color w:val="000000"/>
                <w:sz w:val="15"/>
              </w:rPr>
              <w:t>Neural Networks, RNN, SVM</w:t>
            </w:r>
          </w:p>
        </w:tc>
        <w:tc>
          <w:tcPr>
            <w:tcW w:type="dxa" w:w="2610"/>
            <w:tcW w:w="1152" w:type="dxa"/>
          </w:tcPr>
          <w:p>
            <w:pPr>
              <w:spacing w:before="0" w:after="20"/>
              <w:jc w:val="left"/>
            </w:pPr>
            <w:r>
              <w:rPr>
                <w:rFonts w:ascii="Times New Roman" w:hAnsi="Times New Roman"/>
                <w:b w:val="0"/>
                <w:i w:val="0"/>
                <w:color w:val="000000"/>
                <w:sz w:val="15"/>
              </w:rPr>
              <w:t>Partial</w:t>
            </w:r>
          </w:p>
        </w:tc>
      </w:tr>
      <w:tr>
        <w:trPr>
          <w:cantSplit/>
        </w:trPr>
        <w:tc>
          <w:tcPr>
            <w:tcW w:type="dxa" w:w="2610"/>
            <w:tcW w:w="936" w:type="dxa"/>
          </w:tcPr>
          <w:p>
            <w:pPr>
              <w:spacing w:before="0" w:after="20"/>
              <w:jc w:val="center"/>
            </w:pPr>
            <w:r>
              <w:rPr>
                <w:rFonts w:ascii="Times New Roman" w:hAnsi="Times New Roman"/>
                <w:b w:val="0"/>
                <w:i w:val="0"/>
                <w:color w:val="000000"/>
                <w:sz w:val="15"/>
              </w:rPr>
              <w:t>[9]</w:t>
            </w:r>
          </w:p>
        </w:tc>
        <w:tc>
          <w:tcPr>
            <w:tcW w:type="dxa" w:w="2610"/>
            <w:tcW w:w="1368" w:type="dxa"/>
          </w:tcPr>
          <w:p>
            <w:pPr>
              <w:spacing w:before="0" w:after="20"/>
              <w:jc w:val="left"/>
            </w:pPr>
            <w:r>
              <w:rPr>
                <w:rFonts w:ascii="Times New Roman" w:hAnsi="Times New Roman"/>
                <w:b w:val="0"/>
                <w:i w:val="0"/>
                <w:color w:val="000000"/>
                <w:sz w:val="15"/>
              </w:rPr>
              <w:t>Micro/small enterprise</w:t>
            </w:r>
          </w:p>
        </w:tc>
        <w:tc>
          <w:tcPr>
            <w:tcW w:type="dxa" w:w="2610"/>
            <w:tcW w:w="1368" w:type="dxa"/>
          </w:tcPr>
          <w:p>
            <w:pPr>
              <w:spacing w:before="0" w:after="20"/>
              <w:jc w:val="left"/>
            </w:pPr>
            <w:r>
              <w:rPr>
                <w:rFonts w:ascii="Times New Roman" w:hAnsi="Times New Roman"/>
                <w:b w:val="0"/>
                <w:i w:val="0"/>
                <w:color w:val="000000"/>
                <w:sz w:val="15"/>
              </w:rPr>
              <w:t>ML Stock Forecasting</w:t>
            </w:r>
          </w:p>
        </w:tc>
        <w:tc>
          <w:tcPr>
            <w:tcW w:type="dxa" w:w="2610"/>
            <w:tcW w:w="1152" w:type="dxa"/>
          </w:tcPr>
          <w:p>
            <w:pPr>
              <w:spacing w:before="0" w:after="20"/>
              <w:jc w:val="left"/>
            </w:pPr>
            <w:r>
              <w:rPr>
                <w:rFonts w:ascii="Times New Roman" w:hAnsi="Times New Roman"/>
                <w:b w:val="0"/>
                <w:i w:val="0"/>
                <w:color w:val="000000"/>
                <w:sz w:val="15"/>
              </w:rPr>
              <w:t>No</w:t>
            </w:r>
          </w:p>
        </w:tc>
      </w:tr>
      <w:tr>
        <w:trPr>
          <w:cantSplit/>
        </w:trPr>
        <w:tc>
          <w:tcPr>
            <w:tcW w:type="dxa" w:w="2610"/>
            <w:tcW w:w="936" w:type="dxa"/>
          </w:tcPr>
          <w:p>
            <w:pPr>
              <w:spacing w:before="0" w:after="20"/>
              <w:jc w:val="center"/>
            </w:pPr>
            <w:r>
              <w:rPr>
                <w:rFonts w:ascii="Times New Roman" w:hAnsi="Times New Roman"/>
                <w:b w:val="0"/>
                <w:i w:val="0"/>
                <w:color w:val="000000"/>
                <w:sz w:val="15"/>
              </w:rPr>
              <w:t>[16]</w:t>
            </w:r>
          </w:p>
        </w:tc>
        <w:tc>
          <w:tcPr>
            <w:tcW w:type="dxa" w:w="2610"/>
            <w:tcW w:w="1368" w:type="dxa"/>
          </w:tcPr>
          <w:p>
            <w:pPr>
              <w:spacing w:before="0" w:after="20"/>
              <w:jc w:val="left"/>
            </w:pPr>
            <w:r>
              <w:rPr>
                <w:rFonts w:ascii="Times New Roman" w:hAnsi="Times New Roman"/>
                <w:b w:val="0"/>
                <w:i w:val="0"/>
                <w:color w:val="000000"/>
                <w:sz w:val="15"/>
              </w:rPr>
              <w:t>General retail / supply chain</w:t>
            </w:r>
          </w:p>
        </w:tc>
        <w:tc>
          <w:tcPr>
            <w:tcW w:type="dxa" w:w="2610"/>
            <w:tcW w:w="1368" w:type="dxa"/>
          </w:tcPr>
          <w:p>
            <w:pPr>
              <w:spacing w:before="0" w:after="20"/>
              <w:jc w:val="left"/>
            </w:pPr>
            <w:r>
              <w:rPr>
                <w:rFonts w:ascii="Times New Roman" w:hAnsi="Times New Roman"/>
                <w:b w:val="0"/>
                <w:i w:val="0"/>
                <w:color w:val="000000"/>
                <w:sz w:val="15"/>
              </w:rPr>
              <w:t>Statistical &amp; Judgemental</w:t>
            </w:r>
          </w:p>
        </w:tc>
        <w:tc>
          <w:tcPr>
            <w:tcW w:type="dxa" w:w="2610"/>
            <w:tcW w:w="1152" w:type="dxa"/>
          </w:tcPr>
          <w:p>
            <w:pPr>
              <w:spacing w:before="0" w:after="20"/>
              <w:jc w:val="left"/>
            </w:pPr>
            <w:r>
              <w:rPr>
                <w:rFonts w:ascii="Times New Roman" w:hAnsi="Times New Roman"/>
                <w:b w:val="0"/>
                <w:i w:val="0"/>
                <w:color w:val="000000"/>
                <w:sz w:val="15"/>
              </w:rPr>
              <w:t>Qualitative</w:t>
            </w:r>
          </w:p>
        </w:tc>
      </w:tr>
      <w:tr>
        <w:trPr>
          <w:cantSplit/>
        </w:trPr>
        <w:tc>
          <w:tcPr>
            <w:tcW w:type="dxa" w:w="2610"/>
            <w:tcW w:w="936" w:type="dxa"/>
          </w:tcPr>
          <w:p>
            <w:pPr>
              <w:spacing w:before="0" w:after="20"/>
              <w:jc w:val="center"/>
            </w:pPr>
            <w:r>
              <w:rPr>
                <w:rFonts w:ascii="Times New Roman" w:hAnsi="Times New Roman"/>
                <w:b/>
                <w:i w:val="0"/>
                <w:color w:val="000000"/>
                <w:sz w:val="15"/>
              </w:rPr>
              <w:t>This work</w:t>
            </w:r>
          </w:p>
        </w:tc>
        <w:tc>
          <w:tcPr>
            <w:tcW w:type="dxa" w:w="2610"/>
            <w:tcW w:w="1368" w:type="dxa"/>
          </w:tcPr>
          <w:p>
            <w:pPr>
              <w:spacing w:before="0" w:after="20"/>
              <w:jc w:val="left"/>
            </w:pPr>
            <w:r>
              <w:rPr>
                <w:rFonts w:ascii="Times New Roman" w:hAnsi="Times New Roman"/>
                <w:b w:val="0"/>
                <w:i w:val="0"/>
                <w:color w:val="000000"/>
                <w:sz w:val="15"/>
              </w:rPr>
              <w:t>SMB-oriented / individual-store</w:t>
            </w:r>
          </w:p>
        </w:tc>
        <w:tc>
          <w:tcPr>
            <w:tcW w:type="dxa" w:w="2610"/>
            <w:tcW w:w="1368" w:type="dxa"/>
          </w:tcPr>
          <w:p>
            <w:pPr>
              <w:spacing w:before="0" w:after="20"/>
              <w:jc w:val="left"/>
            </w:pPr>
            <w:r>
              <w:rPr>
                <w:rFonts w:ascii="Times New Roman" w:hAnsi="Times New Roman"/>
                <w:b w:val="0"/>
                <w:i w:val="0"/>
                <w:color w:val="000000"/>
                <w:sz w:val="15"/>
              </w:rPr>
              <w:t>Baseline, ARIMA, XGBoost</w:t>
            </w:r>
          </w:p>
        </w:tc>
        <w:tc>
          <w:tcPr>
            <w:tcW w:type="dxa" w:w="2610"/>
            <w:tcW w:w="1152" w:type="dxa"/>
          </w:tcPr>
          <w:p>
            <w:pPr>
              <w:spacing w:before="0" w:after="20"/>
              <w:jc w:val="left"/>
            </w:pPr>
            <w:r>
              <w:rPr>
                <w:rFonts w:ascii="Times New Roman" w:hAnsi="Times New Roman"/>
                <w:b w:val="0"/>
                <w:i w:val="0"/>
                <w:color w:val="000000"/>
                <w:sz w:val="15"/>
              </w:rPr>
              <w:t>Yes (illustrative safety-stock analysis)</w:t>
            </w:r>
          </w:p>
        </w:tc>
      </w:tr>
    </w:tbl>
    <w:p>
      <w:pPr>
        <w:keepNext/>
        <w:spacing w:before="80" w:after="30" w:line="240" w:lineRule="auto"/>
        <w:jc w:val="left"/>
      </w:pPr>
      <w:r>
        <w:rPr>
          <w:rFonts w:ascii="Times New Roman" w:hAnsi="Times New Roman"/>
          <w:b w:val="0"/>
          <w:i/>
          <w:color w:val="000000"/>
          <w:sz w:val="20"/>
        </w:rPr>
        <w:t>C. Comparison with Prior Work and Research Gap</w:t>
      </w:r>
    </w:p>
    <w:p>
      <w:pPr>
        <w:keepNext w:val="0"/>
        <w:spacing w:before="0" w:after="70" w:line="240" w:lineRule="auto"/>
        <w:jc w:val="both"/>
      </w:pPr>
      <w:r>
        <w:rPr>
          <w:rFonts w:ascii="Times New Roman" w:hAnsi="Times New Roman"/>
          <w:b w:val="0"/>
          <w:i w:val="0"/>
          <w:color w:val="000000"/>
          <w:sz w:val="20"/>
        </w:rPr>
        <w:t>Table I compares this study with representative literature across target scale, models, and cost framing. Most prior comparisons of ARIMA, XGBoost, and neural networks were conducted in large retail chains or e-commerce platforms with years of multi-store data and dedicated computing power [4], [5], [11], [16]. The reviewed studies do not explicitly evaluate forecasting performance under the SMB-oriented constraints considered in this work or directly connect forecast error with the illustrative inventory decisions examined here. The study most similar to this work in its explicit focus on micro and small enterprises is Franco et al. [9]. Other related forecasting studies provide methodological context for the models evaluated in this work [4], [6], [7]. The work of Franco et al. [9], for example, does not use the time-based evaluation protocol adopted here or explicitly connect forecast errors to the illustrative inventory decisions examined in this study. This paper's strategy is distinct in combining lightweight, reproducible models with an individual-store chronological evaluation tailored to SMB constraints, while explicitly translating forecast error metrics into safety-stock implications.</w:t>
      </w:r>
    </w:p>
    <w:p>
      <w:pPr>
        <w:keepNext w:val="0"/>
        <w:spacing w:before="0" w:after="70" w:line="240" w:lineRule="auto"/>
        <w:jc w:val="both"/>
      </w:pPr>
      <w:r>
        <w:rPr>
          <w:rFonts w:ascii="Times New Roman" w:hAnsi="Times New Roman"/>
          <w:b w:val="0"/>
          <w:i w:val="0"/>
          <w:color w:val="000000"/>
          <w:sz w:val="20"/>
        </w:rPr>
        <w:t>Combined, the literature suggests two facts that are rarely discussed together: first, there is a proven tooling hole in the SMB inventory management space predominantly due to cost and internal capability restrictions; second, gradient boosted decision trees can usefully outperform classical statistical methods on retail demand data. The missing piece is a system that combines these two facts, designed for SMB operational constraints and evaluated at the individual-store level across a large public retail dataset. Addressing this gap requires a lightweight, accessible forecasting pipeline tailored to SMB operational constraints.</w:t>
      </w:r>
    </w:p>
    <w:p>
      <w:pPr>
        <w:keepNext/>
        <w:spacing w:before="120" w:after="40" w:line="240" w:lineRule="auto"/>
        <w:jc w:val="center"/>
      </w:pPr>
      <w:r>
        <w:rPr>
          <w:rFonts w:ascii="Times New Roman" w:hAnsi="Times New Roman"/>
          <w:b/>
          <w:i w:val="0"/>
          <w:color w:val="000000"/>
          <w:sz w:val="20"/>
        </w:rPr>
        <w:t>III. METHODOLOGY</w:t>
      </w:r>
    </w:p>
    <w:p>
      <w:pPr>
        <w:keepNext/>
        <w:spacing w:before="80" w:after="30" w:line="240" w:lineRule="auto"/>
        <w:jc w:val="left"/>
      </w:pPr>
      <w:r>
        <w:rPr>
          <w:rFonts w:ascii="Times New Roman" w:hAnsi="Times New Roman"/>
          <w:b w:val="0"/>
          <w:i/>
          <w:color w:val="000000"/>
          <w:sz w:val="20"/>
        </w:rPr>
        <w:t>A. System Architecture</w:t>
      </w:r>
    </w:p>
    <w:p>
      <w:pPr>
        <w:keepNext w:val="0"/>
        <w:spacing w:before="0" w:after="70" w:line="240" w:lineRule="auto"/>
        <w:jc w:val="both"/>
      </w:pPr>
      <w:r>
        <w:rPr>
          <w:rFonts w:ascii="Times New Roman" w:hAnsi="Times New Roman"/>
          <w:b w:val="0"/>
          <w:i w:val="0"/>
          <w:color w:val="000000"/>
          <w:sz w:val="20"/>
        </w:rPr>
        <w:t>The system architecture is composed of four sequential steps: analyzing and ingesting sales data, engineering high-quality features from the sales data, training the three forecasting models on the extracted features, and generating the forecasts (Fig. 1). Raw daily sales data is scrubbed and transformed into features from which the models learn, which includes identifying inconsistencies, handling zero and missing sales data, and computing the lag, rolling-window, and calendar features described below. Each model is trained and evaluated under identical chronological splits so that all three can be compared under the same evaluation conditions. The pipeline is designed to be modular and linear: any component, from ingestion to feature extraction and model inference, can be updated or expanded without redesigning the architecture.</w:t>
      </w:r>
    </w:p>
    <w:p>
      <w:pPr>
        <w:keepNext/>
        <w:spacing w:before="60" w:after="20" w:line="240" w:lineRule="auto"/>
        <w:jc w:val="center"/>
      </w:pPr>
      <w:r>
        <w:drawing>
          <wp:inline xmlns:a="http://schemas.openxmlformats.org/drawingml/2006/main" xmlns:pic="http://schemas.openxmlformats.org/drawingml/2006/picture">
            <wp:extent cx="3063240" cy="1619522"/>
            <wp:docPr id="1" name="Picture 1"/>
            <wp:cNvGraphicFramePr>
              <a:graphicFrameLocks noChangeAspect="1"/>
            </wp:cNvGraphicFramePr>
            <a:graphic>
              <a:graphicData uri="http://schemas.openxmlformats.org/drawingml/2006/picture">
                <pic:pic>
                  <pic:nvPicPr>
                    <pic:cNvPr id="0" name="image_3_updated.png"/>
                    <pic:cNvPicPr/>
                  </pic:nvPicPr>
                  <pic:blipFill>
                    <a:blip r:embed="rId9"/>
                    <a:stretch>
                      <a:fillRect/>
                    </a:stretch>
                  </pic:blipFill>
                  <pic:spPr>
                    <a:xfrm>
                      <a:off x="0" y="0"/>
                      <a:ext cx="3063240" cy="1619522"/>
                    </a:xfrm>
                    <a:prstGeom prst="rect"/>
                  </pic:spPr>
                </pic:pic>
              </a:graphicData>
            </a:graphic>
          </wp:inline>
        </w:drawing>
      </w:r>
    </w:p>
    <w:p>
      <w:pPr>
        <w:keepNext w:val="0"/>
        <w:spacing w:before="20" w:after="80" w:line="240" w:lineRule="auto"/>
        <w:jc w:val="center"/>
      </w:pPr>
      <w:r>
        <w:rPr>
          <w:rFonts w:ascii="Times New Roman" w:hAnsi="Times New Roman"/>
          <w:b w:val="0"/>
          <w:i/>
          <w:color w:val="000000"/>
          <w:sz w:val="16"/>
        </w:rPr>
        <w:t>Fig. 1. System architecture: raw sales data goes through ingestion, feature engineering and into the model layer which generates forecasts, scored by the evaluation layer.</w:t>
      </w:r>
    </w:p>
    <w:p>
      <w:pPr>
        <w:keepNext/>
        <w:spacing w:before="80" w:after="30" w:line="240" w:lineRule="auto"/>
        <w:jc w:val="left"/>
      </w:pPr>
      <w:r>
        <w:rPr>
          <w:rFonts w:ascii="Times New Roman" w:hAnsi="Times New Roman"/>
          <w:b w:val="0"/>
          <w:i/>
          <w:color w:val="000000"/>
          <w:sz w:val="20"/>
        </w:rPr>
        <w:t>B. Dataset</w:t>
      </w:r>
    </w:p>
    <w:p>
      <w:pPr>
        <w:keepNext w:val="0"/>
        <w:spacing w:before="0" w:after="70" w:line="240" w:lineRule="auto"/>
        <w:jc w:val="both"/>
      </w:pPr>
      <w:r>
        <w:rPr>
          <w:rFonts w:ascii="Times New Roman" w:hAnsi="Times New Roman"/>
          <w:b w:val="0"/>
          <w:i w:val="0"/>
          <w:color w:val="000000"/>
          <w:sz w:val="20"/>
        </w:rPr>
        <w:t>The evaluation is done using the entire Rossmann Store Sales dataset (Kaggle): all 1,115 stores, all four store types (Type A: 602 general stores, Type B: 17 high-volume transit stores, Type C: 148 community pharmacies, and Type D: 348 extended-assortment stores). For each of the 1,115 stores, a chronological 730-day window was used, consisting of 670 days for training and 60 days for held-out testing. All 1,115 stores were included in the aggregate evaluation. Stores 1, 4, and 9 were additionally examined in detail to illustrate store-level forecasting behavior across distinct store categories. Because the Rossmann dataset provides daily sales rather than direct inventory-demand records, daily sales are used as the demand signal for forecasting and inventory-planning analysis. The zero sales pattern characteristic of small retailers is maintained for scheduled closure days (Open = 0), which is accounted for by the model fitting and metric selection. Closures make up approximately 15% of days overall; in the 60-day test window, each store sees 8–9 closed days (Store 1: 51 open / 9 closed, Store 4: 52 open / 8 closed, Store 9: 51 open / 9 closed).</w:t>
      </w:r>
    </w:p>
    <w:p>
      <w:pPr>
        <w:keepNext/>
        <w:spacing w:before="80" w:after="30" w:line="240" w:lineRule="auto"/>
        <w:jc w:val="left"/>
      </w:pPr>
      <w:r>
        <w:rPr>
          <w:rFonts w:ascii="Times New Roman" w:hAnsi="Times New Roman"/>
          <w:b w:val="0"/>
          <w:i/>
          <w:color w:val="000000"/>
          <w:sz w:val="20"/>
        </w:rPr>
        <w:t>C. Forecasting Models</w:t>
      </w:r>
    </w:p>
    <w:p>
      <w:pPr>
        <w:keepNext w:val="0"/>
        <w:spacing w:before="0" w:after="50" w:line="240" w:lineRule="auto"/>
        <w:jc w:val="both"/>
      </w:pPr>
      <w:r>
        <w:rPr>
          <w:rFonts w:ascii="Times New Roman" w:hAnsi="Times New Roman"/>
          <w:b w:val="0"/>
          <w:i w:val="0"/>
          <w:color w:val="000000"/>
          <w:sz w:val="20"/>
        </w:rPr>
        <w:t>A set of three increasingly complex forecasting models were assessed using the same chronological training and test windows, with model-specific forecasting procedures described below:</w:t>
      </w:r>
    </w:p>
    <w:p>
      <w:pPr>
        <w:keepNext w:val="0"/>
        <w:spacing w:before="0" w:after="50" w:line="240" w:lineRule="auto"/>
        <w:jc w:val="both"/>
      </w:pPr>
      <w:r>
        <w:rPr>
          <w:rFonts w:ascii="Times New Roman" w:hAnsi="Times New Roman"/>
          <w:b w:val="0"/>
          <w:i w:val="0"/>
          <w:color w:val="000000"/>
          <w:sz w:val="20"/>
        </w:rPr>
        <w:t>1) 7-day Moving Average: The 7-day Moving Average was used as the baseline, predicting sales as the average of the previous 7 observed trading days.</w:t>
      </w:r>
    </w:p>
    <w:p>
      <w:pPr>
        <w:keepNext w:val="0"/>
        <w:spacing w:before="0" w:after="50" w:line="240" w:lineRule="auto"/>
        <w:jc w:val="both"/>
      </w:pPr>
      <w:r>
        <w:rPr>
          <w:rFonts w:ascii="Times New Roman" w:hAnsi="Times New Roman"/>
          <w:b w:val="0"/>
          <w:i w:val="0"/>
          <w:color w:val="000000"/>
          <w:sz w:val="20"/>
        </w:rPr>
        <w:t>2) ARIMA(2,1,2): A fixed-order classical time-series model incorporating second-order autoregression, first-order differencing, and second-order moving average components. No per-store tuning was performed for ARIMA(2,1,2), consistent with the limited tuning resources assumed for SMBs.</w:t>
      </w:r>
    </w:p>
    <w:p>
      <w:pPr>
        <w:keepNext w:val="0"/>
        <w:spacing w:before="0" w:after="70" w:line="240" w:lineRule="auto"/>
        <w:jc w:val="both"/>
      </w:pPr>
      <w:r>
        <w:rPr>
          <w:rFonts w:ascii="Times New Roman" w:hAnsi="Times New Roman"/>
          <w:b w:val="0"/>
          <w:i w:val="0"/>
          <w:color w:val="000000"/>
          <w:sz w:val="20"/>
        </w:rPr>
        <w:t>3) XGBoost: The XGBoost configuration used 200 estimators, a maximum tree depth of 4, and a learning rate of 0.05, selected to provide a practical balance between forecasting accuracy and computational cost. A fixed random seed of 42 was used to support reproducibility. Input features include calendar attributes (day of week, day of month, month, promo indicator, state holiday, school holiday) and historical sales features (lags 1–7, 14, 21, 28; rolling 7-, 14-, and 30-day means and standard deviations). Every model was evaluated against the identical held-out window, so comparisons across models are under the same evaluation conditions.</w:t>
      </w:r>
    </w:p>
    <w:p>
      <w:pPr>
        <w:keepNext/>
        <w:spacing w:before="80" w:after="30" w:line="240" w:lineRule="auto"/>
        <w:jc w:val="left"/>
      </w:pPr>
      <w:r>
        <w:rPr>
          <w:rFonts w:ascii="Times New Roman" w:hAnsi="Times New Roman"/>
          <w:b w:val="0"/>
          <w:i/>
          <w:color w:val="000000"/>
          <w:sz w:val="20"/>
        </w:rPr>
        <w:t>D. Evaluation Protocol</w:t>
      </w:r>
    </w:p>
    <w:p>
      <w:pPr>
        <w:keepNext w:val="0"/>
        <w:spacing w:before="0" w:after="50" w:line="240" w:lineRule="auto"/>
        <w:jc w:val="both"/>
      </w:pPr>
      <w:r>
        <w:rPr>
          <w:rFonts w:ascii="Times New Roman" w:hAnsi="Times New Roman"/>
          <w:b w:val="0"/>
          <w:i w:val="0"/>
          <w:color w:val="000000"/>
          <w:sz w:val="20"/>
        </w:rPr>
        <w:t>The split is chronological (not random) with the last 60 days of each 730-day series being the test set, and the first 670 days for training. The baseline and XGBoost models use one-step-ahead walk-forward forecasting, with each observed test value incorporated into the history after its prediction. ARIMA is fitted once on the training data and produces a direct 60-day forecast. For every model and store, we track four standard error metrics:</w:t>
      </w:r>
    </w:p>
    <w:p>
      <w:pPr>
        <w:keepNext w:val="0"/>
        <w:spacing w:before="20" w:after="20" w:line="240" w:lineRule="auto"/>
        <w:jc w:val="center"/>
      </w:pPr>
      <w:r>
        <w:rPr>
          <w:rFonts w:ascii="Times New Roman" w:hAnsi="Times New Roman"/>
          <w:b w:val="0"/>
          <w:i w:val="0"/>
          <w:color w:val="000000"/>
          <w:sz w:val="17"/>
        </w:rPr>
        <w:t>MAE = (1/n) Σ |yi − ŷi|                                          (1)</w:t>
      </w:r>
    </w:p>
    <w:p>
      <w:pPr>
        <w:keepNext w:val="0"/>
        <w:spacing w:before="20" w:after="20" w:line="240" w:lineRule="auto"/>
        <w:jc w:val="center"/>
      </w:pPr>
      <w:r>
        <w:rPr>
          <w:rFonts w:ascii="Times New Roman" w:hAnsi="Times New Roman"/>
          <w:b w:val="0"/>
          <w:i w:val="0"/>
          <w:color w:val="000000"/>
          <w:sz w:val="17"/>
        </w:rPr>
        <w:t>RMSE = √[(1/n) Σ (yi − ŷi)²]                                 (2)</w:t>
      </w:r>
    </w:p>
    <w:p>
      <w:pPr>
        <w:keepNext w:val="0"/>
        <w:spacing w:before="20" w:after="20" w:line="240" w:lineRule="auto"/>
        <w:jc w:val="center"/>
      </w:pPr>
      <w:r>
        <w:rPr>
          <w:rFonts w:ascii="Times New Roman" w:hAnsi="Times New Roman"/>
          <w:b w:val="0"/>
          <w:i w:val="0"/>
          <w:color w:val="000000"/>
          <w:sz w:val="17"/>
        </w:rPr>
        <w:t>MAPE = (1/n) Σ |(yi − ŷi)/yi| × 100,  yi ≠ 0          (3)</w:t>
      </w:r>
    </w:p>
    <w:p>
      <w:pPr>
        <w:keepNext w:val="0"/>
        <w:spacing w:before="20" w:after="40" w:line="240" w:lineRule="auto"/>
        <w:jc w:val="center"/>
      </w:pPr>
      <w:r>
        <w:rPr>
          <w:rFonts w:ascii="Times New Roman" w:hAnsi="Times New Roman"/>
          <w:b w:val="0"/>
          <w:i w:val="0"/>
          <w:color w:val="000000"/>
          <w:sz w:val="17"/>
        </w:rPr>
        <w:t>sMAPE = (1/n) Σ [2|yi − ŷi| / (|yi|+|ŷi|)] × 100    (4)</w:t>
      </w:r>
    </w:p>
    <w:p>
      <w:pPr>
        <w:keepNext w:val="0"/>
        <w:spacing w:before="0" w:after="70" w:line="240" w:lineRule="auto"/>
        <w:jc w:val="both"/>
      </w:pPr>
      <w:r>
        <w:rPr>
          <w:rFonts w:ascii="Times New Roman" w:hAnsi="Times New Roman"/>
          <w:b w:val="0"/>
          <w:i w:val="0"/>
          <w:color w:val="000000"/>
          <w:sz w:val="20"/>
        </w:rPr>
        <w:t>Also, the number of days with zero sales is present in the data, and sMAPE is a bounded and symmetric metric which is well defined on these days. For sMAPE, observations for which both actual and predicted values are zero were excluded from the calculation to avoid a zero denominator.</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440"/>
      </w:tblGrid>
      <w:tr>
        <w:trPr>
          <w:cantSplit/>
        </w:trPr>
        <w:tc>
          <w:tcPr>
            <w:tcW w:type="dxa" w:w="10440"/>
            <w:tcW w:w="4824" w:type="dxa"/>
          </w:tcPr>
          <w:p>
            <w:pPr>
              <w:spacing w:before="20" w:after="20" w:line="240" w:lineRule="auto"/>
            </w:pPr>
            <w:r>
              <w:rPr>
                <w:rFonts w:ascii="Times New Roman" w:hAnsi="Times New Roman"/>
                <w:b w:val="0"/>
                <w:i w:val="0"/>
                <w:color w:val="000000"/>
                <w:sz w:val="15"/>
              </w:rPr>
              <w:t>Algorithm 1: Chronological Train-Test Evaluation Protocol</w:t>
              <w:br/>
              <w:t>Input: full series y1,...,yN; test length h</w:t>
              <w:br/>
              <w:t>1: ytrain ← y1,...,yN−h; ytest ← yN−h+1,...,yN</w:t>
              <w:br/>
              <w:t>2: Fit MA and XGBoost using one-step walk-forward updating;</w:t>
              <w:br/>
              <w:t xml:space="preserve">   fit ARIMA once on ytrain for direct h-step forecasting.</w:t>
              <w:br/>
              <w:t>3: for i = 1 to h do</w:t>
              <w:br/>
              <w:t>4:     Generate prediction ŷi using the appropriate model.</w:t>
              <w:br/>
              <w:t>5:     Record (ŷi, ytest,i).</w:t>
              <w:br/>
              <w:t>6:     if M is MA or XGBoost then</w:t>
              <w:br/>
              <w:t>7:         append true ytest,i to history</w:t>
              <w:br/>
              <w:t>8:     end if</w:t>
              <w:br/>
              <w:t>9: end for</w:t>
              <w:br/>
              <w:t>10: Compute MAE, RMSE, MAPE, and sMAPE over all recorded pairs.</w:t>
            </w:r>
          </w:p>
        </w:tc>
      </w:tr>
    </w:tbl>
    <w:p>
      <w:pPr>
        <w:keepNext/>
        <w:spacing w:before="80" w:after="30" w:line="240" w:lineRule="auto"/>
        <w:jc w:val="left"/>
      </w:pPr>
      <w:r>
        <w:rPr>
          <w:rFonts w:ascii="Times New Roman" w:hAnsi="Times New Roman"/>
          <w:b w:val="0"/>
          <w:i/>
          <w:color w:val="000000"/>
          <w:sz w:val="20"/>
        </w:rPr>
        <w:t>E. Implementation, Computational Cost, and Reproducibility</w:t>
      </w:r>
    </w:p>
    <w:p>
      <w:pPr>
        <w:keepNext w:val="0"/>
        <w:spacing w:before="0" w:after="70" w:line="240" w:lineRule="auto"/>
        <w:jc w:val="both"/>
      </w:pPr>
      <w:r>
        <w:rPr>
          <w:rFonts w:ascii="Times New Roman" w:hAnsi="Times New Roman"/>
          <w:b w:val="0"/>
          <w:i w:val="0"/>
          <w:color w:val="000000"/>
          <w:sz w:val="20"/>
        </w:rPr>
        <w:t>The ARIMA and XGBoost models were trained using commodity hardware, one model on one CPU core, and both were implemented in Python (ARIMA from the statsmodels package, XGBoost from the xgboost package). In the all-store experiment, the mean sequential CPU-equivalent training time was approximately 0.36 s per store for ARIMA and 1.14 s per store for XGBoost. These measurements indicate that both models can be retrained periodically on laptop-class hardware without GPU acceleration. The training time for both models is less than 2 seconds per store, satisfying the resource constraints set forth in Section II-A. There is no need to use proprietary libraries, and the public Rossmann dataset enables end-to-end replication.</w:t>
      </w:r>
    </w:p>
    <w:p>
      <w:pPr>
        <w:keepNext/>
        <w:spacing w:before="120" w:after="40" w:line="240" w:lineRule="auto"/>
        <w:jc w:val="center"/>
      </w:pPr>
      <w:r>
        <w:rPr>
          <w:rFonts w:ascii="Times New Roman" w:hAnsi="Times New Roman"/>
          <w:b/>
          <w:i w:val="0"/>
          <w:color w:val="000000"/>
          <w:sz w:val="20"/>
        </w:rPr>
        <w:t>IV. RESULTS</w:t>
      </w:r>
    </w:p>
    <w:p>
      <w:pPr>
        <w:keepNext w:val="0"/>
        <w:spacing w:before="0" w:after="70" w:line="240" w:lineRule="auto"/>
        <w:jc w:val="both"/>
      </w:pPr>
      <w:r>
        <w:rPr>
          <w:rFonts w:ascii="Times New Roman" w:hAnsi="Times New Roman"/>
          <w:b w:val="0"/>
          <w:i w:val="0"/>
          <w:color w:val="000000"/>
          <w:sz w:val="20"/>
        </w:rPr>
        <w:t>The accuracy of the forecasts produced by the models evaluated was tested using MAE, RMSE, MAPE, and sMAPE for the Rossmann Store Sales data. The overall performance across all 1,115 stores is given in Table II.</w:t>
      </w:r>
    </w:p>
    <w:p>
      <w:pPr>
        <w:keepNext/>
        <w:spacing w:before="80" w:after="20" w:line="240" w:lineRule="auto"/>
        <w:jc w:val="center"/>
      </w:pPr>
      <w:r>
        <w:rPr>
          <w:rFonts w:ascii="Times New Roman" w:hAnsi="Times New Roman"/>
          <w:b w:val="0"/>
          <w:i/>
          <w:color w:val="000000"/>
          <w:sz w:val="17"/>
        </w:rPr>
        <w:t>Table II. Mean store-level forecasting performance across all 1,115 stores. Lower values indicate better performance.</w:t>
      </w:r>
    </w:p>
    <w:tbl>
      <w:tblPr>
        <w:tblW w:type="auto" w:w="0"/>
        <w:jc w:val="center"/>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2088"/>
        <w:gridCol w:w="2088"/>
        <w:gridCol w:w="2088"/>
        <w:gridCol w:w="2088"/>
        <w:gridCol w:w="2088"/>
      </w:tblGrid>
      <w:tr>
        <w:trPr>
          <w:cantSplit/>
        </w:trPr>
        <w:tc>
          <w:tcPr>
            <w:tcW w:type="dxa" w:w="2088"/>
            <w:tcW w:w="1368" w:type="dxa"/>
          </w:tcPr>
          <w:p>
            <w:pPr>
              <w:spacing w:before="0" w:after="20"/>
              <w:jc w:val="left"/>
            </w:pPr>
            <w:r>
              <w:rPr>
                <w:rFonts w:ascii="Times New Roman" w:hAnsi="Times New Roman"/>
                <w:b/>
                <w:i w:val="0"/>
                <w:color w:val="000000"/>
                <w:sz w:val="15"/>
              </w:rPr>
              <w:t>Model</w:t>
            </w:r>
          </w:p>
        </w:tc>
        <w:tc>
          <w:tcPr>
            <w:tcW w:type="dxa" w:w="2088"/>
            <w:tcW w:w="864" w:type="dxa"/>
          </w:tcPr>
          <w:p>
            <w:pPr>
              <w:spacing w:before="0" w:after="20"/>
              <w:jc w:val="center"/>
            </w:pPr>
            <w:r>
              <w:rPr>
                <w:rFonts w:ascii="Times New Roman" w:hAnsi="Times New Roman"/>
                <w:b/>
                <w:i w:val="0"/>
                <w:color w:val="000000"/>
                <w:sz w:val="15"/>
              </w:rPr>
              <w:t>MAE</w:t>
            </w:r>
          </w:p>
        </w:tc>
        <w:tc>
          <w:tcPr>
            <w:tcW w:type="dxa" w:w="2088"/>
            <w:tcW w:w="864" w:type="dxa"/>
          </w:tcPr>
          <w:p>
            <w:pPr>
              <w:spacing w:before="0" w:after="20"/>
              <w:jc w:val="center"/>
            </w:pPr>
            <w:r>
              <w:rPr>
                <w:rFonts w:ascii="Times New Roman" w:hAnsi="Times New Roman"/>
                <w:b/>
                <w:i w:val="0"/>
                <w:color w:val="000000"/>
                <w:sz w:val="15"/>
              </w:rPr>
              <w:t>RMSE</w:t>
            </w:r>
          </w:p>
        </w:tc>
        <w:tc>
          <w:tcPr>
            <w:tcW w:type="dxa" w:w="2088"/>
            <w:tcW w:w="864" w:type="dxa"/>
          </w:tcPr>
          <w:p>
            <w:pPr>
              <w:spacing w:before="0" w:after="20"/>
              <w:jc w:val="center"/>
            </w:pPr>
            <w:r>
              <w:rPr>
                <w:rFonts w:ascii="Times New Roman" w:hAnsi="Times New Roman"/>
                <w:b/>
                <w:i w:val="0"/>
                <w:color w:val="000000"/>
                <w:sz w:val="15"/>
              </w:rPr>
              <w:t>MAPE (%)</w:t>
            </w:r>
          </w:p>
        </w:tc>
        <w:tc>
          <w:tcPr>
            <w:tcW w:type="dxa" w:w="2088"/>
            <w:tcW w:w="864" w:type="dxa"/>
          </w:tcPr>
          <w:p>
            <w:pPr>
              <w:spacing w:before="0" w:after="20"/>
              <w:jc w:val="center"/>
            </w:pPr>
            <w:r>
              <w:rPr>
                <w:rFonts w:ascii="Times New Roman" w:hAnsi="Times New Roman"/>
                <w:b/>
                <w:i w:val="0"/>
                <w:color w:val="000000"/>
                <w:sz w:val="15"/>
              </w:rPr>
              <w:t>sMAPE (%)</w:t>
            </w:r>
          </w:p>
        </w:tc>
      </w:tr>
      <w:tr>
        <w:trPr>
          <w:cantSplit/>
        </w:trPr>
        <w:tc>
          <w:tcPr>
            <w:tcW w:type="dxa" w:w="2088"/>
            <w:tcW w:w="1368" w:type="dxa"/>
          </w:tcPr>
          <w:p>
            <w:pPr>
              <w:spacing w:before="0" w:after="20"/>
              <w:jc w:val="left"/>
            </w:pPr>
            <w:r>
              <w:rPr>
                <w:rFonts w:ascii="Times New Roman" w:hAnsi="Times New Roman"/>
                <w:b w:val="0"/>
                <w:i w:val="0"/>
                <w:color w:val="000000"/>
                <w:sz w:val="15"/>
              </w:rPr>
              <w:t>Baseline (MA-7)</w:t>
            </w:r>
          </w:p>
        </w:tc>
        <w:tc>
          <w:tcPr>
            <w:tcW w:type="dxa" w:w="2088"/>
            <w:tcW w:w="864" w:type="dxa"/>
          </w:tcPr>
          <w:p>
            <w:pPr>
              <w:spacing w:before="0" w:after="20"/>
              <w:jc w:val="center"/>
            </w:pPr>
            <w:r>
              <w:rPr>
                <w:rFonts w:ascii="Times New Roman" w:hAnsi="Times New Roman"/>
                <w:b w:val="0"/>
                <w:i w:val="0"/>
                <w:color w:val="000000"/>
                <w:sz w:val="15"/>
              </w:rPr>
              <w:t>2209.85</w:t>
            </w:r>
          </w:p>
        </w:tc>
        <w:tc>
          <w:tcPr>
            <w:tcW w:type="dxa" w:w="2088"/>
            <w:tcW w:w="864" w:type="dxa"/>
          </w:tcPr>
          <w:p>
            <w:pPr>
              <w:spacing w:before="0" w:after="20"/>
              <w:jc w:val="center"/>
            </w:pPr>
            <w:r>
              <w:rPr>
                <w:rFonts w:ascii="Times New Roman" w:hAnsi="Times New Roman"/>
                <w:b w:val="0"/>
                <w:i w:val="0"/>
                <w:color w:val="000000"/>
                <w:sz w:val="15"/>
              </w:rPr>
              <w:t>3036.87</w:t>
            </w:r>
          </w:p>
        </w:tc>
        <w:tc>
          <w:tcPr>
            <w:tcW w:type="dxa" w:w="2088"/>
            <w:tcW w:w="864" w:type="dxa"/>
          </w:tcPr>
          <w:p>
            <w:pPr>
              <w:spacing w:before="0" w:after="20"/>
              <w:jc w:val="center"/>
            </w:pPr>
            <w:r>
              <w:rPr>
                <w:rFonts w:ascii="Times New Roman" w:hAnsi="Times New Roman"/>
                <w:b w:val="0"/>
                <w:i w:val="0"/>
                <w:color w:val="000000"/>
                <w:sz w:val="15"/>
              </w:rPr>
              <w:t>21.72</w:t>
            </w:r>
          </w:p>
        </w:tc>
        <w:tc>
          <w:tcPr>
            <w:tcW w:type="dxa" w:w="2088"/>
            <w:tcW w:w="864" w:type="dxa"/>
          </w:tcPr>
          <w:p>
            <w:pPr>
              <w:spacing w:before="0" w:after="20"/>
              <w:jc w:val="center"/>
            </w:pPr>
            <w:r>
              <w:rPr>
                <w:rFonts w:ascii="Times New Roman" w:hAnsi="Times New Roman"/>
                <w:b w:val="0"/>
                <w:i w:val="0"/>
                <w:color w:val="000000"/>
                <w:sz w:val="15"/>
              </w:rPr>
              <w:t>48.36</w:t>
            </w:r>
          </w:p>
        </w:tc>
      </w:tr>
      <w:tr>
        <w:trPr>
          <w:cantSplit/>
        </w:trPr>
        <w:tc>
          <w:tcPr>
            <w:tcW w:type="dxa" w:w="2088"/>
            <w:tcW w:w="1368" w:type="dxa"/>
          </w:tcPr>
          <w:p>
            <w:pPr>
              <w:spacing w:before="0" w:after="20"/>
              <w:jc w:val="left"/>
            </w:pPr>
            <w:r>
              <w:rPr>
                <w:rFonts w:ascii="Times New Roman" w:hAnsi="Times New Roman"/>
                <w:b w:val="0"/>
                <w:i w:val="0"/>
                <w:color w:val="000000"/>
                <w:sz w:val="15"/>
              </w:rPr>
              <w:t>ARIMA(2,1,2)</w:t>
            </w:r>
          </w:p>
        </w:tc>
        <w:tc>
          <w:tcPr>
            <w:tcW w:type="dxa" w:w="2088"/>
            <w:tcW w:w="864" w:type="dxa"/>
          </w:tcPr>
          <w:p>
            <w:pPr>
              <w:spacing w:before="0" w:after="20"/>
              <w:jc w:val="center"/>
            </w:pPr>
            <w:r>
              <w:rPr>
                <w:rFonts w:ascii="Times New Roman" w:hAnsi="Times New Roman"/>
                <w:b w:val="0"/>
                <w:i w:val="0"/>
                <w:color w:val="000000"/>
                <w:sz w:val="15"/>
              </w:rPr>
              <w:t>2232.67</w:t>
            </w:r>
          </w:p>
        </w:tc>
        <w:tc>
          <w:tcPr>
            <w:tcW w:type="dxa" w:w="2088"/>
            <w:tcW w:w="864" w:type="dxa"/>
          </w:tcPr>
          <w:p>
            <w:pPr>
              <w:spacing w:before="0" w:after="20"/>
              <w:jc w:val="center"/>
            </w:pPr>
            <w:r>
              <w:rPr>
                <w:rFonts w:ascii="Times New Roman" w:hAnsi="Times New Roman"/>
                <w:b w:val="0"/>
                <w:i w:val="0"/>
                <w:color w:val="000000"/>
                <w:sz w:val="15"/>
              </w:rPr>
              <w:t>2981.35</w:t>
            </w:r>
          </w:p>
        </w:tc>
        <w:tc>
          <w:tcPr>
            <w:tcW w:type="dxa" w:w="2088"/>
            <w:tcW w:w="864" w:type="dxa"/>
          </w:tcPr>
          <w:p>
            <w:pPr>
              <w:spacing w:before="0" w:after="20"/>
              <w:jc w:val="center"/>
            </w:pPr>
            <w:r>
              <w:rPr>
                <w:rFonts w:ascii="Times New Roman" w:hAnsi="Times New Roman"/>
                <w:b w:val="0"/>
                <w:i w:val="0"/>
                <w:color w:val="000000"/>
                <w:sz w:val="15"/>
              </w:rPr>
              <w:t>21.99</w:t>
            </w:r>
          </w:p>
        </w:tc>
        <w:tc>
          <w:tcPr>
            <w:tcW w:type="dxa" w:w="2088"/>
            <w:tcW w:w="864" w:type="dxa"/>
          </w:tcPr>
          <w:p>
            <w:pPr>
              <w:spacing w:before="0" w:after="20"/>
              <w:jc w:val="center"/>
            </w:pPr>
            <w:r>
              <w:rPr>
                <w:rFonts w:ascii="Times New Roman" w:hAnsi="Times New Roman"/>
                <w:b w:val="0"/>
                <w:i w:val="0"/>
                <w:color w:val="000000"/>
                <w:sz w:val="15"/>
              </w:rPr>
              <w:t>48.99</w:t>
            </w:r>
          </w:p>
        </w:tc>
      </w:tr>
      <w:tr>
        <w:trPr>
          <w:cantSplit/>
        </w:trPr>
        <w:tc>
          <w:tcPr>
            <w:tcW w:type="dxa" w:w="2088"/>
            <w:tcW w:w="1368" w:type="dxa"/>
          </w:tcPr>
          <w:p>
            <w:pPr>
              <w:spacing w:before="0" w:after="20"/>
              <w:jc w:val="left"/>
            </w:pPr>
            <w:r>
              <w:rPr>
                <w:rFonts w:ascii="Times New Roman" w:hAnsi="Times New Roman"/>
                <w:b/>
                <w:i w:val="0"/>
                <w:color w:val="000000"/>
                <w:sz w:val="15"/>
              </w:rPr>
              <w:t>XGBoost</w:t>
            </w:r>
          </w:p>
        </w:tc>
        <w:tc>
          <w:tcPr>
            <w:tcW w:type="dxa" w:w="2088"/>
            <w:tcW w:w="864" w:type="dxa"/>
          </w:tcPr>
          <w:p>
            <w:pPr>
              <w:spacing w:before="0" w:after="20"/>
              <w:jc w:val="center"/>
            </w:pPr>
            <w:r>
              <w:rPr>
                <w:rFonts w:ascii="Times New Roman" w:hAnsi="Times New Roman"/>
                <w:b w:val="0"/>
                <w:i w:val="0"/>
                <w:color w:val="000000"/>
                <w:sz w:val="15"/>
              </w:rPr>
              <w:t>663.05</w:t>
            </w:r>
          </w:p>
        </w:tc>
        <w:tc>
          <w:tcPr>
            <w:tcW w:type="dxa" w:w="2088"/>
            <w:tcW w:w="864" w:type="dxa"/>
          </w:tcPr>
          <w:p>
            <w:pPr>
              <w:spacing w:before="0" w:after="20"/>
              <w:jc w:val="center"/>
            </w:pPr>
            <w:r>
              <w:rPr>
                <w:rFonts w:ascii="Times New Roman" w:hAnsi="Times New Roman"/>
                <w:b w:val="0"/>
                <w:i w:val="0"/>
                <w:color w:val="000000"/>
                <w:sz w:val="15"/>
              </w:rPr>
              <w:t>1148.99</w:t>
            </w:r>
          </w:p>
        </w:tc>
        <w:tc>
          <w:tcPr>
            <w:tcW w:type="dxa" w:w="2088"/>
            <w:tcW w:w="864" w:type="dxa"/>
          </w:tcPr>
          <w:p>
            <w:pPr>
              <w:spacing w:before="0" w:after="20"/>
              <w:jc w:val="center"/>
            </w:pPr>
            <w:r>
              <w:rPr>
                <w:rFonts w:ascii="Times New Roman" w:hAnsi="Times New Roman"/>
                <w:b w:val="0"/>
                <w:i w:val="0"/>
                <w:color w:val="000000"/>
                <w:sz w:val="15"/>
              </w:rPr>
              <w:t>9.35</w:t>
            </w:r>
          </w:p>
        </w:tc>
        <w:tc>
          <w:tcPr>
            <w:tcW w:type="dxa" w:w="2088"/>
            <w:tcW w:w="864" w:type="dxa"/>
          </w:tcPr>
          <w:p>
            <w:pPr>
              <w:spacing w:before="0" w:after="20"/>
              <w:jc w:val="center"/>
            </w:pPr>
            <w:r>
              <w:rPr>
                <w:rFonts w:ascii="Times New Roman" w:hAnsi="Times New Roman"/>
                <w:b w:val="0"/>
                <w:i w:val="0"/>
                <w:color w:val="000000"/>
                <w:sz w:val="15"/>
              </w:rPr>
              <w:t>35.62</w:t>
            </w:r>
          </w:p>
        </w:tc>
      </w:tr>
    </w:tbl>
    <w:p>
      <w:pPr>
        <w:keepNext w:val="0"/>
        <w:spacing w:before="0" w:after="70" w:line="240" w:lineRule="auto"/>
        <w:jc w:val="both"/>
      </w:pPr>
      <w:r>
        <w:rPr>
          <w:rFonts w:ascii="Times New Roman" w:hAnsi="Times New Roman"/>
          <w:b w:val="0"/>
          <w:i w:val="0"/>
          <w:color w:val="000000"/>
          <w:sz w:val="20"/>
        </w:rPr>
        <w:t>Across all 1,115 stores, XGBoost achieved the lowest aggregate error on all reported metrics, reducing MAE by 70.00%, RMSE by 62.17%, MAPE by 56.96%, and sMAPE by 26.33% relative to the Moving Average baseline. XGBoost achieved the lowest MAE and RMSE for 1,112 stores, the lowest MAPE for 1,110 stores, and the lowest sMAPE for 1,108 stores.</w:t>
      </w:r>
    </w:p>
    <w:p>
      <w:pPr>
        <w:keepNext/>
        <w:spacing w:before="80" w:after="20" w:line="240" w:lineRule="auto"/>
        <w:jc w:val="center"/>
      </w:pPr>
      <w:r>
        <w:rPr>
          <w:rFonts w:ascii="Times New Roman" w:hAnsi="Times New Roman"/>
          <w:b w:val="0"/>
          <w:i/>
          <w:color w:val="000000"/>
          <w:sz w:val="17"/>
        </w:rPr>
        <w:t>Table III. Forecasting performance on representative stores (Stores 1, 4, and 9). Lower values indicate better performance.</w:t>
      </w:r>
    </w:p>
    <w:tbl>
      <w:tblPr>
        <w:tblW w:type="auto" w:w="0"/>
        <w:jc w:val="center"/>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2610"/>
        <w:gridCol w:w="2610"/>
        <w:gridCol w:w="2610"/>
        <w:gridCol w:w="2610"/>
      </w:tblGrid>
      <w:tr>
        <w:trPr>
          <w:cantSplit/>
        </w:trPr>
        <w:tc>
          <w:tcPr>
            <w:tcW w:type="dxa" w:w="2610"/>
            <w:tcW w:w="1368" w:type="dxa"/>
          </w:tcPr>
          <w:p>
            <w:pPr>
              <w:keepNext/>
              <w:spacing w:before="0" w:after="20"/>
              <w:jc w:val="left"/>
            </w:pPr>
            <w:r>
              <w:rPr>
                <w:rFonts w:ascii="Times New Roman" w:hAnsi="Times New Roman"/>
                <w:b/>
                <w:i w:val="0"/>
                <w:color w:val="000000"/>
                <w:sz w:val="15"/>
              </w:rPr>
              <w:t>Store</w:t>
            </w:r>
          </w:p>
        </w:tc>
        <w:tc>
          <w:tcPr>
            <w:tcW w:type="dxa" w:w="2610"/>
            <w:tcW w:w="1152" w:type="dxa"/>
          </w:tcPr>
          <w:p>
            <w:pPr>
              <w:keepNext/>
              <w:spacing w:before="0" w:after="20"/>
              <w:jc w:val="center"/>
            </w:pPr>
            <w:r>
              <w:rPr>
                <w:rFonts w:ascii="Times New Roman" w:hAnsi="Times New Roman"/>
                <w:b/>
                <w:i w:val="0"/>
                <w:color w:val="000000"/>
                <w:sz w:val="15"/>
              </w:rPr>
              <w:t>MA / MAPE</w:t>
            </w:r>
          </w:p>
        </w:tc>
        <w:tc>
          <w:tcPr>
            <w:tcW w:type="dxa" w:w="2610"/>
            <w:tcW w:w="1152" w:type="dxa"/>
          </w:tcPr>
          <w:p>
            <w:pPr>
              <w:keepNext/>
              <w:spacing w:before="0" w:after="20"/>
              <w:jc w:val="center"/>
            </w:pPr>
            <w:r>
              <w:rPr>
                <w:rFonts w:ascii="Times New Roman" w:hAnsi="Times New Roman"/>
                <w:b/>
                <w:i w:val="0"/>
                <w:color w:val="000000"/>
                <w:sz w:val="15"/>
              </w:rPr>
              <w:t>ARIMA / MAPE</w:t>
            </w:r>
          </w:p>
        </w:tc>
        <w:tc>
          <w:tcPr>
            <w:tcW w:type="dxa" w:w="2610"/>
            <w:tcW w:w="1152" w:type="dxa"/>
          </w:tcPr>
          <w:p>
            <w:pPr>
              <w:keepNext/>
              <w:spacing w:before="0" w:after="20"/>
              <w:jc w:val="center"/>
            </w:pPr>
            <w:r>
              <w:rPr>
                <w:rFonts w:ascii="Times New Roman" w:hAnsi="Times New Roman"/>
                <w:b/>
                <w:i w:val="0"/>
                <w:color w:val="000000"/>
                <w:sz w:val="15"/>
              </w:rPr>
              <w:t>XGB / MAPE</w:t>
            </w:r>
          </w:p>
        </w:tc>
      </w:tr>
      <w:tr>
        <w:trPr>
          <w:cantSplit/>
        </w:trPr>
        <w:tc>
          <w:tcPr>
            <w:tcW w:type="dxa" w:w="2610"/>
            <w:tcW w:w="1368" w:type="dxa"/>
          </w:tcPr>
          <w:p>
            <w:pPr>
              <w:keepNext/>
              <w:spacing w:before="0" w:after="20"/>
              <w:jc w:val="left"/>
            </w:pPr>
            <w:r>
              <w:rPr>
                <w:rFonts w:ascii="Times New Roman" w:hAnsi="Times New Roman"/>
                <w:b w:val="0"/>
                <w:i w:val="0"/>
                <w:color w:val="000000"/>
                <w:sz w:val="15"/>
              </w:rPr>
              <w:t>Store 1 (Type C)</w:t>
            </w:r>
          </w:p>
        </w:tc>
        <w:tc>
          <w:tcPr>
            <w:tcW w:type="dxa" w:w="2610"/>
            <w:tcW w:w="1152" w:type="dxa"/>
          </w:tcPr>
          <w:p>
            <w:pPr>
              <w:keepNext/>
              <w:spacing w:before="0" w:after="20"/>
              <w:jc w:val="center"/>
            </w:pPr>
            <w:r>
              <w:rPr>
                <w:rFonts w:ascii="Times New Roman" w:hAnsi="Times New Roman"/>
                <w:b w:val="0"/>
                <w:i w:val="0"/>
                <w:color w:val="000000"/>
                <w:sz w:val="15"/>
              </w:rPr>
              <w:t>1243.9 / 16.4%</w:t>
            </w:r>
          </w:p>
        </w:tc>
        <w:tc>
          <w:tcPr>
            <w:tcW w:type="dxa" w:w="2610"/>
            <w:tcW w:w="1152" w:type="dxa"/>
          </w:tcPr>
          <w:p>
            <w:pPr>
              <w:keepNext/>
              <w:spacing w:before="0" w:after="20"/>
              <w:jc w:val="center"/>
            </w:pPr>
            <w:r>
              <w:rPr>
                <w:rFonts w:ascii="Times New Roman" w:hAnsi="Times New Roman"/>
                <w:b w:val="0"/>
                <w:i w:val="0"/>
                <w:color w:val="000000"/>
                <w:sz w:val="15"/>
              </w:rPr>
              <w:t>1279.2 / 17.2%</w:t>
            </w:r>
          </w:p>
        </w:tc>
        <w:tc>
          <w:tcPr>
            <w:tcW w:type="dxa" w:w="2610"/>
            <w:tcW w:w="1152" w:type="dxa"/>
          </w:tcPr>
          <w:p>
            <w:pPr>
              <w:keepNext/>
              <w:spacing w:before="0" w:after="20"/>
              <w:jc w:val="center"/>
            </w:pPr>
            <w:r>
              <w:rPr>
                <w:rFonts w:ascii="Times New Roman" w:hAnsi="Times New Roman"/>
                <w:b w:val="0"/>
                <w:i w:val="0"/>
                <w:color w:val="000000"/>
                <w:sz w:val="15"/>
              </w:rPr>
              <w:t>360.5 / 7.3%</w:t>
            </w:r>
          </w:p>
        </w:tc>
      </w:tr>
      <w:tr>
        <w:trPr>
          <w:cantSplit/>
        </w:trPr>
        <w:tc>
          <w:tcPr>
            <w:tcW w:type="dxa" w:w="2610"/>
            <w:tcW w:w="1368" w:type="dxa"/>
          </w:tcPr>
          <w:p>
            <w:pPr>
              <w:keepNext/>
              <w:spacing w:before="0" w:after="20"/>
              <w:jc w:val="left"/>
            </w:pPr>
            <w:r>
              <w:rPr>
                <w:rFonts w:ascii="Times New Roman" w:hAnsi="Times New Roman"/>
                <w:b w:val="0"/>
                <w:i w:val="0"/>
                <w:color w:val="000000"/>
                <w:sz w:val="15"/>
              </w:rPr>
              <w:t>Store 4 (Type C)</w:t>
            </w:r>
          </w:p>
        </w:tc>
        <w:tc>
          <w:tcPr>
            <w:tcW w:type="dxa" w:w="2610"/>
            <w:tcW w:w="1152" w:type="dxa"/>
          </w:tcPr>
          <w:p>
            <w:pPr>
              <w:keepNext/>
              <w:spacing w:before="0" w:after="20"/>
              <w:jc w:val="center"/>
            </w:pPr>
            <w:r>
              <w:rPr>
                <w:rFonts w:ascii="Times New Roman" w:hAnsi="Times New Roman"/>
                <w:b w:val="0"/>
                <w:i w:val="0"/>
                <w:color w:val="000000"/>
                <w:sz w:val="15"/>
              </w:rPr>
              <w:t>2598.8 / 15.9%</w:t>
            </w:r>
          </w:p>
        </w:tc>
        <w:tc>
          <w:tcPr>
            <w:tcW w:type="dxa" w:w="2610"/>
            <w:tcW w:w="1152" w:type="dxa"/>
          </w:tcPr>
          <w:p>
            <w:pPr>
              <w:keepNext/>
              <w:spacing w:before="0" w:after="20"/>
              <w:jc w:val="center"/>
            </w:pPr>
            <w:r>
              <w:rPr>
                <w:rFonts w:ascii="Times New Roman" w:hAnsi="Times New Roman"/>
                <w:b w:val="0"/>
                <w:i w:val="0"/>
                <w:color w:val="000000"/>
                <w:sz w:val="15"/>
              </w:rPr>
              <w:t>2756.3 / 18.1%</w:t>
            </w:r>
          </w:p>
        </w:tc>
        <w:tc>
          <w:tcPr>
            <w:tcW w:type="dxa" w:w="2610"/>
            <w:tcW w:w="1152" w:type="dxa"/>
          </w:tcPr>
          <w:p>
            <w:pPr>
              <w:keepNext/>
              <w:spacing w:before="0" w:after="20"/>
              <w:jc w:val="center"/>
            </w:pPr>
            <w:r>
              <w:rPr>
                <w:rFonts w:ascii="Times New Roman" w:hAnsi="Times New Roman"/>
                <w:b w:val="0"/>
                <w:i w:val="0"/>
                <w:color w:val="000000"/>
                <w:sz w:val="15"/>
              </w:rPr>
              <w:t>606.7 / 6.8%</w:t>
            </w:r>
          </w:p>
        </w:tc>
      </w:tr>
      <w:tr>
        <w:trPr>
          <w:cantSplit/>
        </w:trPr>
        <w:tc>
          <w:tcPr>
            <w:tcW w:type="dxa" w:w="2610"/>
            <w:tcW w:w="1368" w:type="dxa"/>
          </w:tcPr>
          <w:p>
            <w:pPr>
              <w:keepNext/>
              <w:spacing w:before="0" w:after="20"/>
              <w:jc w:val="left"/>
            </w:pPr>
            <w:r>
              <w:rPr>
                <w:rFonts w:ascii="Times New Roman" w:hAnsi="Times New Roman"/>
                <w:b w:val="0"/>
                <w:i w:val="0"/>
                <w:color w:val="000000"/>
                <w:sz w:val="15"/>
              </w:rPr>
              <w:t>Store 9 (Type A)</w:t>
            </w:r>
          </w:p>
        </w:tc>
        <w:tc>
          <w:tcPr>
            <w:tcW w:type="dxa" w:w="2610"/>
            <w:tcW w:w="1152" w:type="dxa"/>
          </w:tcPr>
          <w:p>
            <w:pPr>
              <w:keepNext/>
              <w:spacing w:before="0" w:after="20"/>
              <w:jc w:val="center"/>
            </w:pPr>
            <w:r>
              <w:rPr>
                <w:rFonts w:ascii="Times New Roman" w:hAnsi="Times New Roman"/>
                <w:b w:val="0"/>
                <w:i w:val="0"/>
                <w:color w:val="000000"/>
                <w:sz w:val="15"/>
              </w:rPr>
              <w:t>2255.6 / 17.3%</w:t>
            </w:r>
          </w:p>
        </w:tc>
        <w:tc>
          <w:tcPr>
            <w:tcW w:type="dxa" w:w="2610"/>
            <w:tcW w:w="1152" w:type="dxa"/>
          </w:tcPr>
          <w:p>
            <w:pPr>
              <w:keepNext/>
              <w:spacing w:before="0" w:after="20"/>
              <w:jc w:val="center"/>
            </w:pPr>
            <w:r>
              <w:rPr>
                <w:rFonts w:ascii="Times New Roman" w:hAnsi="Times New Roman"/>
                <w:b w:val="0"/>
                <w:i w:val="0"/>
                <w:color w:val="000000"/>
                <w:sz w:val="15"/>
              </w:rPr>
              <w:t>2343.6 / 18.7%</w:t>
            </w:r>
          </w:p>
        </w:tc>
        <w:tc>
          <w:tcPr>
            <w:tcW w:type="dxa" w:w="2610"/>
            <w:tcW w:w="1152" w:type="dxa"/>
          </w:tcPr>
          <w:p>
            <w:pPr>
              <w:keepNext/>
              <w:spacing w:before="0" w:after="20"/>
              <w:jc w:val="center"/>
            </w:pPr>
            <w:r>
              <w:rPr>
                <w:rFonts w:ascii="Times New Roman" w:hAnsi="Times New Roman"/>
                <w:b w:val="0"/>
                <w:i w:val="0"/>
                <w:color w:val="000000"/>
                <w:sz w:val="15"/>
              </w:rPr>
              <w:t>826.5 / 10.0%</w:t>
            </w:r>
          </w:p>
        </w:tc>
      </w:tr>
    </w:tbl>
    <w:p>
      <w:pPr>
        <w:keepNext/>
        <w:spacing w:before="60" w:after="20" w:line="240" w:lineRule="auto"/>
        <w:jc w:val="center"/>
      </w:pPr>
      <w:r>
        <w:drawing>
          <wp:inline xmlns:a="http://schemas.openxmlformats.org/drawingml/2006/main" xmlns:pic="http://schemas.openxmlformats.org/drawingml/2006/picture">
            <wp:extent cx="3063240" cy="3642360"/>
            <wp:docPr id="2" name="Picture 2"/>
            <wp:cNvGraphicFramePr>
              <a:graphicFrameLocks noChangeAspect="1"/>
            </wp:cNvGraphicFramePr>
            <a:graphic>
              <a:graphicData uri="http://schemas.openxmlformats.org/drawingml/2006/picture">
                <pic:pic>
                  <pic:nvPicPr>
                    <pic:cNvPr id="0" name="image_4.png"/>
                    <pic:cNvPicPr/>
                  </pic:nvPicPr>
                  <pic:blipFill>
                    <a:blip r:embed="rId10"/>
                    <a:stretch>
                      <a:fillRect/>
                    </a:stretch>
                  </pic:blipFill>
                  <pic:spPr>
                    <a:xfrm>
                      <a:off x="0" y="0"/>
                      <a:ext cx="3063240" cy="3642360"/>
                    </a:xfrm>
                    <a:prstGeom prst="rect"/>
                  </pic:spPr>
                </pic:pic>
              </a:graphicData>
            </a:graphic>
          </wp:inline>
        </w:drawing>
      </w:r>
    </w:p>
    <w:p>
      <w:pPr>
        <w:keepNext w:val="0"/>
        <w:spacing w:before="20" w:after="80" w:line="240" w:lineRule="auto"/>
        <w:jc w:val="center"/>
      </w:pPr>
      <w:r>
        <w:rPr>
          <w:rFonts w:ascii="Times New Roman" w:hAnsi="Times New Roman"/>
          <w:b w:val="0"/>
          <w:i/>
          <w:color w:val="000000"/>
          <w:sz w:val="16"/>
        </w:rPr>
        <w:t>Fig. 2. Absolute Error Metrics (MAE and RMSE) across the evaluated models.</w:t>
      </w:r>
    </w:p>
    <w:p>
      <w:pPr>
        <w:keepNext w:val="0"/>
        <w:spacing w:before="0" w:after="70" w:line="240" w:lineRule="auto"/>
        <w:jc w:val="both"/>
      </w:pPr>
      <w:r>
        <w:rPr>
          <w:rFonts w:ascii="Times New Roman" w:hAnsi="Times New Roman"/>
          <w:b w:val="0"/>
          <w:i w:val="0"/>
          <w:color w:val="000000"/>
          <w:sz w:val="20"/>
        </w:rPr>
        <w:t>Figure 2 compares MAE and RMSE across the three models. The results indicate that the proposed XGBoost configuration provides more accurate forecasts than the evaluated Moving Average and ARIMA models on this dataset. For the representative three stores (Table III), XGBoost achieved MAE reductions of 71.0% (Store 1, Type C), 76.7% (Store 4, Type C), and 63.4% (Store 9, Type A) – consistent with the 70.0% MAE improvement observed in the aggregate evaluation. Although ARIMA performed slightly worse than the Moving Average baseline on aggregate MAE and MAPE, its RMSE was marginally lower, indicating that its performance varies across error measures and individual stores. Aggregate MAE for ARIMA(2,1,2) was 2232.67 versus 2209.85 for Moving Average, while RMSE was 2981.35 for ARIMA versus 3036.87 for Moving Average. These results suggest that fixed-order ARIMA models had widely different performance across stores and were sensitive to the nature of the demand series.</w:t>
      </w:r>
    </w:p>
    <w:p>
      <w:pPr>
        <w:keepNext/>
        <w:spacing w:before="120" w:after="40" w:line="240" w:lineRule="auto"/>
        <w:jc w:val="center"/>
      </w:pPr>
      <w:r>
        <w:rPr>
          <w:rFonts w:ascii="Times New Roman" w:hAnsi="Times New Roman"/>
          <w:b/>
          <w:i w:val="0"/>
          <w:color w:val="000000"/>
          <w:sz w:val="20"/>
        </w:rPr>
        <w:t>V. DISCUSSION</w:t>
      </w:r>
    </w:p>
    <w:p>
      <w:pPr>
        <w:keepNext/>
        <w:spacing w:before="80" w:after="30" w:line="240" w:lineRule="auto"/>
        <w:jc w:val="left"/>
      </w:pPr>
      <w:r>
        <w:rPr>
          <w:rFonts w:ascii="Times New Roman" w:hAnsi="Times New Roman"/>
          <w:b w:val="0"/>
          <w:i/>
          <w:color w:val="000000"/>
          <w:sz w:val="20"/>
        </w:rPr>
        <w:t>A. Inventory Impact</w:t>
      </w:r>
    </w:p>
    <w:p>
      <w:pPr>
        <w:keepNext w:val="0"/>
        <w:spacing w:before="0" w:after="70" w:line="240" w:lineRule="auto"/>
        <w:jc w:val="both"/>
      </w:pPr>
      <w:r>
        <w:rPr>
          <w:rFonts w:ascii="Times New Roman" w:hAnsi="Times New Roman"/>
          <w:b w:val="0"/>
          <w:i w:val="0"/>
          <w:color w:val="000000"/>
          <w:sz w:val="20"/>
        </w:rPr>
        <w:t>Using aggregate RMSE as a proxy for forecast uncertainty, the estimated safety-buffer reduction is 62.2% relative to the Moving Average baseline and 61.5% relative to ARIMA, assuming the same service-level multiplier and lead time. The representative stores span two store categories (Types A and C), and the results demonstrate substantial improvements for both. The MAE changes were from 63.4% (Store 9) to 76.7% (Store 4) for the three representative stores. For the three representative stores, XGBoost retained a 54.3% MAE improvement over the Moving Average baseline when closure days were excluded. The persistence of a substantial MAE improvement on open trading days indicates that the observed XGBoost advantage is not solely dependent on zero-sales closure days.</w:t>
      </w:r>
    </w:p>
    <w:p>
      <w:pPr>
        <w:keepNext w:val="0"/>
        <w:spacing w:before="0" w:after="70" w:line="240" w:lineRule="auto"/>
        <w:jc w:val="both"/>
      </w:pPr>
      <w:r>
        <w:rPr>
          <w:rFonts w:ascii="Times New Roman" w:hAnsi="Times New Roman"/>
          <w:b w:val="0"/>
          <w:i w:val="0"/>
          <w:color w:val="000000"/>
          <w:sz w:val="20"/>
        </w:rPr>
        <w:t>Translating forecast errors into illustrative safety-buffer estimates using the safety-stock formulation SS = Z × RMSE × √L (where Z = 1.65 for a 95% service level and lead time L = 5 days), Store 1's safety stock requirement falls from 6,500.9 to 2,765.4 units (−57.5%), Store 4 from 13,869.1 to 3,595.3 (−74.1%), and Store 9 from 12,069.2 to 5,486.8 (−54.5%). These values are illustrative model-based estimates rather than directly observed reductions in physical inventory or working capital.</w:t>
      </w:r>
    </w:p>
    <w:p>
      <w:pPr>
        <w:keepNext/>
        <w:spacing w:before="80" w:after="30" w:line="240" w:lineRule="auto"/>
        <w:jc w:val="left"/>
      </w:pPr>
      <w:r>
        <w:rPr>
          <w:rFonts w:ascii="Times New Roman" w:hAnsi="Times New Roman"/>
          <w:b w:val="0"/>
          <w:i/>
          <w:color w:val="000000"/>
          <w:sz w:val="20"/>
        </w:rPr>
        <w:t>B. Deployment</w:t>
      </w:r>
    </w:p>
    <w:p>
      <w:pPr>
        <w:keepNext w:val="0"/>
        <w:spacing w:before="0" w:after="70" w:line="240" w:lineRule="auto"/>
        <w:jc w:val="both"/>
      </w:pPr>
      <w:r>
        <w:rPr>
          <w:rFonts w:ascii="Times New Roman" w:hAnsi="Times New Roman"/>
          <w:b w:val="0"/>
          <w:i w:val="0"/>
          <w:color w:val="000000"/>
          <w:sz w:val="20"/>
        </w:rPr>
        <w:t>The following practical considerations would be crucial in deciding whether an SME implements this system: First, the evaluated models can be trained using commodity hardware without GPU acceleration. This is important because most SMBs operate on a single laptop or low-cost cloud instance – an approach requiring heavy retraining or specialized hardware is impractical for SMB operations. Second, interpretability: an owner can examine the lag or calendar feature importances used to build a forecast and assess whether the forecast is consistent with domain knowledge [12]. In contrast, deep architectures like LSTMs are generally less directly interpretable. Third, integration: the underlying schema is a simple relational schema that directly ingests Point-of-Sale (POS) exports without the overhead of ERP integration, which SMEs cannot afford.</w:t>
      </w:r>
    </w:p>
    <w:p>
      <w:pPr>
        <w:keepNext/>
        <w:spacing w:before="80" w:after="30" w:line="240" w:lineRule="auto"/>
        <w:jc w:val="left"/>
      </w:pPr>
      <w:r>
        <w:rPr>
          <w:rFonts w:ascii="Times New Roman" w:hAnsi="Times New Roman"/>
          <w:b w:val="0"/>
          <w:i/>
          <w:color w:val="000000"/>
          <w:sz w:val="20"/>
        </w:rPr>
        <w:t>C. Threats to Validity and Limitations</w:t>
      </w:r>
    </w:p>
    <w:p>
      <w:pPr>
        <w:keepNext w:val="0"/>
        <w:spacing w:before="0" w:after="70" w:line="240" w:lineRule="auto"/>
        <w:jc w:val="both"/>
      </w:pPr>
      <w:r>
        <w:rPr>
          <w:rFonts w:ascii="Times New Roman" w:hAnsi="Times New Roman"/>
          <w:b w:val="0"/>
          <w:i w:val="0"/>
          <w:color w:val="000000"/>
          <w:sz w:val="20"/>
        </w:rPr>
        <w:t>There are several factors that constrain the extent of generalization of these results. First, the ranking of models (XGBoost outperforming baseline and ARIMA) is specific to Rossmann's demand pattern and might not be applicable to other retail categories (such as specialty or luxury retail) where lag and calendar regularity differ. Second, although statistical tests performed on the three representative stores (a paired t-test and Diebold-Mariano test) did yield significant results (p &lt; 0.0001, t-statistics between −5.37 and −4.93, DM statistics between −4.11 and −4.24), only three stores were evaluated at this level of detail. Third, the proposed system has not been deployed in a real SMB yet; the accuracy increases and safety stock reductions reported here are simulation results based on historical data, not actual results from a real deployment. An additional automatic per-store AIC-based tuning experiment improved ARIMA MAE by approximately 1.3%, suggesting that limited tuning was not the primary factor behind its weaker performance on this dataset. Future work should evaluate the method on longer historical series, additional retail datasets, and compare against tuned SARIMA baselines.</w:t>
      </w:r>
    </w:p>
    <w:p>
      <w:pPr>
        <w:keepNext/>
        <w:spacing w:before="120" w:after="40" w:line="240" w:lineRule="auto"/>
        <w:jc w:val="center"/>
      </w:pPr>
      <w:r>
        <w:rPr>
          <w:rFonts w:ascii="Times New Roman" w:hAnsi="Times New Roman"/>
          <w:b/>
          <w:i w:val="0"/>
          <w:color w:val="000000"/>
          <w:sz w:val="20"/>
        </w:rPr>
        <w:t>VI. CONCLUSION AND FUTURE WORK</w:t>
      </w:r>
    </w:p>
    <w:p>
      <w:pPr>
        <w:keepNext w:val="0"/>
        <w:spacing w:before="0" w:after="70" w:line="240" w:lineRule="auto"/>
        <w:jc w:val="both"/>
      </w:pPr>
      <w:r>
        <w:rPr>
          <w:rFonts w:ascii="Times New Roman" w:hAnsi="Times New Roman"/>
          <w:b w:val="0"/>
          <w:i w:val="0"/>
          <w:color w:val="000000"/>
          <w:sz w:val="20"/>
        </w:rPr>
        <w:t>The evaluation across all 1,115 stores demonstrates that XGBoost consistently provides the strongest forecasting performance among the three evaluated approaches. XGBoost achieved an MAE of 663.05 and reduced MAE by approximately 70% relative to the Moving Average baseline. The results of the three representative stores that were evaluated with paired t-test and Diebold–Mariano tests showed that XGBoost is significantly better than the moving-average baseline (p &lt; 0.0001). Only a slight decrease in the improvement was seen when store closure days were not included, resulting in a reduction in MAE on open days of 54.3% for the three representative stores. Although the results demonstrate strong forecasting performance on the Rossmann dataset, real-world inventory savings would require validation through deployment with actual inventory policies and service-level constraints.</w:t>
      </w:r>
    </w:p>
    <w:p>
      <w:pPr>
        <w:keepNext w:val="0"/>
        <w:spacing w:before="0" w:after="70" w:line="240" w:lineRule="auto"/>
        <w:jc w:val="both"/>
      </w:pPr>
      <w:r>
        <w:rPr>
          <w:rFonts w:ascii="Times New Roman" w:hAnsi="Times New Roman"/>
          <w:b w:val="0"/>
          <w:i w:val="0"/>
          <w:color w:val="000000"/>
          <w:sz w:val="20"/>
        </w:rPr>
        <w:t>Future research could evaluate the method on longer historical series, additional retail datasets, and other retail categories to determine whether the same model ranking is observed. One part of this follow-up should be to compare against a properly tuned per-series SARIMA baseline rather than the fixed-order ARIMA(2,1,2) baseline used here. On the systems side, the obvious next steps include a dashboard for non-technical owners, an automatic retraining layer with staleness detection, and an inventory-planning layer to translate raw forecasts into actionable reorder recommendations.</w:t>
      </w:r>
    </w:p>
    <w:p>
      <w:pPr>
        <w:keepNext/>
        <w:spacing w:before="120" w:after="40" w:line="240" w:lineRule="auto"/>
        <w:jc w:val="center"/>
      </w:pPr>
      <w:r>
        <w:rPr>
          <w:rFonts w:ascii="Times New Roman" w:hAnsi="Times New Roman"/>
          <w:b/>
          <w:i w:val="0"/>
          <w:color w:val="000000"/>
          <w:sz w:val="20"/>
        </w:rPr>
        <w:t>VII. REFERENCES</w:t>
      </w:r>
    </w:p>
    <w:p>
      <w:pPr>
        <w:keepNext w:val="0"/>
        <w:spacing w:before="0" w:after="30" w:line="240" w:lineRule="auto"/>
        <w:jc w:val="both"/>
      </w:pPr>
      <w:r>
        <w:rPr>
          <w:rFonts w:ascii="Times New Roman" w:hAnsi="Times New Roman"/>
          <w:b w:val="0"/>
          <w:i w:val="0"/>
          <w:color w:val="000000"/>
          <w:sz w:val="15"/>
        </w:rPr>
        <w:t>[1] E. A. Silver, D. F. Pyke, and R. Peterson, Inventory Management and Production Planning and Scheduling, 3rd ed. New York, NY, USA: Wiley, 1998.</w:t>
      </w:r>
    </w:p>
    <w:p>
      <w:pPr>
        <w:keepNext w:val="0"/>
        <w:spacing w:before="0" w:after="30" w:line="240" w:lineRule="auto"/>
        <w:jc w:val="both"/>
      </w:pPr>
      <w:r>
        <w:rPr>
          <w:rFonts w:ascii="Times New Roman" w:hAnsi="Times New Roman"/>
          <w:b w:val="0"/>
          <w:i w:val="0"/>
          <w:color w:val="000000"/>
          <w:sz w:val="15"/>
        </w:rPr>
        <w:t>[2] S. Chopra and P. Meindl, Supply Chain Management: Strategy, Planning, and Operation, 7th ed. Boston, MA, USA: Pearson, 2019.</w:t>
      </w:r>
    </w:p>
    <w:p>
      <w:pPr>
        <w:keepNext w:val="0"/>
        <w:spacing w:before="0" w:after="30" w:line="240" w:lineRule="auto"/>
        <w:jc w:val="both"/>
      </w:pPr>
      <w:r>
        <w:rPr>
          <w:rFonts w:ascii="Times New Roman" w:hAnsi="Times New Roman"/>
          <w:b w:val="0"/>
          <w:i w:val="0"/>
          <w:color w:val="000000"/>
          <w:sz w:val="15"/>
        </w:rPr>
        <w:t>[3] R. Fildes, K. Nikolopoulos, S. F. Crone, and A. A. Syntetos, "Forecasting and operational research: a review," Journal of the Operational Research Society, vol. 59, no. 9, pp. 1150-1172, 2008.</w:t>
      </w:r>
    </w:p>
    <w:p>
      <w:pPr>
        <w:keepNext w:val="0"/>
        <w:spacing w:before="0" w:after="30" w:line="240" w:lineRule="auto"/>
        <w:jc w:val="both"/>
      </w:pPr>
      <w:r>
        <w:rPr>
          <w:rFonts w:ascii="Times New Roman" w:hAnsi="Times New Roman"/>
          <w:b w:val="0"/>
          <w:i w:val="0"/>
          <w:color w:val="000000"/>
          <w:sz w:val="15"/>
        </w:rPr>
        <w:t>[4] R. Carbonneau, K. Laframboise, and R. Vahidov, "Application of machine learning techniques for supply chain demand forecasting," Eur. J. Oper. Res., vol. 184, no. 3, pp. 1140–1154, 2008.</w:t>
      </w:r>
    </w:p>
    <w:p>
      <w:pPr>
        <w:keepNext w:val="0"/>
        <w:spacing w:before="0" w:after="30" w:line="240" w:lineRule="auto"/>
        <w:jc w:val="both"/>
      </w:pPr>
      <w:r>
        <w:rPr>
          <w:rFonts w:ascii="Times New Roman" w:hAnsi="Times New Roman"/>
          <w:b w:val="0"/>
          <w:i w:val="0"/>
          <w:color w:val="000000"/>
          <w:sz w:val="15"/>
        </w:rPr>
        <w:t>[5] S. Makridakis, E. Spiliotis, and V. Assimakopoulos, "The M4 Competition: Results, findings, conclusion and way forward," Int. J. Forecast., vol. 36, no. 1, pp. 54–74, 2020.</w:t>
      </w:r>
    </w:p>
    <w:p>
      <w:pPr>
        <w:keepNext w:val="0"/>
        <w:spacing w:before="0" w:after="30" w:line="240" w:lineRule="auto"/>
        <w:jc w:val="both"/>
      </w:pPr>
      <w:r>
        <w:rPr>
          <w:rFonts w:ascii="Times New Roman" w:hAnsi="Times New Roman"/>
          <w:b w:val="0"/>
          <w:i w:val="0"/>
          <w:color w:val="000000"/>
          <w:sz w:val="15"/>
        </w:rPr>
        <w:t>[6] T. Chen and C. Guestrin, "XGBoost: A Scalable Tree Boosting System," in Proc. 22nd ACM SIGKDD Int. Conf. Knowl. Discovery Data Mining (KDD), San Francisco, CA, USA, 2016, pp. 785–794.</w:t>
      </w:r>
    </w:p>
    <w:p>
      <w:pPr>
        <w:keepNext w:val="0"/>
        <w:spacing w:before="0" w:after="30" w:line="240" w:lineRule="auto"/>
        <w:jc w:val="both"/>
      </w:pPr>
      <w:r>
        <w:rPr>
          <w:rFonts w:ascii="Times New Roman" w:hAnsi="Times New Roman"/>
          <w:b w:val="0"/>
          <w:i w:val="0"/>
          <w:color w:val="000000"/>
          <w:sz w:val="15"/>
        </w:rPr>
        <w:t>[7] G. E. P. Box and G. M. Jenkins, Time Series Analysis: Forecasting and Control. San Francisco, CA, USA: Holden-Day, 1970.</w:t>
      </w:r>
    </w:p>
    <w:p>
      <w:pPr>
        <w:keepNext w:val="0"/>
        <w:spacing w:before="0" w:after="30" w:line="240" w:lineRule="auto"/>
        <w:jc w:val="both"/>
      </w:pPr>
      <w:r>
        <w:rPr>
          <w:rFonts w:ascii="Times New Roman" w:hAnsi="Times New Roman"/>
          <w:b w:val="0"/>
          <w:i w:val="0"/>
          <w:color w:val="000000"/>
          <w:sz w:val="15"/>
        </w:rPr>
        <w:t>[8] S. Hochreiter and J. Schmidhuber, "Long Short-Term Memory," Neural Comput., vol. 9, no. 8, pp. 1735–1780, 1997.</w:t>
      </w:r>
    </w:p>
    <w:p>
      <w:pPr>
        <w:keepNext w:val="0"/>
        <w:spacing w:before="0" w:after="30" w:line="240" w:lineRule="auto"/>
        <w:jc w:val="both"/>
      </w:pPr>
      <w:r>
        <w:rPr>
          <w:rFonts w:ascii="Times New Roman" w:hAnsi="Times New Roman"/>
          <w:b w:val="0"/>
          <w:i w:val="0"/>
          <w:color w:val="000000"/>
          <w:sz w:val="15"/>
        </w:rPr>
        <w:t>[9] J. K. Franco, N. M. Guevara, P. Castaneda, J. Mansilla-Lopez, and A. D. Garcia-Nunez, "A Machine Learning-Based Stock Forecasting Method for Inventory Optimization in Micro and Small Enterprises," Engineering, Technology &amp; Applied Science Research, vol. 16, no. 1, pp. 32081-32088, 2026. doi: 10.48084/etasr.15535.</w:t>
      </w:r>
    </w:p>
    <w:p>
      <w:pPr>
        <w:keepNext w:val="0"/>
        <w:spacing w:before="0" w:after="30" w:line="240" w:lineRule="auto"/>
        <w:jc w:val="both"/>
      </w:pPr>
      <w:r>
        <w:rPr>
          <w:rFonts w:ascii="Times New Roman" w:hAnsi="Times New Roman"/>
          <w:b w:val="0"/>
          <w:i w:val="0"/>
          <w:color w:val="000000"/>
          <w:sz w:val="15"/>
        </w:rPr>
        <w:t>[10] G. Zhang, B. E. Patuwo, and M. Y. Hu, "Forecasting with artificial neural networks: The state of the art," Int. J. Forecast., vol. 14, no. 1, pp. 35–62, 1998.</w:t>
      </w:r>
    </w:p>
    <w:p>
      <w:pPr>
        <w:keepNext w:val="0"/>
        <w:spacing w:before="0" w:after="30" w:line="240" w:lineRule="auto"/>
        <w:jc w:val="both"/>
      </w:pPr>
      <w:r>
        <w:rPr>
          <w:rFonts w:ascii="Times New Roman" w:hAnsi="Times New Roman"/>
          <w:b w:val="0"/>
          <w:i w:val="0"/>
          <w:color w:val="000000"/>
          <w:sz w:val="15"/>
        </w:rPr>
        <w:t>[11] S. Makridakis, E. Spiliotis, and V. Assimakopoulos, "The M5 competition: Background, organization, and implementation," Int. J. Forecast., vol. 38, no. 4, pp. 1325–1346, 2022.</w:t>
      </w:r>
    </w:p>
    <w:p>
      <w:pPr>
        <w:keepNext w:val="0"/>
        <w:spacing w:before="0" w:after="30" w:line="240" w:lineRule="auto"/>
        <w:jc w:val="both"/>
      </w:pPr>
      <w:r>
        <w:rPr>
          <w:rFonts w:ascii="Times New Roman" w:hAnsi="Times New Roman"/>
          <w:b w:val="0"/>
          <w:i w:val="0"/>
          <w:color w:val="000000"/>
          <w:sz w:val="15"/>
        </w:rPr>
        <w:t>[12] S. M. Lundberg and S.-I. Lee, "A unified approach to interpreting model predictions," in Adv. Neural Inf. Process. Syst., vol. 30, 2017, pp. 4765–4774.</w:t>
      </w:r>
    </w:p>
    <w:p>
      <w:pPr>
        <w:keepNext w:val="0"/>
        <w:spacing w:before="0" w:after="30" w:line="240" w:lineRule="auto"/>
        <w:jc w:val="both"/>
      </w:pPr>
      <w:r>
        <w:rPr>
          <w:rFonts w:ascii="Times New Roman" w:hAnsi="Times New Roman"/>
          <w:b w:val="0"/>
          <w:i w:val="0"/>
          <w:color w:val="000000"/>
          <w:sz w:val="15"/>
        </w:rPr>
        <w:t>[13] N. Kourentzes, F. Petropoulos, and D. K. Trapero, "Improving forecasting by estimating time series structural components across multiple frequencies," Int. J. Forecast., vol. 30, no. 2, pp. 291–302, 2014.</w:t>
      </w:r>
    </w:p>
    <w:p>
      <w:pPr>
        <w:keepNext w:val="0"/>
        <w:spacing w:before="0" w:after="30" w:line="240" w:lineRule="auto"/>
        <w:jc w:val="both"/>
      </w:pPr>
      <w:r>
        <w:rPr>
          <w:rFonts w:ascii="Times New Roman" w:hAnsi="Times New Roman"/>
          <w:b w:val="0"/>
          <w:i w:val="0"/>
          <w:color w:val="000000"/>
          <w:sz w:val="15"/>
        </w:rPr>
        <w:t>[14] R. J. Hyndman and G. Athanasopoulos, Forecasting: Principles and Practice, 3rd ed. Melbourne, Australia: OTexts, 2021.</w:t>
      </w:r>
    </w:p>
    <w:p>
      <w:pPr>
        <w:keepNext w:val="0"/>
        <w:spacing w:before="0" w:after="30" w:line="240" w:lineRule="auto"/>
        <w:jc w:val="both"/>
      </w:pPr>
      <w:r>
        <w:rPr>
          <w:rFonts w:ascii="Times New Roman" w:hAnsi="Times New Roman"/>
          <w:b w:val="0"/>
          <w:i w:val="0"/>
          <w:color w:val="000000"/>
          <w:sz w:val="15"/>
        </w:rPr>
        <w:t>[15] B. E. Flores, "Utility of forecasting methods in inventory control," Int. J. Oper. Prod. Manag., vol. 6, no. 3, pp. 38–47, 1986.</w:t>
      </w:r>
    </w:p>
    <w:p>
      <w:pPr>
        <w:keepNext w:val="0"/>
        <w:spacing w:before="0" w:after="30" w:line="240" w:lineRule="auto"/>
        <w:jc w:val="both"/>
      </w:pPr>
      <w:r>
        <w:rPr>
          <w:rFonts w:ascii="Times New Roman" w:hAnsi="Times New Roman"/>
          <w:b w:val="0"/>
          <w:i w:val="0"/>
          <w:color w:val="000000"/>
          <w:sz w:val="15"/>
        </w:rPr>
        <w:t>[16] A. A. Syntetos, Z. Babai, J. E. Boylan, S. Kolassa, and K. Nikolopoulos, "Supply chain forecasting: Theory, practice, their gap and the future," European Journal of Operational Research, vol. 252, no. 1, pp. 1-26, 2016. doi: 10.1016/j.ejor.2015.11.010.</w:t>
      </w:r>
    </w:p>
    <w:sectPr w:rsidR="00FC693F" w:rsidRPr="0006063C" w:rsidSect="00034616">
      <w:type w:val="continuous"/>
      <w:pgSz w:w="12240" w:h="15840"/>
      <w:pgMar w:top="1080" w:right="900" w:bottom="1080" w:left="90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