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Styles Showcase</w:t>
      </w:r>
    </w:p>
    <w:p>
      <w:pPr>
        <w:pStyle w:val="Heading2"/>
      </w:pPr>
      <w:r>
        <w:t xml:space="preserve">Inline styles</w:t>
      </w:r>
    </w:p>
    <w:p>
      <w:r>
        <w:rPr>
          <w:color w:val="FF0000"/>
        </w:rPr>
        <w:t xml:space="preserve">Red text</w:t>
      </w:r>
      <w:r>
        <w:t xml:space="preserve"> | </w:t>
      </w:r>
      <w:r>
        <w:rPr>
          <w:sz w:val="36"/>
          <w:szCs w:val="36"/>
        </w:rPr>
        <w:t xml:space="preserve">Large text</w:t>
      </w:r>
      <w:r>
        <w:t xml:space="preserve"> | </w:t>
      </w:r>
      <w:r>
        <w:rPr>
          <w:b/>
          <w:i/>
        </w:rPr>
        <w:t xml:space="preserve">Bold+Italic</w:t>
      </w:r>
    </w:p>
    <w:p>
      <w:r>
        <w:t xml:space="preserve">Final paragraph for parsing demo.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decimal"/>
      <w:lvlText w:val="%2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/>
    <w:sz w:val="32"/>
  </w:style>
  <w:style w:type="paragraph" w:styleId="Heading2">
    <w:name w:val="heading 2"/>
    <w:b/>
    <w:sz w:val="28"/>
  </w:style>
  <w:style w:type="character" w:styleId="Strong">
    <w:name w:val="Strong"/>
    <w:b/>
  </w:style>
  <w:style w:type="character" w:styleId="Emphasis">
    <w:name w:val="Emphasis"/>
    <w:i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