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44"/>
        </w:rPr>
        <w:t>🌍  FMCG M&amp;A INTELLIGENCE NEWSLETTER</w:t>
      </w:r>
    </w:p>
    <w:p>
      <w:pPr>
        <w:jc w:val="center"/>
      </w:pPr>
      <w:r>
        <w:rPr>
          <w:i/>
          <w:color w:val="888888"/>
          <w:sz w:val="20"/>
        </w:rPr>
        <w:t>Issue Date: June 24, 2026  |  Powered by FMCG Intel Agent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F2FB"/>
          </w:tcPr>
          <w:p>
            <w:pPr>
              <w:spacing w:before="80" w:after="80"/>
            </w:pPr>
            <w:r>
              <w:rPr>
                <w:b/>
                <w:color w:val="1B3A5C"/>
                <w:sz w:val="22"/>
              </w:rPr>
              <w:t>EXECUTIVE SUMMARY</w:t>
              <w:br/>
            </w:r>
            <w:r>
              <w:rPr>
                <w:sz w:val="20"/>
              </w:rPr>
              <w:t>Deals tracked: 0  |  Total disclosed value: ~$0.0B  |  Period: 2025–2026 YTD</w:t>
              <w:br/>
              <w:br/>
              <w:t>The FMCG deal landscape has been defined by three forces:</w:t>
              <w:br/>
              <w:t>(1) Portfolio rationalisation — majors divesting non-core assets</w:t>
              <w:br/>
              <w:t>(2) New operating model acquisitions — buying DTC, functional &amp; health brands</w:t>
              <w:br/>
              <w:t>(3) Category scale-up — mega-mergers in snacking, coffee and personal care</w:t>
            </w:r>
          </w:p>
        </w:tc>
      </w:tr>
    </w:tbl>
    <w:p/>
    <w:p>
      <w:pPr>
        <w:pStyle w:val="Heading2"/>
      </w:pPr>
      <w:r>
        <w:rPr>
          <w:color w:val="0D7377"/>
        </w:rPr>
        <w:t>KEY THEMES TO WATCH</w:t>
      </w:r>
    </w:p>
    <w:p>
      <w:pPr>
        <w:spacing w:after="60"/>
        <w:ind w:left="288"/>
      </w:pPr>
      <w:r>
        <w:rPr>
          <w:b/>
          <w:sz w:val="20"/>
        </w:rPr>
        <w:t xml:space="preserve">1. Health &amp; Wellness Premium: </w:t>
      </w:r>
      <w:r>
        <w:rPr>
          <w:sz w:val="20"/>
        </w:rPr>
        <w:t>Functional beverages (Poppi, Alani Nu) command the highest valuation multiples (14x+ EBITDA); expect more bolt-ons in 2026.</w:t>
      </w:r>
    </w:p>
    <w:p>
      <w:pPr>
        <w:spacing w:after="60"/>
        <w:ind w:left="288"/>
      </w:pPr>
      <w:r>
        <w:rPr>
          <w:b/>
          <w:sz w:val="20"/>
        </w:rPr>
        <w:t xml:space="preserve">2. DTC Operating Model Access: </w:t>
      </w:r>
      <w:r>
        <w:rPr>
          <w:sz w:val="20"/>
        </w:rPr>
        <w:t>Danone/Huel, Emami/ManCo signal FMCG majors buying digital-native capabilities and distribution, not just brands.</w:t>
      </w:r>
    </w:p>
    <w:p>
      <w:pPr>
        <w:spacing w:after="60"/>
        <w:ind w:left="288"/>
      </w:pPr>
      <w:r>
        <w:rPr>
          <w:b/>
          <w:sz w:val="20"/>
        </w:rPr>
        <w:t xml:space="preserve">3. Portfolio Cleanup: </w:t>
      </w:r>
      <w:r>
        <w:rPr>
          <w:sz w:val="20"/>
        </w:rPr>
        <w:t>Unilever food exit, Nestlé water sale, Costa saga — conglomerates shedding operationally distinct categories.</w:t>
      </w:r>
    </w:p>
    <w:p>
      <w:pPr>
        <w:spacing w:after="60"/>
        <w:ind w:left="288"/>
      </w:pPr>
      <w:r>
        <w:rPr>
          <w:b/>
          <w:sz w:val="20"/>
        </w:rPr>
        <w:t xml:space="preserve">4. GLP-1 Wildcard: </w:t>
      </w:r>
      <w:r>
        <w:rPr>
          <w:sz w:val="20"/>
        </w:rPr>
        <w:t>Weight-loss drug adoption reshaping snack/food M&amp;A thesis; boards avoiding high-calorie category concentration.</w:t>
      </w:r>
    </w:p>
    <w:p>
      <w:pPr>
        <w:spacing w:after="60"/>
        <w:ind w:left="288"/>
      </w:pPr>
      <w:r>
        <w:rPr>
          <w:b/>
          <w:sz w:val="20"/>
        </w:rPr>
        <w:t xml:space="preserve">5. EBITDA Multiples: </w:t>
      </w:r>
      <w:r>
        <w:rPr>
          <w:sz w:val="20"/>
        </w:rPr>
        <w:t>Food &amp; bev settling at 10–11x; functional and wellness brands commanding 14x+; PE applying greater discipline.</w:t>
      </w:r>
    </w:p>
    <w:p/>
    <w:p>
      <w:pPr>
        <w:pStyle w:val="Heading2"/>
      </w:pPr>
      <w:r>
        <w:rPr>
          <w:color w:val="555555"/>
        </w:rPr>
        <w:t>PIPELINE TRANSPARENCY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703"/>
            <w:shd w:val="clear" w:color="auto" w:fill="EAF2FB"/>
          </w:tcPr>
          <w:p>
            <w:r>
              <w:rPr>
                <w:b/>
                <w:sz w:val="18"/>
              </w:rPr>
              <w:t>Raw articles ingested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4703"/>
            <w:shd w:val="clear" w:color="auto" w:fill="EAF2FB"/>
          </w:tcPr>
          <w:p>
            <w:r>
              <w:rPr>
                <w:b/>
                <w:sz w:val="18"/>
              </w:rPr>
              <w:t>Duplicates removed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 (exact group match + headline similarity ≥0.75)</w:t>
            </w:r>
          </w:p>
        </w:tc>
      </w:tr>
      <w:tr>
        <w:tc>
          <w:tcPr>
            <w:tcW w:type="dxa" w:w="4703"/>
            <w:shd w:val="clear" w:color="auto" w:fill="EAF2FB"/>
          </w:tcPr>
          <w:p>
            <w:r>
              <w:rPr>
                <w:b/>
                <w:sz w:val="18"/>
              </w:rPr>
              <w:t>After deduplication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14 unique deals</w:t>
            </w:r>
          </w:p>
        </w:tc>
      </w:tr>
      <w:tr>
        <w:tc>
          <w:tcPr>
            <w:tcW w:type="dxa" w:w="4703"/>
            <w:shd w:val="clear" w:color="auto" w:fill="EAF2FB"/>
          </w:tcPr>
          <w:p>
            <w:r>
              <w:rPr>
                <w:b/>
                <w:sz w:val="18"/>
              </w:rPr>
              <w:t>Credibility tiers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T1=SEC/Official (9-10pt) | T2=Trade/Advisory (6-7pt) | T3=Blog (2-4pt)</w:t>
            </w:r>
          </w:p>
        </w:tc>
      </w:tr>
      <w:tr>
        <w:tc>
          <w:tcPr>
            <w:tcW w:type="dxa" w:w="4703"/>
            <w:shd w:val="clear" w:color="auto" w:fill="EAF2FB"/>
          </w:tcPr>
          <w:p>
            <w:r>
              <w:rPr>
                <w:b/>
                <w:sz w:val="18"/>
              </w:rPr>
              <w:t>Relevance threshold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Composite score ≥5.5 (60% relevance + 40% credibility)</w:t>
            </w:r>
          </w:p>
        </w:tc>
      </w:tr>
      <w:tr>
        <w:tc>
          <w:tcPr>
            <w:tcW w:type="dxa" w:w="4703"/>
            <w:shd w:val="clear" w:color="auto" w:fill="EAF2FB"/>
          </w:tcPr>
          <w:p>
            <w:r>
              <w:rPr>
                <w:b/>
                <w:sz w:val="18"/>
              </w:rPr>
              <w:t>Assumptions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Values at announcement; Undisclosed = no public figure found; Not investment advice</w:t>
            </w:r>
          </w:p>
        </w:tc>
      </w:tr>
    </w:tbl>
    <w:p/>
    <w:p>
      <w:pPr>
        <w:jc w:val="center"/>
      </w:pPr>
      <w:r>
        <w:rPr>
          <w:i/>
          <w:color w:val="AAAAAA"/>
          <w:sz w:val="16"/>
        </w:rPr>
        <w:t>FMCG Intel Agent  |  For internal use only  |  Not investment advice</w:t>
      </w:r>
    </w:p>
    <w:sectPr w:rsidR="00FC693F" w:rsidRPr="0006063C" w:rsidSect="00034616">
      <w:pgSz w:w="12240" w:h="15840"/>
      <w:pgMar w:top="1020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