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0"/>
          <w:szCs w:val="40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6B"/>
          <w:sz w:val="72"/>
          <w:szCs w:val="72"/>
        </w:rPr>
        <w:t xml:space="preserve">SCIETCH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Academic Graphical Abstract Builder</w:t>
      </w:r>
    </w:p>
    <w:p>
      <w:pPr>
        <w:pBdr>
          <w:bottom w:val="single" w:color="2E86AB" w:sz="6" w:space="8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Product Requirements Document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1.0 — Initial Release</w:t>
            </w:r>
          </w:p>
        </w:tc>
      </w:tr>
      <w:tr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Draft — For Stakeholder Review</w:t>
            </w:r>
          </w:p>
        </w:tc>
      </w:tr>
      <w:tr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Product &amp; Engineering Team</w:t>
            </w:r>
          </w:p>
        </w:tc>
      </w:tr>
      <w:tr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April 28, 2026</w:t>
            </w:r>
          </w:p>
        </w:tc>
      </w:tr>
      <w:tr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Founders, Engineering, Design, Investors</w:t>
            </w:r>
          </w:p>
        </w:tc>
      </w:tr>
      <w:tr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CONFIDENTIAL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Bdr>
          <w:top w:val="single" w:color="2E86AB" w:sz="4"/>
          <w:bottom w:val="single" w:color="2E86AB" w:sz="4"/>
          <w:left w:val="single" w:color="2E86AB" w:sz="16" w:space="8"/>
          <w:right w:val="single" w:color="2E86AB" w:sz="4"/>
        </w:pBdr>
        <w:shd w:fill="D6EAF8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1A3C6B"/>
          <w:sz w:val="20"/>
          <w:szCs w:val="20"/>
        </w:rPr>
        <w:t xml:space="preserve">Vision Statement:  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SciEtch is the fastest, most constrained design tool built exclusively for academic researchers — turning a raw abstract into a publication-ready graphical schematic in under 60 seconds.</w:t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SciEtch solves a persistent pain point in academic publishing: researchers produce ground-breaking science but lack the time or design skills to create the high-quality graphical abstracts increasingly required by journals (Cell, Nature, Science, ACS), preprint servers (arXiv, bioRxiv), and open-access repositories (Zenodo, OSF).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Existing tools — Adobe Illustrator, Canva, BioRender — are either too broad, too expensive, or locked behind institutional licenses. SciEtch is ruthlessly focused: paste an abstract, let the AI extract the key methodology, customize a generated schematic, and export a print-resolution PDF — all in one workflow.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Bdr>
          <w:top w:val="single" w:color="2E86AB" w:sz="4"/>
          <w:bottom w:val="single" w:color="2E86AB" w:sz="4"/>
          <w:left w:val="single" w:color="2E86AB" w:sz="16" w:space="8"/>
          <w:right w:val="single" w:color="2E86AB" w:sz="4"/>
        </w:pBdr>
        <w:shd w:fill="D6EAF8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1A3C6B"/>
          <w:sz w:val="20"/>
          <w:szCs w:val="20"/>
        </w:rPr>
        <w:t xml:space="preserve">Market Opportunity:  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Over 3 million peer-reviewed papers are published per year. More than 70% of top-tier journals now mandate or strongly encourage graphical abstracts. The TAM for design tooling in academic publishing exceeds $1.2B globally.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2.1 Core Pain Points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Researchers spend 3–8 hours on a single graphical abstract using general-purpose tools not designed for science.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BioRender is expensive ($35–$99/mo), biology-centric, and lacks NLP-driven layout generation.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Canva and PowerPoint produce graphical abstracts that look amateurish next to peer-reviewed publication standards.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arXiv, Zenodo, and journal submission portals have strict file-size and resolution requirements that most researchers don't know how to meet.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Collaborating PI and postdoc on figure iterations involves emailing .pptx files back and forth — no version control, no commenting.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2.2 User Frustration Snapshot</w:t>
      </w:r>
    </w:p>
    <w:p>
      <w:pPr>
        <w:pBdr>
          <w:top w:val="single" w:color="2E86AB" w:sz="4"/>
          <w:bottom w:val="single" w:color="2E86AB" w:sz="4"/>
          <w:left w:val="single" w:color="2E86AB" w:sz="16" w:space="8"/>
          <w:right w:val="single" w:color="2E86AB" w:sz="4"/>
        </w:pBdr>
        <w:shd w:fill="FEF3E7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F4A261"/>
          <w:sz w:val="20"/>
          <w:szCs w:val="20"/>
        </w:rPr>
        <w:t xml:space="preserve">Researcher Quote (interviews):  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"I spent an entire Sunday afternoon moving boxes around in Illustrator just to make one figure for the journal submission. The science took two years — the figure took longer than it should."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Bdr>
          <w:top w:val="single" w:color="2E86AB" w:sz="4"/>
          <w:bottom w:val="single" w:color="2E86AB" w:sz="4"/>
          <w:left w:val="single" w:color="2E86AB" w:sz="16" w:space="8"/>
          <w:right w:val="single" w:color="2E86AB" w:sz="4"/>
        </w:pBdr>
        <w:shd w:fill="FEF3E7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F4A261"/>
          <w:sz w:val="20"/>
          <w:szCs w:val="20"/>
        </w:rPr>
        <w:t xml:space="preserve">PI Quote:  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"We reject Canva graphics immediately — they look unprofessional. But we don't have time to teach every grad student Illustrator."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3. Product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3.1 Product Name &amp;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SciEtch</w:t>
            </w:r>
          </w:p>
        </w:tc>
      </w:tr>
      <w:tr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Tagline</w:t>
            </w:r>
          </w:p>
        </w:tc>
        <w:tc>
          <w:tcPr>
            <w:tcW w:type="dxa" w:w="6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From Abstract to Figure in 60 Seconds.</w:t>
            </w:r>
          </w:p>
        </w:tc>
      </w:tr>
      <w:tr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SaaS Web Application (B2C / B2I)</w:t>
            </w:r>
          </w:p>
        </w:tc>
      </w:tr>
      <w:tr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URL</w:t>
            </w:r>
          </w:p>
        </w:tc>
        <w:tc>
          <w:tcPr>
            <w:tcW w:type="dxa" w:w="6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app.scietchy.io (proposed)</w:t>
            </w:r>
          </w:p>
        </w:tc>
      </w:tr>
      <w:tr>
        <w:tc>
          <w:tcPr>
            <w:tcW w:type="dxa" w:w="2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Devices</w:t>
            </w:r>
          </w:p>
        </w:tc>
        <w:tc>
          <w:tcPr>
            <w:tcW w:type="dxa" w:w="6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Desktop-first (Chrome, Firefox, Safari, Edge); tablet secondary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3.2 Core Value Proposition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NLP-powered abstract parsing extracts methodology, variables, and process flow automatically.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Opinionated, journal-compliant layout templates — no blank canvas paralysis.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Drag-and-drop scientific component library (flowchart nodes, molecule placeholders, microscopy frames, data flow arrows, statistical annotation boxes).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One-click export to high-resolution PDF, PNG (300dpi), and SVG, with journal-preset profiles (Nature, ACS, Elsevier, APA).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Real-time collaboration with inline comments — no file attachments.</w:t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4. Target Users &amp; Personas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Goal</w:t>
            </w:r>
          </w:p>
        </w:tc>
        <w:tc>
          <w:tcPr>
            <w:tcW w:type="dxa" w:w="2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Frustration</w:t>
            </w:r>
          </w:p>
        </w:tc>
      </w:tr>
      <w:t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The Postdoc</w:t>
            </w:r>
          </w:p>
        </w:tc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Postdoctoral researcher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 to high-impact journal fast</w:t>
            </w:r>
          </w:p>
        </w:tc>
        <w:tc>
          <w:tcPr>
            <w:tcW w:type="dxa" w:w="2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 time; no design budget</w:t>
            </w:r>
          </w:p>
        </w:tc>
      </w:tr>
      <w:t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The PI</w:t>
            </w:r>
          </w:p>
        </w:tc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Principal Investigator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Ensure lab output looks professional</w:t>
            </w:r>
          </w:p>
        </w:tc>
        <w:tc>
          <w:tcPr>
            <w:tcW w:type="dxa" w:w="2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Students produce low-quality figures</w:t>
            </w:r>
          </w:p>
        </w:tc>
      </w:tr>
      <w:t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The PhD Student</w:t>
            </w:r>
          </w:p>
        </w:tc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Graduate researcher, yr 2–5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Pass qualifying figure requirements</w:t>
            </w:r>
          </w:p>
        </w:tc>
        <w:tc>
          <w:tcPr>
            <w:tcW w:type="dxa" w:w="2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Illustrator learning curve too steep</w:t>
            </w:r>
          </w:p>
        </w:tc>
      </w:tr>
      <w:t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The Lab Manager</w:t>
            </w:r>
          </w:p>
        </w:tc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 / Core Facility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Standardize figure style across lab</w:t>
            </w:r>
          </w:p>
        </w:tc>
        <w:tc>
          <w:tcPr>
            <w:tcW w:type="dxa" w:w="2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 template enforcing house style</w:t>
            </w:r>
          </w:p>
        </w:tc>
      </w:tr>
      <w:tr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The Librarian</w:t>
            </w:r>
          </w:p>
        </w:tc>
        <w:tc>
          <w:tcPr>
            <w:tcW w:type="dxa" w:w="2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University library / repository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Help researchers deposit with correct assets</w:t>
            </w:r>
          </w:p>
        </w:tc>
        <w:tc>
          <w:tcPr>
            <w:tcW w:type="dxa" w:w="2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Researchers submit wrong file formats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5. User Stories &amp; Acceptance Criteria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5.1 Abstract Ingestion &amp; NLP Parsing</w:t>
      </w:r>
    </w:p>
    <w:p>
      <w:pPr>
        <w:pStyle w:val="ListParagraph"/>
        <w:numPr>
          <w:ilvl w:val="false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As a researcher, I want to paste my abstract and have the app identify the core methodology, inputs, outputs, and key steps, so that I don't have to manually create a flowchart from scratch.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Parser extracts ≥3 distinct process nodes from any 150–300 word abstract within 8 seconds.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Confidence score shown per extracted node; user can edit/reject any node before layout generation.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Parser works on abstracts from biology, chemistry, physics, CS, and social sciences.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5.2 Layout &amp; Schematic Generation</w:t>
      </w:r>
    </w:p>
    <w:p>
      <w:pPr>
        <w:pStyle w:val="ListParagraph"/>
        <w:numPr>
          <w:ilvl w:val="false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As a user, I want to see a clean, structured schematic generated automatically from my parsed nodes, so I have a professional starting point rather than a blank canvas.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Layout renders within 3 seconds of parsing confirmation.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Generated schematic adheres to one of five layout templates (linear flow, cyclic process, hierarchical, comparison, hybrid).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All generated elements snap to an invisible grid; no overlapping boxes on initial render.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5.3 Drag-and-Drop Component Editor</w:t>
      </w:r>
    </w:p>
    <w:p>
      <w:pPr>
        <w:pStyle w:val="ListParagraph"/>
        <w:numPr>
          <w:ilvl w:val="false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As a researcher, I want to customize the generated schematic using a scientific component palette, so I can add domain-specific visuals without learning Illustrator.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Component library contains ≥50 components across categories: flowchart, biology, chemistry, data/stats, physics.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Components snap to grid with 8px precision.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Undo/redo supports ≥30 steps.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Text inside any component is editable with inline click.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5.4 Export</w:t>
      </w:r>
    </w:p>
    <w:p>
      <w:pPr>
        <w:pStyle w:val="ListParagraph"/>
        <w:numPr>
          <w:ilvl w:val="false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As a researcher, I want to download my schematic as a high-resolution PDF or PNG ready for journal submission, so I don't have to worry about DPI or file size limits.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PDF export at 300 DPI minimum; file size ≤5MB for a standard abstract figure.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PNG export at 300 DPI with transparent background option.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SVG export for vector editing in downstream tools.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Journal preset profiles (Nature, ACS, Elsevier) enforce correct dimensions and color modes automatically.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5.5 Collaboration</w:t>
      </w:r>
    </w:p>
    <w:p>
      <w:pPr>
        <w:pStyle w:val="ListParagraph"/>
        <w:numPr>
          <w:ilvl w:val="false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As a PI, I want to leave inline comments on a shared figure, so I can give feedback without emailing files back and forth.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Share link generates in &lt;2 seconds; no account required for comment-only access.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Inline comments pin to individual components; resolved comments archived.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AC: Version history stores up to 20 snapshots per figure.</w:t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6. Feature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6.1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6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Abstract paste + NLP extraction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 layout template engine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Drag-and-drop editor (basic)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Component library (≥50 items)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PDF / PNG export (300 DPI)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 accounts + project save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Journal preset profiles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P1 — Important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Real-time collaboration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P1 — Important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Version history (20 snapshots)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P1 — Important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SVG export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P1 — Important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Team workspaces (lab groups)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P2 — Nice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Custom component upload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P2 — Nice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Citation / reference panel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P2 — Nice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AI style suggestions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P3 — Future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Animated figure (GIF) export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P3 — Future</w:t>
            </w:r>
          </w:p>
        </w:tc>
        <w:tc>
          <w:tcPr>
            <w:tcW w:type="dxa" w:w="1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v3.0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7.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7.1 High-Level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React 19 + TypeScript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Component model ideal for canvas editor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Canvas / Editor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Konva.js + React-Konva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GPU-accelerated 2D canvas; mature drag-drop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Zustand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Lightweight, no boilerplate for editor state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Tailwind CSS + Radix UI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Accessible primitives; no opinionated styles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NLP Pipeline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Python 3.11 + FastAPI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Async API; easy scikit/spaCy integration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NLP Model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spaCy + custom NER (fine-tuned)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Lightweight; no GPU inference required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Export Engine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Puppeteer (PDF) + Sharp (PNG)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Headless Chrome PDF; Sharp for raster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PostgreSQL (Supabase)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Row-level security; real-time subscriptions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Supabase Auth (OAuth + email)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Google / ORCID SSO for researchers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Supabase Storage (S3-compatible)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Figure assets, exports, component library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Real-time Collab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Supabase Realtime (WebSockets)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Presence + cursor sync for co-editing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Hosting — Frontend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Vercel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Edge network; zero-config React deployments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Hosting — API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Railway / Render (Docker)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Python container hosting; auto-scale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CDN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Cloudflare</w:t>
            </w:r>
          </w:p>
        </w:tc>
        <w:tc>
          <w:tcPr>
            <w:tcW w:type="dxa" w:w="3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Asset caching; DDoS protection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7.2 NLP Pipeline Detail</w:t>
      </w:r>
    </w:p>
    <w:p>
      <w:pPr>
        <w:spacing w:after="10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The text extraction pipeline runs as a stateless Python microservice exposed over REST: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Input: Raw abstract text (UTF-8, 50–600 words).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Step 1 — Sentence segmentation: spaCy en_core_web_sm pipeline.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Step 2 — Entity recognition: custom NER model fine-tuned on 12,000 annotated scientific abstracts across 6 disciplines. Labels: METHOD, VARIABLE, ORGANISM, INSTRUMENT, DATASET, OUTCOME.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Step 3 — Relation extraction: dependency parsing identifies subject-verb-object triples linking entities into process edges.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Step 4 — Layout scoring: a heuristic scorer maps extracted triples to one of five layout archetypes (linear, cyclic, hierarchical, comparison, hybrid) based on edge topology.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Step 5 — JSON output: nodes (id, label, type, confidence) + edges (source, target, label) returned to React frontend for rendering.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Bdr>
          <w:top w:val="single" w:color="2E86AB" w:sz="4"/>
          <w:bottom w:val="single" w:color="2E86AB" w:sz="4"/>
          <w:left w:val="single" w:color="2E86AB" w:sz="16" w:space="8"/>
          <w:right w:val="single" w:color="2E86AB" w:sz="4"/>
        </w:pBdr>
        <w:shd w:fill="D6EAF8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1A3C6B"/>
          <w:sz w:val="20"/>
          <w:szCs w:val="20"/>
        </w:rPr>
        <w:t xml:space="preserve">Performance Target:  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End-to-end pipeline latency &lt; 3 seconds (p95) for abstracts up to 400 words, measured at the FastAPI endpoint under normal load.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7.3 Canvas Editor Architecture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The editor is a React component tree with a Zustand store managing the full figure state (nodes, edges, styles, history stack).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Each component in the figure is a Konva.Group containing a shape layer and a text layer; all transforms are stored as normalized relative coordinates (0–1 space) and mapped to canvas pixels at render time to support responsive resizing.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Undo/redo is implemented as an immutable history array with a cursor pointer; each mutation pushes a new state snapshot. The stack is capped at 30 entries to bound memory.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Export is triggered by serializing the Konva stage to a data URI, then sending it to the backend export service (Puppeteer for PDF, Sharp pipeline for PNG/SVG).</w:t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8. Design Principles &amp; UX Constraints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8.1 The Three Constraints (Product Philosophy)</w:t>
      </w:r>
    </w:p>
    <w:p>
      <w:pPr>
        <w:pBdr>
          <w:top w:val="single" w:color="2E86AB" w:sz="4"/>
          <w:bottom w:val="single" w:color="2E86AB" w:sz="4"/>
          <w:left w:val="single" w:color="2E86AB" w:sz="16" w:space="8"/>
          <w:right w:val="single" w:color="2E86AB" w:sz="4"/>
        </w:pBdr>
        <w:shd w:fill="D6EAF8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1A3C6B"/>
          <w:sz w:val="20"/>
          <w:szCs w:val="20"/>
        </w:rPr>
        <w:t xml:space="preserve">Constraint 1 — No Blank Canvas:  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Users always start from a generated layout. The empty canvas is never shown. This eliminates decision paralysis and keeps output consistent.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Bdr>
          <w:top w:val="single" w:color="2E86AB" w:sz="4"/>
          <w:bottom w:val="single" w:color="2E86AB" w:sz="4"/>
          <w:left w:val="single" w:color="2E86AB" w:sz="16" w:space="8"/>
          <w:right w:val="single" w:color="2E86AB" w:sz="4"/>
        </w:pBdr>
        <w:shd w:fill="D6EAF8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1A3C6B"/>
          <w:sz w:val="20"/>
          <w:szCs w:val="20"/>
        </w:rPr>
        <w:t xml:space="preserve">Constraint 2 — Science-Only Components:  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The component library contains exclusively scientific primitives. No clip-art, no generic shapes. Every component is semantically labeled (e.g., 'Western Blot Frame', 'Decision Gate', 'Data Pipeline Arrow').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Bdr>
          <w:top w:val="single" w:color="2E86AB" w:sz="4"/>
          <w:bottom w:val="single" w:color="2E86AB" w:sz="4"/>
          <w:left w:val="single" w:color="2E86AB" w:sz="16" w:space="8"/>
          <w:right w:val="single" w:color="2E86AB" w:sz="4"/>
        </w:pBdr>
        <w:shd w:fill="D6EAF8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1A3C6B"/>
          <w:sz w:val="20"/>
          <w:szCs w:val="20"/>
        </w:rPr>
        <w:t xml:space="preserve">Constraint 3 — Journal-First Export:  </w:t>
      </w:r>
      <w:r>
        <w:rPr>
          <w:rFonts w:ascii="Arial" w:cs="Arial" w:eastAsia="Arial" w:hAnsi="Arial"/>
          <w:color w:val="1C1C1E"/>
          <w:sz w:val="20"/>
          <w:szCs w:val="20"/>
        </w:rPr>
        <w:t xml:space="preserve">Export dialogs default to journal profiles. Users select a destination (Nature, arXiv, etc.) and the app enforces correct dimensions, color space (RGB vs CMYK), and file size automatically.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8.2 UI Layout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Left Panel — Component Library: searchable grid of scientific components, grouped by discipline. Drag onto canvas to place.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Center — Canvas Editor: the live Konva canvas with snap-to-grid enabled by default. Toolbar floats at top: select, pan, zoom, add text, add arrow.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Right Panel — Properties: context-sensitive panel showing fill/stroke, font, label, and component-specific options for the selected element.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Top Bar — Export &amp; Share: Journal preset picker, Export button, Share link generator, Version history dropdown.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8.3 Accessibility &amp; Internationalisation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WCAG 2.1 AA compliance for all interactive UI elements outside the canvas.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Keyboard shortcuts for all common editor actions (documented in Help overlay).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RTL layout support for Arabic, Hebrew, Farsi (abstract text direction only; canvas is language-agnostic).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i18n strings externalized from day one; initial launch in English only.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9. Release Roadmap &amp; Sprint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9.1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 weeks</w:t>
            </w:r>
          </w:p>
        </w:tc>
        <w:tc>
          <w:tcPr>
            <w:tcW w:type="dxa" w:w="4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Repo, CI/CD, Supabase project, auth shell, design system tokens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MVP Core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 weeks</w:t>
            </w:r>
          </w:p>
        </w:tc>
        <w:tc>
          <w:tcPr>
            <w:tcW w:type="dxa" w:w="4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NLP API, layout engine, canvas editor v1, basic component library, PDF export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Beta Polish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 weeks</w:t>
            </w:r>
          </w:p>
        </w:tc>
        <w:tc>
          <w:tcPr>
            <w:tcW w:type="dxa" w:w="4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Journal presets, 50-component library, sharing, version history, onboarding flow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Public Launch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 weeks</w:t>
            </w:r>
          </w:p>
        </w:tc>
        <w:tc>
          <w:tcPr>
            <w:tcW w:type="dxa" w:w="4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Performance hardening, billing (Stripe), marketing site, ProductHunt launch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Ongoing</w:t>
            </w:r>
          </w:p>
        </w:tc>
        <w:tc>
          <w:tcPr>
            <w:tcW w:type="dxa" w:w="4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Real-time collab, team workspaces, additional disciplines, API access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9.2 Sprint Breakdown — Phase 1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7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Focus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Wk 1–2</w:t>
            </w:r>
          </w:p>
        </w:tc>
        <w:tc>
          <w:tcPr>
            <w:tcW w:type="dxa" w:w="7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FastAPI skeleton; spaCy NER training pipeline; annotated dataset v0.1 (2,000 abstracts)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Wk 3</w:t>
            </w:r>
          </w:p>
        </w:tc>
        <w:tc>
          <w:tcPr>
            <w:tcW w:type="dxa" w:w="7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React app scaffold; Zustand store; Konva canvas shell; routing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Wk 4</w:t>
            </w:r>
          </w:p>
        </w:tc>
        <w:tc>
          <w:tcPr>
            <w:tcW w:type="dxa" w:w="7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Abstract paste UI; NLP API integration; node/edge JSON to Konva renderer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Wk 5</w:t>
            </w:r>
          </w:p>
        </w:tc>
        <w:tc>
          <w:tcPr>
            <w:tcW w:type="dxa" w:w="7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Drag-and-drop component library (25 components); snap-to-grid; undo/redo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Sprint 5</w:t>
            </w:r>
          </w:p>
        </w:tc>
        <w:tc>
          <w:tcPr>
            <w:tcW w:type="dxa" w:w="1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Wk 6</w:t>
            </w:r>
          </w:p>
        </w:tc>
        <w:tc>
          <w:tcPr>
            <w:tcW w:type="dxa" w:w="7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Properties panel; inline text editing; arrow routing; layout template switching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Sprint 6</w:t>
            </w:r>
          </w:p>
        </w:tc>
        <w:tc>
          <w:tcPr>
            <w:tcW w:type="dxa" w:w="1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Wk 7</w:t>
            </w:r>
          </w:p>
        </w:tc>
        <w:tc>
          <w:tcPr>
            <w:tcW w:type="dxa" w:w="7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Puppeteer PDF export; Sharp PNG export; Supabase Storage integration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Sprint 7</w:t>
            </w:r>
          </w:p>
        </w:tc>
        <w:tc>
          <w:tcPr>
            <w:tcW w:type="dxa" w:w="1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Wk 8</w:t>
            </w:r>
          </w:p>
        </w:tc>
        <w:tc>
          <w:tcPr>
            <w:tcW w:type="dxa" w:w="7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End-to-end QA; performance profiling; MVP user testing (10 researchers)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10. Monetisation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10.1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7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Included</w:t>
            </w:r>
          </w:p>
        </w:tc>
        <w:tc>
          <w:tcPr>
            <w:tcW w:type="dxa" w:w="2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$0 / mo</w:t>
            </w:r>
          </w:p>
        </w:tc>
        <w:tc>
          <w:tcPr>
            <w:tcW w:type="dxa" w:w="3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 figures/mo; watermarked PNG; community templates</w:t>
            </w:r>
          </w:p>
        </w:tc>
        <w:tc>
          <w:tcPr>
            <w:tcW w:type="dxa" w:w="2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Student trials, casual users</w:t>
            </w:r>
          </w:p>
        </w:tc>
      </w:tr>
      <w:tr>
        <w:tc>
          <w:tcPr>
            <w:tcW w:type="dxa" w:w="1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Researcher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$12 / mo</w:t>
            </w:r>
          </w:p>
        </w:tc>
        <w:tc>
          <w:tcPr>
            <w:tcW w:type="dxa" w:w="3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Unlimited figures; no watermark; all export formats; 20-version history</w:t>
            </w:r>
          </w:p>
        </w:tc>
        <w:tc>
          <w:tcPr>
            <w:tcW w:type="dxa" w:w="2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Individual postdocs, PhD students</w:t>
            </w:r>
          </w:p>
        </w:tc>
      </w:tr>
      <w:tr>
        <w:tc>
          <w:tcPr>
            <w:tcW w:type="dxa" w:w="1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Lab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$49 / mo</w:t>
            </w:r>
          </w:p>
        </w:tc>
        <w:tc>
          <w:tcPr>
            <w:tcW w:type="dxa" w:w="3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 seats; team workspace; shared component library; priority support</w:t>
            </w:r>
          </w:p>
        </w:tc>
        <w:tc>
          <w:tcPr>
            <w:tcW w:type="dxa" w:w="2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Research groups, small labs</w:t>
            </w:r>
          </w:p>
        </w:tc>
      </w:tr>
      <w:tr>
        <w:tc>
          <w:tcPr>
            <w:tcW w:type="dxa" w:w="1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Custom</w:t>
            </w:r>
          </w:p>
        </w:tc>
        <w:tc>
          <w:tcPr>
            <w:tcW w:type="dxa" w:w="3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SSO/SAML; unlimited seats; custom branding; SLA; API access</w:t>
            </w:r>
          </w:p>
        </w:tc>
        <w:tc>
          <w:tcPr>
            <w:tcW w:type="dxa" w:w="2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Universities, publishers, journals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10.2 Additional Revenue Streams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Premium Component Packs: Discipline-specific libraries (e.g., 'Neuroscience Pack', 'Materials Science Pack') sold at $4.99 each or bundled in Lab+ plans.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Journal Partnership Integrations: Revenue share with publishers who embed SciEtch into their submission portals.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API Access: Programmatic figure generation for publishers automating graphical abstract creation at scale (usage-based pricing).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11.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(6 months post-launch)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Monthly Active Users (MAU)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5,000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Supabase analytics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Figures Created / Month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15,000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DB event count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Avg. Time to First Export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&lt; 8 minutes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Funnel analytics (Posthog)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NLP Parse Accuracy (manual review)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&gt; 82%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Monthly human eval (50 abstracts)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Free-to-Paid Conversion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&gt; 6%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Stripe MRR / MAU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Net Promoter Score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&gt; 50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In-app survey (Delighted)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p95 API Latency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&lt; 3 seconds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Railway metrics / Datadog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Monthly Churn (paid)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&lt; 3.5%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Stripe churn calculation</w:t>
            </w:r>
          </w:p>
        </w:tc>
      </w:tr>
      <w:tr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GitHub Stars (open NER model)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&gt; 500</w:t>
            </w:r>
          </w:p>
        </w:tc>
        <w:tc>
          <w:tcPr>
            <w:tcW w:type="dxa" w:w="3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GitHub API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NLP accuracy too low for non-English abstracts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Phase 1 English only; multilingual NER in roadmap backlog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BioRender launches competing NLP feature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Differentiate on breadth (all STEM) and open-source NER model goodwill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Journal spec changes break export presets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Preset definitions in versioned config files; community contribution model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Canvas performance degradation at high component count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Virtual rendering; benchmark at &gt;200 components during Phase 1 QA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GDPR compliance for EU researcher data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Supabase EU region; DPA in all institutional contracts; data residency option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Low NLP training data for niche disciplines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Open call for annotated abstract donations; partner with 3 universities in beta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13. Open Questions &amp; Decisions Required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Should the NER model be open-sourced on Hugging Face to drive community adoption, or kept proprietary as a competitive moat?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ORCID SSO integration: required for v1.0 or deferred to v1.1? (Researchers strongly prefer ORCID login.)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Should the Free plan figures be stored server-side (requiring storage cost) or client-side only (browser localStorage)?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Real-time collaboration: WebSocket via Supabase Realtime or a dedicated Liveblocks integration for richer presence UI?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Will we pursue an Elsevier / Springer partnership before public launch or post-traction?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Mobile: is a read-only mobile view of shared figures required for v1.0, or desktop-only acceptable for launch?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14.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14.1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Graphical Abstract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 single-panel figure that visually summarizes the key findings of a research paper, increasingly required by journals.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NER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Named Entity Recognition — an NLP task that classifies text tokens into predefined categories (e.g., METHOD, OUTCOME).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DPI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Dots Per Inch — print resolution. Journals require ≥300 DPI; screen resolution is typically 72–96 DPI.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DXA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Document XML Attribute unit used in .docx; 1 inch = 1440 DXA.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ORCID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Open Researcher and Contributor ID — a persistent digital identifier for researchers, widely used in academic publishing.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Konva.js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 2D HTML5 canvas library that provides a high-level API for shapes, events, and animations — used for the figure editor.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spaCy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An open-source Python NLP library used for tokenization, POS tagging, dependency parsing, and NER.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Layout Template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E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 predefined spatial arrangement of nodes and edges (e.g., linear flow, cyclic process) applied to the extracted NLP graph.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14.2 Referenced Standards &amp; Specifications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Nature Publishing Group Figure Guidelines: https://www.nature.com/nature/for-authors/formatting-guide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ACS Publications Image &amp; File Guidelines: https://publish.acs.org/publish/author_guidelines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arXiv Submission Guidelines: https://info.arxiv.org/help/submit.html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WCAG 2.1 Accessibility Guidelines: https://www.w3.org/TR/WCAG21/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GDPR Compliance (Art. 5, 28, 32): https://gdpr-info.eu</w:t>
      </w:r>
    </w:p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Bdr>
          <w:top w:val="single" w:color="2E86AB" w:sz="6" w:space="8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SciEtch PRD v1.0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Confidential. Do not distribute without authorization.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A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SciEtch — Academic Graphical Abstract Builder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8" w:space="4"/>
      </w:pBdr>
      <w:spacing w:after="60" w:before="0"/>
    </w:pPr>
    <w:r>
      <w:rPr>
        <w:rFonts w:ascii="Arial" w:cs="Arial" w:eastAsia="Arial" w:hAnsi="Arial"/>
        <w:color w:val="888888"/>
        <w:sz w:val="18"/>
        <w:szCs w:val="18"/>
      </w:rPr>
      <w:t xml:space="preserve">SCIETCH  |  Product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   |  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20"/>
      </w:pPr>
    </w:lvl>
    <w:lvl w:ilvl="1" w15:tentative="1">
      <w:start w:val="1"/>
      <w:numFmt w:val="bullet"/>
      <w:lvlText w:val="◦"/>
      <w:lvlJc w:val="left"/>
      <w:pPr>
        <w:ind w:left="10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2026-04-28T01:19:13.817Z</dcterms:created>
  <dcterms:modified xsi:type="dcterms:W3CDTF">2026-04-28T01:19:13.818Z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