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47" w:rsidRPr="00D659A0" w:rsidRDefault="00D659A0" w:rsidP="00D659A0">
      <w:pPr>
        <w:pStyle w:val="Titre"/>
      </w:pPr>
      <w:r w:rsidRPr="00D659A0">
        <w:t>Documentation technique de OneWay</w:t>
      </w:r>
      <w:r w:rsidR="001764A3">
        <w:t xml:space="preserve"> </w:t>
      </w:r>
      <w:r w:rsidRPr="00D659A0">
        <w:t>Ticket</w:t>
      </w:r>
      <w:r w:rsidR="001764A3">
        <w:t>s</w:t>
      </w: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D659A0" w:rsidRDefault="00D659A0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6174E2" w:rsidRDefault="006174E2" w:rsidP="00D659A0">
      <w:pPr>
        <w:jc w:val="center"/>
        <w:rPr>
          <w:rFonts w:cs="Arial"/>
          <w:b/>
          <w:sz w:val="48"/>
          <w:szCs w:val="48"/>
        </w:rPr>
      </w:pP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Devaud Alan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I.IN-P4A</w:t>
      </w:r>
    </w:p>
    <w:p w:rsidR="00D659A0" w:rsidRPr="00CD008D" w:rsidRDefault="00D659A0" w:rsidP="00D659A0">
      <w:pPr>
        <w:jc w:val="center"/>
        <w:rPr>
          <w:rFonts w:cs="Arial"/>
          <w:b/>
          <w:color w:val="4F6228" w:themeColor="accent3" w:themeShade="80"/>
          <w:sz w:val="52"/>
          <w:szCs w:val="52"/>
        </w:rPr>
      </w:pPr>
      <w:r w:rsidRPr="00CD008D">
        <w:rPr>
          <w:rFonts w:cs="Arial"/>
          <w:b/>
          <w:color w:val="4F6228" w:themeColor="accent3" w:themeShade="80"/>
          <w:sz w:val="52"/>
          <w:szCs w:val="52"/>
        </w:rPr>
        <w:t>TPI 2014 – 2015</w:t>
      </w:r>
    </w:p>
    <w:p w:rsidR="00D659A0" w:rsidRDefault="00D659A0">
      <w:pPr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br w:type="page"/>
      </w:r>
    </w:p>
    <w:p w:rsidR="00D659A0" w:rsidRDefault="00D659A0" w:rsidP="00D659A0">
      <w:pPr>
        <w:pStyle w:val="Titre1"/>
      </w:pPr>
      <w:bookmarkStart w:id="0" w:name="_Toc417970964"/>
      <w:r>
        <w:lastRenderedPageBreak/>
        <w:t>Table des matières</w:t>
      </w:r>
      <w:bookmarkEnd w:id="0"/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970964" w:history="1">
        <w:r w:rsidRPr="009348E4">
          <w:rPr>
            <w:rStyle w:val="Lienhypertexte"/>
            <w:noProof/>
          </w:rPr>
          <w:t>Table des matières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2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5" w:history="1">
        <w:r w:rsidRPr="009348E4">
          <w:rPr>
            <w:rStyle w:val="Lienhypertexte"/>
            <w:noProof/>
          </w:rPr>
          <w:t>Introduction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_Toc417970965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6" w:history="1">
        <w:r w:rsidRPr="009348E4">
          <w:rPr>
            <w:rStyle w:val="Lienhypertexte"/>
            <w:noProof/>
          </w:rPr>
          <w:t>Etude d’opportunité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_Toc417970966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67" w:history="1">
        <w:r w:rsidRPr="009348E4">
          <w:rPr>
            <w:rStyle w:val="Lienhypertexte"/>
            <w:noProof/>
          </w:rPr>
          <w:t>Analyse fonctionnelle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_Toc417970967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8" w:history="1">
        <w:r w:rsidRPr="009348E4">
          <w:rPr>
            <w:rStyle w:val="Lienhypertexte"/>
            <w:noProof/>
          </w:rPr>
          <w:t>Généralité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_Toc417970968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69" w:history="1">
        <w:r w:rsidRPr="009348E4">
          <w:rPr>
            <w:rStyle w:val="Lienhypertexte"/>
            <w:noProof/>
          </w:rPr>
          <w:t>Description des fonctionnalités globales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_Toc417970969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0" w:history="1">
        <w:r w:rsidRPr="009348E4">
          <w:rPr>
            <w:rStyle w:val="Lienhypertexte"/>
            <w:noProof/>
          </w:rPr>
          <w:t>Description détaillée de l’interface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_Toc417970970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1" w:history="1">
        <w:r w:rsidRPr="009348E4">
          <w:rPr>
            <w:rStyle w:val="Lienhypertexte"/>
            <w:noProof/>
          </w:rPr>
          <w:t>Description des éléments de sécurité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_Toc417970971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1"/>
        <w:tabs>
          <w:tab w:val="right" w:leader="underscore" w:pos="9062"/>
        </w:tabs>
        <w:rPr>
          <w:noProof/>
        </w:rPr>
      </w:pPr>
      <w:hyperlink w:anchor="_Toc417970972" w:history="1">
        <w:r w:rsidRPr="009348E4">
          <w:rPr>
            <w:rStyle w:val="Lienhypertexte"/>
            <w:noProof/>
          </w:rPr>
          <w:t>Analyse organique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_Toc417970972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3" w:history="1">
        <w:r w:rsidRPr="009348E4">
          <w:rPr>
            <w:rStyle w:val="Lienhypertexte"/>
            <w:noProof/>
          </w:rPr>
          <w:t>Généralités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_Toc417970973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7567DF" w:rsidRPr="009348E4" w:rsidRDefault="007567DF">
      <w:pPr>
        <w:pStyle w:val="TM2"/>
        <w:tabs>
          <w:tab w:val="right" w:leader="underscore" w:pos="9062"/>
        </w:tabs>
        <w:rPr>
          <w:noProof/>
        </w:rPr>
      </w:pPr>
      <w:hyperlink w:anchor="_Toc417970974" w:history="1">
        <w:r w:rsidRPr="009348E4">
          <w:rPr>
            <w:rStyle w:val="Lienhypertexte"/>
            <w:noProof/>
          </w:rPr>
          <w:t>Description détaillée des algorithmes de résolution</w:t>
        </w:r>
        <w:r w:rsidRPr="009348E4">
          <w:rPr>
            <w:noProof/>
            <w:webHidden/>
          </w:rPr>
          <w:tab/>
        </w:r>
        <w:r w:rsidRPr="009348E4">
          <w:rPr>
            <w:noProof/>
            <w:webHidden/>
          </w:rPr>
          <w:fldChar w:fldCharType="begin"/>
        </w:r>
        <w:r w:rsidRPr="009348E4">
          <w:rPr>
            <w:noProof/>
            <w:webHidden/>
          </w:rPr>
          <w:instrText xml:space="preserve"> PAGEREF _Toc417970974 \h </w:instrText>
        </w:r>
        <w:r w:rsidRPr="009348E4">
          <w:rPr>
            <w:noProof/>
            <w:webHidden/>
          </w:rPr>
        </w:r>
        <w:r w:rsidRPr="009348E4">
          <w:rPr>
            <w:noProof/>
            <w:webHidden/>
          </w:rPr>
          <w:fldChar w:fldCharType="separate"/>
        </w:r>
        <w:r w:rsidRPr="009348E4">
          <w:rPr>
            <w:noProof/>
            <w:webHidden/>
          </w:rPr>
          <w:t>3</w:t>
        </w:r>
        <w:r w:rsidRPr="009348E4">
          <w:rPr>
            <w:noProof/>
            <w:webHidden/>
          </w:rPr>
          <w:fldChar w:fldCharType="end"/>
        </w:r>
      </w:hyperlink>
    </w:p>
    <w:p w:rsidR="00D659A0" w:rsidRDefault="007567DF" w:rsidP="007567DF">
      <w:r>
        <w:fldChar w:fldCharType="end"/>
      </w:r>
      <w:r w:rsidR="00D659A0">
        <w:br w:type="page"/>
      </w:r>
    </w:p>
    <w:p w:rsidR="00D659A0" w:rsidRDefault="007567DF" w:rsidP="007567DF">
      <w:pPr>
        <w:pStyle w:val="Titre1"/>
      </w:pPr>
      <w:bookmarkStart w:id="1" w:name="_Toc417970965"/>
      <w:r>
        <w:lastRenderedPageBreak/>
        <w:t>Introduction</w:t>
      </w:r>
      <w:bookmarkEnd w:id="1"/>
    </w:p>
    <w:p w:rsidR="00F609E2" w:rsidRDefault="00363811" w:rsidP="00363811">
      <w:r w:rsidRPr="006A5022">
        <w:rPr>
          <w:i/>
        </w:rPr>
        <w:t>OneWay</w:t>
      </w:r>
      <w:r w:rsidR="00A92215" w:rsidRPr="006A5022">
        <w:rPr>
          <w:i/>
        </w:rPr>
        <w:t xml:space="preserve"> </w:t>
      </w:r>
      <w:r w:rsidRPr="006A5022">
        <w:rPr>
          <w:i/>
        </w:rPr>
        <w:t>Ticket</w:t>
      </w:r>
      <w:r w:rsidR="00A92215" w:rsidRPr="006A5022">
        <w:rPr>
          <w:i/>
        </w:rPr>
        <w:t>s</w:t>
      </w:r>
      <w:r>
        <w:t xml:space="preserve"> est une application qui permet d’assurer la gestion, la production et la sauvegarde de billets d’entrées à une manifestation ponctuelle.</w:t>
      </w:r>
      <w:r w:rsidR="00D46359" w:rsidRPr="00D46359">
        <w:rPr>
          <w:i/>
        </w:rPr>
        <w:t xml:space="preserve"> </w:t>
      </w:r>
      <w:r w:rsidR="00D46359">
        <w:t>Elle</w:t>
      </w:r>
      <w:r w:rsidR="00D46359">
        <w:t xml:space="preserve"> donne la possibilité d’avoir sa propre billetterie.</w:t>
      </w:r>
    </w:p>
    <w:p w:rsidR="006A5022" w:rsidRPr="00864061" w:rsidRDefault="00363811" w:rsidP="00363811">
      <w:r>
        <w:t xml:space="preserve">Cependant, </w:t>
      </w:r>
      <w:r w:rsidRPr="006A5022">
        <w:rPr>
          <w:i/>
        </w:rPr>
        <w:t>OneWay</w:t>
      </w:r>
      <w:r w:rsidR="00354B86" w:rsidRPr="006A5022">
        <w:rPr>
          <w:i/>
        </w:rPr>
        <w:t xml:space="preserve"> </w:t>
      </w:r>
      <w:r w:rsidRPr="006A5022">
        <w:rPr>
          <w:i/>
        </w:rPr>
        <w:t>Ticket</w:t>
      </w:r>
      <w:r w:rsidR="00354B86" w:rsidRPr="006A5022">
        <w:rPr>
          <w:i/>
        </w:rPr>
        <w:t>s</w:t>
      </w:r>
      <w:r w:rsidR="00354B86">
        <w:t xml:space="preserve"> </w:t>
      </w:r>
      <w:r w:rsidR="006A5022">
        <w:t>est</w:t>
      </w:r>
      <w:r w:rsidR="00354B86">
        <w:t xml:space="preserve"> personnalisé</w:t>
      </w:r>
      <w:r>
        <w:t xml:space="preserve"> en vue d’assurer la gestion d’un ci</w:t>
      </w:r>
      <w:r w:rsidR="006E3B53">
        <w:t>néma.</w:t>
      </w:r>
      <w:r w:rsidR="00354B86">
        <w:t xml:space="preserve"> </w:t>
      </w:r>
      <w:r w:rsidR="006A5022">
        <w:t xml:space="preserve">Facile d’utilisation, </w:t>
      </w:r>
      <w:r w:rsidR="006A5022" w:rsidRPr="006A5022">
        <w:rPr>
          <w:i/>
        </w:rPr>
        <w:t>OneWay Tickets</w:t>
      </w:r>
      <w:r w:rsidR="006A5022">
        <w:rPr>
          <w:i/>
        </w:rPr>
        <w:t xml:space="preserve"> </w:t>
      </w:r>
      <w:r w:rsidR="00AD7EF9">
        <w:t>donne à ses utilisateurs la possibilité de gérer leur billetterie de cinéma.</w:t>
      </w:r>
      <w:r w:rsidR="00DF1E03">
        <w:t xml:space="preserve"> Ils peuvent gérer les salles, les films, connaitre le</w:t>
      </w:r>
      <w:r w:rsidR="00BC0D54">
        <w:t xml:space="preserve"> nombre de place vendue.</w:t>
      </w:r>
      <w:r w:rsidR="00864061">
        <w:t xml:space="preserve"> </w:t>
      </w:r>
    </w:p>
    <w:p w:rsidR="007567DF" w:rsidRDefault="007567DF" w:rsidP="007567DF">
      <w:pPr>
        <w:pStyle w:val="Titre1"/>
      </w:pPr>
      <w:bookmarkStart w:id="2" w:name="_Toc417970966"/>
      <w:r>
        <w:t>Etude d’opportunité</w:t>
      </w:r>
      <w:bookmarkEnd w:id="2"/>
    </w:p>
    <w:p w:rsidR="00B44649" w:rsidRPr="00B44649" w:rsidRDefault="00B44649" w:rsidP="00B44649">
      <w:r>
        <w:t>Il existe déjà des applications et des sites web sur le même sujet.</w:t>
      </w:r>
      <w:bookmarkStart w:id="3" w:name="_GoBack"/>
      <w:bookmarkEnd w:id="3"/>
    </w:p>
    <w:p w:rsidR="007567DF" w:rsidRDefault="007567DF" w:rsidP="007567DF">
      <w:pPr>
        <w:pStyle w:val="Titre1"/>
      </w:pPr>
      <w:bookmarkStart w:id="4" w:name="_Toc417970967"/>
      <w:r>
        <w:t>Analyse fonctionnelle</w:t>
      </w:r>
      <w:bookmarkEnd w:id="4"/>
    </w:p>
    <w:p w:rsidR="007567DF" w:rsidRDefault="007567DF" w:rsidP="007567DF">
      <w:pPr>
        <w:pStyle w:val="Titre2"/>
      </w:pPr>
      <w:bookmarkStart w:id="5" w:name="_Toc417970968"/>
      <w:r>
        <w:t>Généralité</w:t>
      </w:r>
      <w:bookmarkEnd w:id="5"/>
    </w:p>
    <w:p w:rsidR="007567DF" w:rsidRDefault="007567DF" w:rsidP="007567DF">
      <w:pPr>
        <w:pStyle w:val="Titre2"/>
      </w:pPr>
      <w:bookmarkStart w:id="6" w:name="_Toc417970969"/>
      <w:r>
        <w:t>Description des fonctionnalités globales</w:t>
      </w:r>
      <w:bookmarkEnd w:id="6"/>
    </w:p>
    <w:p w:rsidR="007567DF" w:rsidRDefault="007567DF" w:rsidP="007567DF">
      <w:pPr>
        <w:pStyle w:val="Titre2"/>
      </w:pPr>
      <w:bookmarkStart w:id="7" w:name="_Toc417970970"/>
      <w:r>
        <w:t>Description détaillée de l’interface</w:t>
      </w:r>
      <w:bookmarkEnd w:id="7"/>
    </w:p>
    <w:p w:rsidR="007567DF" w:rsidRPr="007567DF" w:rsidRDefault="007567DF" w:rsidP="007567DF">
      <w:pPr>
        <w:pStyle w:val="Titre2"/>
      </w:pPr>
      <w:bookmarkStart w:id="8" w:name="_Toc417970971"/>
      <w:r>
        <w:t>Description des éléments de sécurité</w:t>
      </w:r>
      <w:bookmarkEnd w:id="8"/>
    </w:p>
    <w:p w:rsidR="007567DF" w:rsidRDefault="007567DF" w:rsidP="007567DF">
      <w:pPr>
        <w:pStyle w:val="Titre1"/>
      </w:pPr>
      <w:bookmarkStart w:id="9" w:name="_Toc417970972"/>
      <w:r>
        <w:t>Analyse organique</w:t>
      </w:r>
      <w:bookmarkEnd w:id="9"/>
    </w:p>
    <w:p w:rsidR="007567DF" w:rsidRDefault="007567DF" w:rsidP="007567DF">
      <w:pPr>
        <w:pStyle w:val="Titre2"/>
      </w:pPr>
      <w:bookmarkStart w:id="10" w:name="_Toc417970973"/>
      <w:r>
        <w:t>Généralités</w:t>
      </w:r>
      <w:bookmarkEnd w:id="10"/>
    </w:p>
    <w:p w:rsidR="007567DF" w:rsidRDefault="007567DF" w:rsidP="007567DF">
      <w:pPr>
        <w:pStyle w:val="Titre2"/>
      </w:pPr>
      <w:bookmarkStart w:id="11" w:name="_Toc417970974"/>
      <w:r>
        <w:t>Description détaillée des algorithmes de résolution</w:t>
      </w:r>
      <w:bookmarkEnd w:id="11"/>
    </w:p>
    <w:p w:rsidR="007567DF" w:rsidRPr="00D659A0" w:rsidRDefault="007567DF" w:rsidP="00D659A0"/>
    <w:sectPr w:rsidR="007567DF" w:rsidRPr="00D659A0" w:rsidSect="00CD008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8A0" w:rsidRDefault="006348A0" w:rsidP="00D3300C">
      <w:pPr>
        <w:spacing w:after="0" w:line="240" w:lineRule="auto"/>
      </w:pPr>
      <w:r>
        <w:separator/>
      </w:r>
    </w:p>
  </w:endnote>
  <w:endnote w:type="continuationSeparator" w:id="0">
    <w:p w:rsidR="006348A0" w:rsidRDefault="006348A0" w:rsidP="00D3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Pieddepage"/>
    </w:pPr>
    <w:r>
      <w:t>Devaud Alan</w:t>
    </w:r>
    <w:r>
      <w:tab/>
      <w:t>I.IN-P4A</w:t>
    </w:r>
    <w:r>
      <w:tab/>
    </w:r>
    <w:r>
      <w:rPr>
        <w:lang w:val="fr-FR"/>
      </w:rPr>
      <w:t xml:space="preserve">Page | </w:t>
    </w:r>
    <w:r>
      <w:fldChar w:fldCharType="begin"/>
    </w:r>
    <w:r>
      <w:instrText>PAGE   \* MERGEFORMAT</w:instrText>
    </w:r>
    <w:r>
      <w:fldChar w:fldCharType="separate"/>
    </w:r>
    <w:r w:rsidR="00B44649" w:rsidRPr="00B44649">
      <w:rPr>
        <w:noProof/>
        <w:lang w:val="fr-F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8A0" w:rsidRDefault="006348A0" w:rsidP="00D3300C">
      <w:pPr>
        <w:spacing w:after="0" w:line="240" w:lineRule="auto"/>
      </w:pPr>
      <w:r>
        <w:separator/>
      </w:r>
    </w:p>
  </w:footnote>
  <w:footnote w:type="continuationSeparator" w:id="0">
    <w:p w:rsidR="006348A0" w:rsidRDefault="006348A0" w:rsidP="00D33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0C" w:rsidRDefault="00D3300C">
    <w:pPr>
      <w:pStyle w:val="En-tte"/>
    </w:pPr>
    <w:r>
      <w:t>OneWay</w:t>
    </w:r>
    <w:r w:rsidR="001764A3">
      <w:t xml:space="preserve"> </w:t>
    </w:r>
    <w:r>
      <w:t>Ticket</w:t>
    </w:r>
    <w:r w:rsidR="001764A3">
      <w:t>s</w:t>
    </w:r>
    <w:r>
      <w:tab/>
      <w:t>TPI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28.04.2015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3DA"/>
    <w:rsid w:val="001764A3"/>
    <w:rsid w:val="0023081E"/>
    <w:rsid w:val="003363DA"/>
    <w:rsid w:val="00354B86"/>
    <w:rsid w:val="00363811"/>
    <w:rsid w:val="006174E2"/>
    <w:rsid w:val="006348A0"/>
    <w:rsid w:val="006A5022"/>
    <w:rsid w:val="006E3B53"/>
    <w:rsid w:val="007567DF"/>
    <w:rsid w:val="00864061"/>
    <w:rsid w:val="009348E4"/>
    <w:rsid w:val="00A92215"/>
    <w:rsid w:val="00AD7EF9"/>
    <w:rsid w:val="00B44649"/>
    <w:rsid w:val="00BC0D54"/>
    <w:rsid w:val="00CD008D"/>
    <w:rsid w:val="00D3300C"/>
    <w:rsid w:val="00D46359"/>
    <w:rsid w:val="00D533DA"/>
    <w:rsid w:val="00D659A0"/>
    <w:rsid w:val="00D947EF"/>
    <w:rsid w:val="00DF1E03"/>
    <w:rsid w:val="00F30D47"/>
    <w:rsid w:val="00F6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9A0"/>
    <w:pPr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008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00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76923C" w:themeColor="accent3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008D"/>
    <w:pPr>
      <w:spacing w:after="300" w:line="240" w:lineRule="auto"/>
      <w:contextualSpacing/>
      <w:jc w:val="center"/>
    </w:pPr>
    <w:rPr>
      <w:rFonts w:eastAsiaTheme="majorEastAsia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008D"/>
    <w:rPr>
      <w:rFonts w:ascii="Arial" w:eastAsiaTheme="majorEastAsia" w:hAnsi="Arial" w:cstheme="majorBidi"/>
      <w:b/>
      <w:color w:val="4F6228" w:themeColor="accent3" w:themeShade="80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D008D"/>
    <w:rPr>
      <w:rFonts w:ascii="Arial" w:eastAsiaTheme="majorEastAsia" w:hAnsi="Arial" w:cstheme="majorBidi"/>
      <w:b/>
      <w:bCs/>
      <w:color w:val="4F6228" w:themeColor="accent3" w:themeShade="8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D008D"/>
    <w:rPr>
      <w:rFonts w:ascii="Arial" w:eastAsiaTheme="majorEastAsia" w:hAnsi="Arial" w:cstheme="majorBidi"/>
      <w:b/>
      <w:bCs/>
      <w:color w:val="76923C" w:themeColor="accent3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567D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67D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67DF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00C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D330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00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DDE77-9B89-4F70-A219-A290A83D4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24</cp:revision>
  <dcterms:created xsi:type="dcterms:W3CDTF">2015-04-24T11:23:00Z</dcterms:created>
  <dcterms:modified xsi:type="dcterms:W3CDTF">2015-04-28T06:38:00Z</dcterms:modified>
</cp:coreProperties>
</file>