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r>
        <w:t>Causal Trust Gating for Battery Dispatch in Distribution Networks under Degraded Measurements</w:t>
      </w:r>
    </w:p>
    <w:p>
      <w:pPr>
        <w:pStyle w:val="ListBullet"/>
      </w:pPr>
      <w:r>
        <w:t>Causal evidence gating is assessed across 1,959,552 battery-dispatch records.</w:t>
      </w:r>
    </w:p>
    <w:p>
      <w:pPr>
        <w:pStyle w:val="ListBullet"/>
      </w:pPr>
      <w:r>
        <w:t>Fourteen controls separate evidence scoring from power restriction.</w:t>
      </w:r>
    </w:p>
    <w:p>
      <w:pPr>
        <w:pStyle w:val="ListBullet"/>
      </w:pPr>
      <w:r>
        <w:t>Composite gating reduces violations relative to ungated dispatch.</w:t>
      </w:r>
    </w:p>
    <w:p>
      <w:pPr>
        <w:pStyle w:val="ListBullet"/>
      </w:pPr>
      <w:r>
        <w:t>Always-half dispatch has lower observed violations and cost than composite gating.</w:t>
      </w:r>
    </w:p>
    <w:p>
      <w:pPr>
        <w:pStyle w:val="ListBullet"/>
      </w:pPr>
      <w:r>
        <w:t>Asset-profile failures reveal battery energy-headroom limits.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2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Chandrasen Pandey</dc:creator>
  <cp:keywords/>
  <dc:description>generated by python-docx</dc:description>
  <cp:lastModifiedBy>Chandrasen Pandey</cp:lastModifiedBy>
  <cp:revision>1</cp:revision>
  <dcterms:created xsi:type="dcterms:W3CDTF">2013-12-23T23:15:00Z</dcterms:created>
  <dcterms:modified xsi:type="dcterms:W3CDTF">2013-12-23T23:15:00Z</dcterms:modified>
  <cp:category/>
</cp:coreProperties>
</file>