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aps/>
          <w:color w:val="6B6B6B"/>
          <w:spacing w:val="20"/>
          <w:sz w:val="20"/>
          <w:szCs w:val="20"/>
        </w:rPr>
        <w:t xml:space="preserve">TechTrack</w:t>
      </w:r>
    </w:p>
    <w:p>
      <w:pPr>
        <w:spacing w:after="100"/>
      </w:pPr>
      <w:r>
        <w:rPr>
          <w:rFonts w:ascii="Calibri" w:cs="Calibri" w:eastAsia="Calibri" w:hAnsi="Calibri"/>
          <w:b/>
          <w:bCs/>
          <w:color w:val="1F4E5F"/>
          <w:sz w:val="44"/>
          <w:szCs w:val="44"/>
        </w:rPr>
        <w:t xml:space="preserve">EV Range Prediction from Static Manufacturer Specifications</w:t>
      </w:r>
    </w:p>
    <w:p>
      <w:pPr>
        <w:spacing w:after="300"/>
      </w:pPr>
      <w:r>
        <w:rPr>
          <w:rFonts w:ascii="Calibri" w:cs="Calibri" w:eastAsia="Calibri" w:hAnsi="Calibri"/>
          <w:i/>
          <w:iCs/>
          <w:color w:val="555555"/>
          <w:sz w:val="24"/>
          <w:szCs w:val="24"/>
        </w:rPr>
        <w:t xml:space="preserve">A Machine Learning Approach to Estimating Electric Vehicle Driving Range</w:t>
      </w:r>
    </w:p>
    <w:p>
      <w:pPr>
        <w:spacing w:after="40"/>
      </w:pPr>
      <w:r>
        <w:rPr>
          <w:rFonts w:ascii="Calibri" w:cs="Calibri" w:eastAsia="Calibri" w:hAnsi="Calibri"/>
          <w:sz w:val="20"/>
          <w:szCs w:val="20"/>
        </w:rPr>
        <w:t xml:space="preserve">Prepared by: Akash Lodhi (Akshu)</w:t>
      </w:r>
    </w:p>
    <w:p>
      <w:pPr>
        <w:spacing w:after="40"/>
      </w:pPr>
      <w:r>
        <w:rPr>
          <w:rFonts w:ascii="Calibri" w:cs="Calibri" w:eastAsia="Calibri" w:hAnsi="Calibri"/>
          <w:color w:val="555555"/>
          <w:sz w:val="20"/>
          <w:szCs w:val="20"/>
        </w:rPr>
        <w:t xml:space="preserve">Sagar Institute of Science and Technology (RGPV), Bhopal</w:t>
      </w:r>
    </w:p>
    <w:p>
      <w:pPr>
        <w:spacing w:after="300"/>
      </w:pPr>
      <w:r>
        <w:rPr>
          <w:rFonts w:ascii="Calibri" w:cs="Calibri" w:eastAsia="Calibri" w:hAnsi="Calibri"/>
          <w:color w:val="555555"/>
          <w:sz w:val="20"/>
          <w:szCs w:val="20"/>
        </w:rPr>
        <w:t xml:space="preserve">Hackathon Technical Report — September 2026</w:t>
      </w:r>
    </w:p>
    <w:p>
      <w:pPr>
        <w:pBdr>
          <w:bottom w:val="single" w:color="BFBFBF" w:sz="6" w:space="4"/>
        </w:pBdr>
        <w:spacing w:after="240"/>
      </w:pPr>
    </w:p>
    <w:p>
      <w:pPr>
        <w:pStyle w:val="Heading1"/>
        <w:spacing w:after="160" w:before="360"/>
      </w:pPr>
      <w:r>
        <w:t xml:space="preserve">1. Abstract</w:t>
      </w:r>
    </w:p>
    <w:p>
      <w:pPr>
        <w:spacing w:after="200" w:line="300"/>
      </w:pPr>
      <w:r>
        <w:rPr>
          <w:rFonts w:ascii="Calibri" w:cs="Calibri" w:eastAsia="Calibri" w:hAnsi="Calibri"/>
          <w:sz w:val="22"/>
          <w:szCs w:val="22"/>
        </w:rPr>
        <w:t xml:space="preserve">TechTrack is a regression system that estimates an electric vehicle's driving range using only the specifications a manufacturer publishes at launch — battery capacity, body dimensions, torque, and charging parameters — with no dependency on live telemetry, weather, or driving behaviour. Working from a dataset of 478 EV models spanning 59 brands, we engineered five density- and geometry-based features on top of the 22 raw columns, benchmarked five regression algorithms under 5-fold cross-validation, and tuned the strongest candidate, XGBoost, with a randomised search over 30 parameter combinations. The final pipeline reaches an R² of 0.9823 on a held-out test set, with a mean absolute error of 10.54 km and an RMSE of 13.67 km — accurate enough to be genuinely useful for comparing vehicles before real-world data is available, such as at the point of purchase or listing.</w:t>
      </w:r>
    </w:p>
    <w:p>
      <w:pPr>
        <w:pStyle w:val="Heading1"/>
        <w:spacing w:after="160" w:before="360"/>
      </w:pPr>
      <w:r>
        <w:t xml:space="preserve">2. Problem Statement</w:t>
      </w:r>
    </w:p>
    <w:p>
      <w:pPr>
        <w:spacing w:after="200" w:line="300"/>
      </w:pPr>
      <w:r>
        <w:rPr>
          <w:rFonts w:ascii="Calibri" w:cs="Calibri" w:eastAsia="Calibri" w:hAnsi="Calibri"/>
          <w:sz w:val="22"/>
          <w:szCs w:val="22"/>
        </w:rPr>
        <w:t xml:space="preserve">Buyers and marketplaces routinely need a range estimate for a vehicle before it has ever been driven — while comparing listings, configuring a new order, or building a recommendation tool. Manufacturer-quoted range figures (WLTP, ARAI, EPA) are often optimistic, inconsistent across regions, or simply missing for newer or regional models. TechTrack addresses this by learning the relationship between a vehicle's static, always-available specifications and its realistic driving range, producing a data-driven estimate that generalises across brands rather than relying on a single manufacturer's test cycle.</w:t>
      </w:r>
    </w:p>
    <w:p>
      <w:pPr>
        <w:pStyle w:val="Heading1"/>
        <w:spacing w:after="160" w:before="360"/>
      </w:pPr>
      <w:r>
        <w:t xml:space="preserve">3. Dataset</w:t>
      </w:r>
    </w:p>
    <w:p>
      <w:pPr>
        <w:spacing w:after="200" w:line="300"/>
      </w:pPr>
      <w:r>
        <w:rPr>
          <w:rFonts w:ascii="Calibri" w:cs="Calibri" w:eastAsia="Calibri" w:hAnsi="Calibri"/>
          <w:sz w:val="22"/>
          <w:szCs w:val="22"/>
        </w:rPr>
        <w:t xml:space="preserve">The dataset covers 478 individual EV models from 59 brands, with one row per model and 22 raw feature columns describing battery capacity, motor torque, body dimensions, cargo volume, and charging specifications. The target variable, range_km, had no missing values across the dataset, which meant every row could be used for training and evaluation without target imputation. A handful of feature columns did contain missing values; rather than dropping rows, these were left in place and handled downstream by the imputers built into the modelling pipeline, so the same logic applies automatically to any new vehicle submitted for prediction.</w:t>
      </w:r>
    </w:p>
    <w:p>
      <w:pPr>
        <w:pStyle w:val="Heading1"/>
        <w:spacing w:after="160" w:before="360"/>
      </w:pPr>
      <w:r>
        <w:t xml:space="preserve">4. Methodology</w:t>
      </w:r>
    </w:p>
    <w:p>
      <w:pPr>
        <w:pStyle w:val="Heading2"/>
        <w:spacing w:after="120" w:before="260"/>
      </w:pPr>
      <w:r>
        <w:t xml:space="preserve">4.1 Data Cleaning</w:t>
      </w:r>
    </w:p>
    <w:p>
      <w:pPr>
        <w:spacing w:after="200" w:line="300"/>
      </w:pPr>
      <w:r>
        <w:rPr>
          <w:rFonts w:ascii="Calibri" w:cs="Calibri" w:eastAsia="Calibri" w:hAnsi="Calibri"/>
          <w:sz w:val="22"/>
          <w:szCs w:val="22"/>
        </w:rPr>
        <w:t xml:space="preserve">The dataset was first checked for duplicate rows, of which none were found. The cargo_volume_l column was stored as a mixed-type field — a mix of numeric and non-numeric entries — and was coerced to a consistent numeric type so it could be used directly in modelling. Missing values elsewhere in the feature set were deliberately retained rather than filled at this stage, since premature imputation can distort distributions before the pipeline has a chance to fit imputers only on training data.</w:t>
      </w:r>
    </w:p>
    <w:p>
      <w:pPr>
        <w:pStyle w:val="Heading2"/>
        <w:spacing w:after="120" w:before="260"/>
      </w:pPr>
      <w:r>
        <w:t xml:space="preserve">4.2 Feature Engineering</w:t>
      </w:r>
    </w:p>
    <w:p>
      <w:pPr>
        <w:spacing w:after="200" w:line="300"/>
      </w:pPr>
      <w:r>
        <w:rPr>
          <w:rFonts w:ascii="Calibri" w:cs="Calibri" w:eastAsia="Calibri" w:hAnsi="Calibri"/>
          <w:sz w:val="22"/>
          <w:szCs w:val="22"/>
        </w:rPr>
        <w:t xml:space="preserve">Beyond the 22 raw columns, five additional features were derived from vehicle dimensions and battery capacity to give the models a more direct signal for range-relevant relationships that are not obvious from the raw specs alone: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6800"/>
      </w:tblGrid>
      <w:tr>
        <w:tc>
          <w:tcPr>
            <w:tcW w:type="dxa" w:w="3400"/>
            <w:shd w:fill="1F4E5F" w:val="clear"/>
            <w:tcMar>
              <w:top w:type="dxa" w:w="80"/>
              <w:left w:type="dxa" w:w="120"/>
              <w:bottom w:type="dxa" w:w="80"/>
              <w:right w:type="dxa" w:w="120"/>
            </w:tcMar>
          </w:tcPr>
          <w:p>
            <w:r>
              <w:rPr>
                <w:rFonts w:ascii="Calibri" w:cs="Calibri" w:eastAsia="Calibri" w:hAnsi="Calibri"/>
                <w:b/>
                <w:bCs/>
                <w:sz w:val="20"/>
                <w:szCs w:val="20"/>
              </w:rPr>
              <w:t xml:space="preserve">Feature</w:t>
            </w:r>
          </w:p>
        </w:tc>
        <w:tc>
          <w:tcPr>
            <w:tcW w:type="dxa" w:w="6800"/>
            <w:shd w:fill="1F4E5F" w:val="clear"/>
            <w:tcMar>
              <w:top w:type="dxa" w:w="80"/>
              <w:left w:type="dxa" w:w="120"/>
              <w:bottom w:type="dxa" w:w="80"/>
              <w:right w:type="dxa" w:w="120"/>
            </w:tcMar>
          </w:tcPr>
          <w:p>
            <w:r>
              <w:rPr>
                <w:rFonts w:ascii="Calibri" w:cs="Calibri" w:eastAsia="Calibri" w:hAnsi="Calibri"/>
                <w:b/>
                <w:bCs/>
                <w:sz w:val="20"/>
                <w:szCs w:val="20"/>
              </w:rPr>
              <w:t xml:space="preserve">Description</w:t>
            </w:r>
          </w:p>
        </w:tc>
      </w:tr>
      <w:tr>
        <w:tc>
          <w:tcPr>
            <w:tcW w:type="dxa" w:w="3400"/>
            <w:tcMar>
              <w:top w:type="dxa" w:w="80"/>
              <w:left w:type="dxa" w:w="120"/>
              <w:bottom w:type="dxa" w:w="80"/>
              <w:right w:type="dxa" w:w="120"/>
            </w:tcMar>
          </w:tcPr>
          <w:p>
            <w:r>
              <w:rPr>
                <w:rFonts w:ascii="Calibri" w:cs="Calibri" w:eastAsia="Calibri" w:hAnsi="Calibri"/>
                <w:b w:val="false"/>
                <w:bCs w:val="false"/>
                <w:sz w:val="20"/>
                <w:szCs w:val="20"/>
              </w:rPr>
              <w:t xml:space="preserve">footprint_m2</w:t>
            </w:r>
          </w:p>
        </w:tc>
        <w:tc>
          <w:tcPr>
            <w:tcW w:type="dxa" w:w="6800"/>
            <w:tcMar>
              <w:top w:type="dxa" w:w="80"/>
              <w:left w:type="dxa" w:w="120"/>
              <w:bottom w:type="dxa" w:w="80"/>
              <w:right w:type="dxa" w:w="120"/>
            </w:tcMar>
          </w:tcPr>
          <w:p>
            <w:r>
              <w:rPr>
                <w:rFonts w:ascii="Calibri" w:cs="Calibri" w:eastAsia="Calibri" w:hAnsi="Calibri"/>
                <w:b w:val="false"/>
                <w:bCs w:val="false"/>
                <w:sz w:val="20"/>
                <w:szCs w:val="20"/>
              </w:rPr>
              <w:t xml:space="preserve">Ground area occupied by the vehicle (length x width), a proxy for overall vehicle class.</w:t>
            </w:r>
          </w:p>
        </w:tc>
      </w:tr>
      <w:tr>
        <w:tc>
          <w:tcPr>
            <w:tcW w:type="dxa" w:w="3400"/>
            <w:shd w:fill="EAF1F3" w:val="clear"/>
            <w:tcMar>
              <w:top w:type="dxa" w:w="80"/>
              <w:left w:type="dxa" w:w="120"/>
              <w:bottom w:type="dxa" w:w="80"/>
              <w:right w:type="dxa" w:w="120"/>
            </w:tcMar>
          </w:tcPr>
          <w:p>
            <w:r>
              <w:rPr>
                <w:rFonts w:ascii="Calibri" w:cs="Calibri" w:eastAsia="Calibri" w:hAnsi="Calibri"/>
                <w:b w:val="false"/>
                <w:bCs w:val="false"/>
                <w:sz w:val="20"/>
                <w:szCs w:val="20"/>
              </w:rPr>
              <w:t xml:space="preserve">volume_proxy_m3</w:t>
            </w:r>
          </w:p>
        </w:tc>
        <w:tc>
          <w:tcPr>
            <w:tcW w:type="dxa" w:w="6800"/>
            <w:shd w:fill="EAF1F3" w:val="clear"/>
            <w:tcMar>
              <w:top w:type="dxa" w:w="80"/>
              <w:left w:type="dxa" w:w="120"/>
              <w:bottom w:type="dxa" w:w="80"/>
              <w:right w:type="dxa" w:w="120"/>
            </w:tcMar>
          </w:tcPr>
          <w:p>
            <w:r>
              <w:rPr>
                <w:rFonts w:ascii="Calibri" w:cs="Calibri" w:eastAsia="Calibri" w:hAnsi="Calibri"/>
                <w:b w:val="false"/>
                <w:bCs w:val="false"/>
                <w:sz w:val="20"/>
                <w:szCs w:val="20"/>
              </w:rPr>
              <w:t xml:space="preserve">Approximate cabin/body volume, derived from the three body dimensions.</w:t>
            </w:r>
          </w:p>
        </w:tc>
      </w:tr>
      <w:tr>
        <w:tc>
          <w:tcPr>
            <w:tcW w:type="dxa" w:w="3400"/>
            <w:tcMar>
              <w:top w:type="dxa" w:w="80"/>
              <w:left w:type="dxa" w:w="120"/>
              <w:bottom w:type="dxa" w:w="80"/>
              <w:right w:type="dxa" w:w="120"/>
            </w:tcMar>
          </w:tcPr>
          <w:p>
            <w:r>
              <w:rPr>
                <w:rFonts w:ascii="Calibri" w:cs="Calibri" w:eastAsia="Calibri" w:hAnsi="Calibri"/>
                <w:b w:val="false"/>
                <w:bCs w:val="false"/>
                <w:sz w:val="20"/>
                <w:szCs w:val="20"/>
              </w:rPr>
              <w:t xml:space="preserve">battery_per_footprint</w:t>
            </w:r>
          </w:p>
        </w:tc>
        <w:tc>
          <w:tcPr>
            <w:tcW w:type="dxa" w:w="6800"/>
            <w:tcMar>
              <w:top w:type="dxa" w:w="80"/>
              <w:left w:type="dxa" w:w="120"/>
              <w:bottom w:type="dxa" w:w="80"/>
              <w:right w:type="dxa" w:w="120"/>
            </w:tcMar>
          </w:tcPr>
          <w:p>
            <w:r>
              <w:rPr>
                <w:rFonts w:ascii="Calibri" w:cs="Calibri" w:eastAsia="Calibri" w:hAnsi="Calibri"/>
                <w:b w:val="false"/>
                <w:bCs w:val="false"/>
                <w:sz w:val="20"/>
                <w:szCs w:val="20"/>
              </w:rPr>
              <w:t xml:space="preserve">Battery capacity normalised by footprint, capturing how energy-dense a vehicle is relative to its size.</w:t>
            </w:r>
          </w:p>
        </w:tc>
      </w:tr>
      <w:tr>
        <w:tc>
          <w:tcPr>
            <w:tcW w:type="dxa" w:w="3400"/>
            <w:shd w:fill="EAF1F3" w:val="clear"/>
            <w:tcMar>
              <w:top w:type="dxa" w:w="80"/>
              <w:left w:type="dxa" w:w="120"/>
              <w:bottom w:type="dxa" w:w="80"/>
              <w:right w:type="dxa" w:w="120"/>
            </w:tcMar>
          </w:tcPr>
          <w:p>
            <w:r>
              <w:rPr>
                <w:rFonts w:ascii="Calibri" w:cs="Calibri" w:eastAsia="Calibri" w:hAnsi="Calibri"/>
                <w:b w:val="false"/>
                <w:bCs w:val="false"/>
                <w:sz w:val="20"/>
                <w:szCs w:val="20"/>
              </w:rPr>
              <w:t xml:space="preserve">torque_per_battery</w:t>
            </w:r>
          </w:p>
        </w:tc>
        <w:tc>
          <w:tcPr>
            <w:tcW w:type="dxa" w:w="6800"/>
            <w:shd w:fill="EAF1F3" w:val="clear"/>
            <w:tcMar>
              <w:top w:type="dxa" w:w="80"/>
              <w:left w:type="dxa" w:w="120"/>
              <w:bottom w:type="dxa" w:w="80"/>
              <w:right w:type="dxa" w:w="120"/>
            </w:tcMar>
          </w:tcPr>
          <w:p>
            <w:r>
              <w:rPr>
                <w:rFonts w:ascii="Calibri" w:cs="Calibri" w:eastAsia="Calibri" w:hAnsi="Calibri"/>
                <w:b w:val="false"/>
                <w:bCs w:val="false"/>
                <w:sz w:val="20"/>
                <w:szCs w:val="20"/>
              </w:rPr>
              <w:t xml:space="preserve">Motor torque per kWh of battery, a proxy for how much of the battery budget is spent on performance versus range.</w:t>
            </w:r>
          </w:p>
        </w:tc>
      </w:tr>
      <w:tr>
        <w:tc>
          <w:tcPr>
            <w:tcW w:type="dxa" w:w="3400"/>
            <w:tcMar>
              <w:top w:type="dxa" w:w="80"/>
              <w:left w:type="dxa" w:w="120"/>
              <w:bottom w:type="dxa" w:w="80"/>
              <w:right w:type="dxa" w:w="120"/>
            </w:tcMar>
          </w:tcPr>
          <w:p>
            <w:r>
              <w:rPr>
                <w:rFonts w:ascii="Calibri" w:cs="Calibri" w:eastAsia="Calibri" w:hAnsi="Calibri"/>
                <w:b w:val="false"/>
                <w:bCs w:val="false"/>
                <w:sz w:val="20"/>
                <w:szCs w:val="20"/>
              </w:rPr>
              <w:t xml:space="preserve">battery_per_volume</w:t>
            </w:r>
          </w:p>
        </w:tc>
        <w:tc>
          <w:tcPr>
            <w:tcW w:type="dxa" w:w="6800"/>
            <w:tcMar>
              <w:top w:type="dxa" w:w="80"/>
              <w:left w:type="dxa" w:w="120"/>
              <w:bottom w:type="dxa" w:w="80"/>
              <w:right w:type="dxa" w:w="120"/>
            </w:tcMar>
          </w:tcPr>
          <w:p>
            <w:r>
              <w:rPr>
                <w:rFonts w:ascii="Calibri" w:cs="Calibri" w:eastAsia="Calibri" w:hAnsi="Calibri"/>
                <w:b w:val="false"/>
                <w:bCs w:val="false"/>
                <w:sz w:val="20"/>
                <w:szCs w:val="20"/>
              </w:rPr>
              <w:t xml:space="preserve">Battery capacity normalised by cabin volume, a second density measure independent of footprint.</w:t>
            </w:r>
          </w:p>
        </w:tc>
      </w:tr>
    </w:tbl>
    <w:p>
      <w:pPr>
        <w:spacing w:after="200" w:before="200"/>
      </w:pPr>
    </w:p>
    <w:p>
      <w:pPr>
        <w:spacing w:after="200" w:line="300"/>
      </w:pPr>
      <w:r>
        <w:rPr>
          <w:rFonts w:ascii="Calibri" w:cs="Calibri" w:eastAsia="Calibri" w:hAnsi="Calibri"/>
          <w:sz w:val="22"/>
          <w:szCs w:val="22"/>
        </w:rPr>
        <w:t xml:space="preserve">One candidate feature, efficiency_wh_per_km, was deliberately excluded from the final feature set. Because efficiency is mathematically derived from the same battery and range figures the model is trying to predict, including it would have introduced target leakage — an unrealistically strong signal that would not be available for a genuinely new, unlaunched vehicle.</w:t>
      </w:r>
    </w:p>
    <w:p>
      <w:pPr>
        <w:pStyle w:val="Heading2"/>
        <w:spacing w:after="120" w:before="260"/>
      </w:pPr>
      <w:r>
        <w:t xml:space="preserve">4.3 Model Selection</w:t>
      </w:r>
    </w:p>
    <w:p>
      <w:pPr>
        <w:spacing w:after="200" w:line="300"/>
      </w:pPr>
      <w:r>
        <w:rPr>
          <w:rFonts w:ascii="Calibri" w:cs="Calibri" w:eastAsia="Calibri" w:hAnsi="Calibri"/>
          <w:sz w:val="22"/>
          <w:szCs w:val="22"/>
        </w:rPr>
        <w:t xml:space="preserve">Five regression algorithms were benchmarked under identical 5-fold cross-validation to select a base model before any tuning: XGBoost, Extra Trees, Gradient Boosting, Random Forest, and Ridge Regression as a linear baseline. Cross-validated RMSE was used as the comparison metric so that model choice reflected out-of-fold generalisation rather than in-sample fit.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800"/>
        <w:gridCol w:w="2700"/>
        <w:gridCol w:w="2700"/>
      </w:tblGrid>
      <w:tr>
        <w:tc>
          <w:tcPr>
            <w:tcW w:type="dxa" w:w="4800"/>
            <w:shd w:fill="1F4E5F" w:val="clear"/>
            <w:tcMar>
              <w:top w:type="dxa" w:w="80"/>
              <w:left w:type="dxa" w:w="120"/>
              <w:bottom w:type="dxa" w:w="80"/>
              <w:right w:type="dxa" w:w="120"/>
            </w:tcMar>
          </w:tcPr>
          <w:p>
            <w:r>
              <w:rPr>
                <w:rFonts w:ascii="Calibri" w:cs="Calibri" w:eastAsia="Calibri" w:hAnsi="Calibri"/>
                <w:b/>
                <w:bCs/>
                <w:sz w:val="20"/>
                <w:szCs w:val="20"/>
              </w:rPr>
              <w:t xml:space="preserve">Model</w:t>
            </w:r>
          </w:p>
        </w:tc>
        <w:tc>
          <w:tcPr>
            <w:tcW w:type="dxa" w:w="2700"/>
            <w:shd w:fill="1F4E5F" w:val="clear"/>
            <w:tcMar>
              <w:top w:type="dxa" w:w="80"/>
              <w:left w:type="dxa" w:w="120"/>
              <w:bottom w:type="dxa" w:w="80"/>
              <w:right w:type="dxa" w:w="120"/>
            </w:tcMar>
          </w:tcPr>
          <w:p>
            <w:r>
              <w:rPr>
                <w:rFonts w:ascii="Calibri" w:cs="Calibri" w:eastAsia="Calibri" w:hAnsi="Calibri"/>
                <w:b/>
                <w:bCs/>
                <w:sz w:val="20"/>
                <w:szCs w:val="20"/>
              </w:rPr>
              <w:t xml:space="preserve">5-Fold CV RMSE (km)</w:t>
            </w:r>
          </w:p>
        </w:tc>
        <w:tc>
          <w:tcPr>
            <w:tcW w:type="dxa" w:w="2700"/>
            <w:shd w:fill="1F4E5F" w:val="clear"/>
            <w:tcMar>
              <w:top w:type="dxa" w:w="80"/>
              <w:left w:type="dxa" w:w="120"/>
              <w:bottom w:type="dxa" w:w="80"/>
              <w:right w:type="dxa" w:w="120"/>
            </w:tcMar>
          </w:tcPr>
          <w:p>
            <w:r>
              <w:rPr>
                <w:rFonts w:ascii="Calibri" w:cs="Calibri" w:eastAsia="Calibri" w:hAnsi="Calibri"/>
                <w:b/>
                <w:bCs/>
                <w:sz w:val="20"/>
                <w:szCs w:val="20"/>
              </w:rPr>
              <w:t xml:space="preserve">Rank</w:t>
            </w:r>
          </w:p>
        </w:tc>
      </w:tr>
      <w:tr>
        <w:tc>
          <w:tcPr>
            <w:tcW w:type="dxa" w:w="4800"/>
            <w:tcMar>
              <w:top w:type="dxa" w:w="80"/>
              <w:left w:type="dxa" w:w="120"/>
              <w:bottom w:type="dxa" w:w="80"/>
              <w:right w:type="dxa" w:w="120"/>
            </w:tcMar>
          </w:tcPr>
          <w:p>
            <w:r>
              <w:rPr>
                <w:rFonts w:ascii="Calibri" w:cs="Calibri" w:eastAsia="Calibri" w:hAnsi="Calibri"/>
                <w:b/>
                <w:bCs/>
                <w:sz w:val="20"/>
                <w:szCs w:val="20"/>
              </w:rPr>
              <w:t xml:space="preserve">XGBoost</w:t>
            </w:r>
          </w:p>
        </w:tc>
        <w:tc>
          <w:tcPr>
            <w:tcW w:type="dxa" w:w="2700"/>
            <w:tcMar>
              <w:top w:type="dxa" w:w="80"/>
              <w:left w:type="dxa" w:w="120"/>
              <w:bottom w:type="dxa" w:w="80"/>
              <w:right w:type="dxa" w:w="120"/>
            </w:tcMar>
          </w:tcPr>
          <w:p>
            <w:r>
              <w:rPr>
                <w:rFonts w:ascii="Calibri" w:cs="Calibri" w:eastAsia="Calibri" w:hAnsi="Calibri"/>
                <w:b/>
                <w:bCs/>
                <w:sz w:val="20"/>
                <w:szCs w:val="20"/>
              </w:rPr>
              <w:t xml:space="preserve">18.98</w:t>
            </w:r>
          </w:p>
        </w:tc>
        <w:tc>
          <w:tcPr>
            <w:tcW w:type="dxa" w:w="2700"/>
            <w:tcMar>
              <w:top w:type="dxa" w:w="80"/>
              <w:left w:type="dxa" w:w="120"/>
              <w:bottom w:type="dxa" w:w="80"/>
              <w:right w:type="dxa" w:w="120"/>
            </w:tcMar>
          </w:tcPr>
          <w:p>
            <w:r>
              <w:rPr>
                <w:rFonts w:ascii="Calibri" w:cs="Calibri" w:eastAsia="Calibri" w:hAnsi="Calibri"/>
                <w:b/>
                <w:bCs/>
                <w:sz w:val="20"/>
                <w:szCs w:val="20"/>
              </w:rPr>
              <w:t xml:space="preserve">1 — Best</w:t>
            </w:r>
          </w:p>
        </w:tc>
      </w:tr>
      <w:tr>
        <w:tc>
          <w:tcPr>
            <w:tcW w:type="dxa" w:w="4800"/>
            <w:shd w:fill="EAF1F3" w:val="clear"/>
            <w:tcMar>
              <w:top w:type="dxa" w:w="80"/>
              <w:left w:type="dxa" w:w="120"/>
              <w:bottom w:type="dxa" w:w="80"/>
              <w:right w:type="dxa" w:w="120"/>
            </w:tcMar>
          </w:tcPr>
          <w:p>
            <w:r>
              <w:rPr>
                <w:rFonts w:ascii="Calibri" w:cs="Calibri" w:eastAsia="Calibri" w:hAnsi="Calibri"/>
                <w:b w:val="false"/>
                <w:bCs w:val="false"/>
                <w:sz w:val="20"/>
                <w:szCs w:val="20"/>
              </w:rPr>
              <w:t xml:space="preserve">Extra Trees</w:t>
            </w:r>
          </w:p>
        </w:tc>
        <w:tc>
          <w:tcPr>
            <w:tcW w:type="dxa" w:w="2700"/>
            <w:shd w:fill="EAF1F3" w:val="clear"/>
            <w:tcMar>
              <w:top w:type="dxa" w:w="80"/>
              <w:left w:type="dxa" w:w="120"/>
              <w:bottom w:type="dxa" w:w="80"/>
              <w:right w:type="dxa" w:w="120"/>
            </w:tcMar>
          </w:tcPr>
          <w:p>
            <w:r>
              <w:rPr>
                <w:rFonts w:ascii="Calibri" w:cs="Calibri" w:eastAsia="Calibri" w:hAnsi="Calibri"/>
                <w:b w:val="false"/>
                <w:bCs w:val="false"/>
                <w:sz w:val="20"/>
                <w:szCs w:val="20"/>
              </w:rPr>
              <w:t xml:space="preserve">21.41</w:t>
            </w:r>
          </w:p>
        </w:tc>
        <w:tc>
          <w:tcPr>
            <w:tcW w:type="dxa" w:w="2700"/>
            <w:shd w:fill="EAF1F3" w:val="clear"/>
            <w:tcMar>
              <w:top w:type="dxa" w:w="80"/>
              <w:left w:type="dxa" w:w="120"/>
              <w:bottom w:type="dxa" w:w="80"/>
              <w:right w:type="dxa" w:w="120"/>
            </w:tcMar>
          </w:tcPr>
          <w:p>
            <w:r>
              <w:rPr>
                <w:rFonts w:ascii="Calibri" w:cs="Calibri" w:eastAsia="Calibri" w:hAnsi="Calibri"/>
                <w:b w:val="false"/>
                <w:bCs w:val="false"/>
                <w:sz w:val="20"/>
                <w:szCs w:val="20"/>
              </w:rPr>
              <w:t xml:space="preserve">2</w:t>
            </w:r>
          </w:p>
        </w:tc>
      </w:tr>
      <w:tr>
        <w:tc>
          <w:tcPr>
            <w:tcW w:type="dxa" w:w="4800"/>
            <w:tcMar>
              <w:top w:type="dxa" w:w="80"/>
              <w:left w:type="dxa" w:w="120"/>
              <w:bottom w:type="dxa" w:w="80"/>
              <w:right w:type="dxa" w:w="120"/>
            </w:tcMar>
          </w:tcPr>
          <w:p>
            <w:r>
              <w:rPr>
                <w:rFonts w:ascii="Calibri" w:cs="Calibri" w:eastAsia="Calibri" w:hAnsi="Calibri"/>
                <w:b w:val="false"/>
                <w:bCs w:val="false"/>
                <w:sz w:val="20"/>
                <w:szCs w:val="20"/>
              </w:rPr>
              <w:t xml:space="preserve">Ridge Regression</w:t>
            </w:r>
          </w:p>
        </w:tc>
        <w:tc>
          <w:tcPr>
            <w:tcW w:type="dxa" w:w="2700"/>
            <w:tcMar>
              <w:top w:type="dxa" w:w="80"/>
              <w:left w:type="dxa" w:w="120"/>
              <w:bottom w:type="dxa" w:w="80"/>
              <w:right w:type="dxa" w:w="120"/>
            </w:tcMar>
          </w:tcPr>
          <w:p>
            <w:r>
              <w:rPr>
                <w:rFonts w:ascii="Calibri" w:cs="Calibri" w:eastAsia="Calibri" w:hAnsi="Calibri"/>
                <w:b w:val="false"/>
                <w:bCs w:val="false"/>
                <w:sz w:val="20"/>
                <w:szCs w:val="20"/>
              </w:rPr>
              <w:t xml:space="preserve">21.46</w:t>
            </w:r>
          </w:p>
        </w:tc>
        <w:tc>
          <w:tcPr>
            <w:tcW w:type="dxa" w:w="2700"/>
            <w:tcMar>
              <w:top w:type="dxa" w:w="80"/>
              <w:left w:type="dxa" w:w="120"/>
              <w:bottom w:type="dxa" w:w="80"/>
              <w:right w:type="dxa" w:w="120"/>
            </w:tcMar>
          </w:tcPr>
          <w:p>
            <w:r>
              <w:rPr>
                <w:rFonts w:ascii="Calibri" w:cs="Calibri" w:eastAsia="Calibri" w:hAnsi="Calibri"/>
                <w:b w:val="false"/>
                <w:bCs w:val="false"/>
                <w:sz w:val="20"/>
                <w:szCs w:val="20"/>
              </w:rPr>
              <w:t xml:space="preserve">3</w:t>
            </w:r>
          </w:p>
        </w:tc>
      </w:tr>
      <w:tr>
        <w:tc>
          <w:tcPr>
            <w:tcW w:type="dxa" w:w="4800"/>
            <w:shd w:fill="EAF1F3" w:val="clear"/>
            <w:tcMar>
              <w:top w:type="dxa" w:w="80"/>
              <w:left w:type="dxa" w:w="120"/>
              <w:bottom w:type="dxa" w:w="80"/>
              <w:right w:type="dxa" w:w="120"/>
            </w:tcMar>
          </w:tcPr>
          <w:p>
            <w:r>
              <w:rPr>
                <w:rFonts w:ascii="Calibri" w:cs="Calibri" w:eastAsia="Calibri" w:hAnsi="Calibri"/>
                <w:b w:val="false"/>
                <w:bCs w:val="false"/>
                <w:sz w:val="20"/>
                <w:szCs w:val="20"/>
              </w:rPr>
              <w:t xml:space="preserve">Gradient Boosting</w:t>
            </w:r>
          </w:p>
        </w:tc>
        <w:tc>
          <w:tcPr>
            <w:tcW w:type="dxa" w:w="2700"/>
            <w:shd w:fill="EAF1F3" w:val="clear"/>
            <w:tcMar>
              <w:top w:type="dxa" w:w="80"/>
              <w:left w:type="dxa" w:w="120"/>
              <w:bottom w:type="dxa" w:w="80"/>
              <w:right w:type="dxa" w:w="120"/>
            </w:tcMar>
          </w:tcPr>
          <w:p>
            <w:r>
              <w:rPr>
                <w:rFonts w:ascii="Calibri" w:cs="Calibri" w:eastAsia="Calibri" w:hAnsi="Calibri"/>
                <w:b w:val="false"/>
                <w:bCs w:val="false"/>
                <w:sz w:val="20"/>
                <w:szCs w:val="20"/>
              </w:rPr>
              <w:t xml:space="preserve">22.14</w:t>
            </w:r>
          </w:p>
        </w:tc>
        <w:tc>
          <w:tcPr>
            <w:tcW w:type="dxa" w:w="2700"/>
            <w:shd w:fill="EAF1F3" w:val="clear"/>
            <w:tcMar>
              <w:top w:type="dxa" w:w="80"/>
              <w:left w:type="dxa" w:w="120"/>
              <w:bottom w:type="dxa" w:w="80"/>
              <w:right w:type="dxa" w:w="120"/>
            </w:tcMar>
          </w:tcPr>
          <w:p>
            <w:r>
              <w:rPr>
                <w:rFonts w:ascii="Calibri" w:cs="Calibri" w:eastAsia="Calibri" w:hAnsi="Calibri"/>
                <w:b w:val="false"/>
                <w:bCs w:val="false"/>
                <w:sz w:val="20"/>
                <w:szCs w:val="20"/>
              </w:rPr>
              <w:t xml:space="preserve">4</w:t>
            </w:r>
          </w:p>
        </w:tc>
      </w:tr>
      <w:tr>
        <w:tc>
          <w:tcPr>
            <w:tcW w:type="dxa" w:w="4800"/>
            <w:tcMar>
              <w:top w:type="dxa" w:w="80"/>
              <w:left w:type="dxa" w:w="120"/>
              <w:bottom w:type="dxa" w:w="80"/>
              <w:right w:type="dxa" w:w="120"/>
            </w:tcMar>
          </w:tcPr>
          <w:p>
            <w:r>
              <w:rPr>
                <w:rFonts w:ascii="Calibri" w:cs="Calibri" w:eastAsia="Calibri" w:hAnsi="Calibri"/>
                <w:b w:val="false"/>
                <w:bCs w:val="false"/>
                <w:sz w:val="20"/>
                <w:szCs w:val="20"/>
              </w:rPr>
              <w:t xml:space="preserve">Random Forest</w:t>
            </w:r>
          </w:p>
        </w:tc>
        <w:tc>
          <w:tcPr>
            <w:tcW w:type="dxa" w:w="2700"/>
            <w:tcMar>
              <w:top w:type="dxa" w:w="80"/>
              <w:left w:type="dxa" w:w="120"/>
              <w:bottom w:type="dxa" w:w="80"/>
              <w:right w:type="dxa" w:w="120"/>
            </w:tcMar>
          </w:tcPr>
          <w:p>
            <w:r>
              <w:rPr>
                <w:rFonts w:ascii="Calibri" w:cs="Calibri" w:eastAsia="Calibri" w:hAnsi="Calibri"/>
                <w:b w:val="false"/>
                <w:bCs w:val="false"/>
                <w:sz w:val="20"/>
                <w:szCs w:val="20"/>
              </w:rPr>
              <w:t xml:space="preserve">23.59</w:t>
            </w:r>
          </w:p>
        </w:tc>
        <w:tc>
          <w:tcPr>
            <w:tcW w:type="dxa" w:w="2700"/>
            <w:tcMar>
              <w:top w:type="dxa" w:w="80"/>
              <w:left w:type="dxa" w:w="120"/>
              <w:bottom w:type="dxa" w:w="80"/>
              <w:right w:type="dxa" w:w="120"/>
            </w:tcMar>
          </w:tcPr>
          <w:p>
            <w:r>
              <w:rPr>
                <w:rFonts w:ascii="Calibri" w:cs="Calibri" w:eastAsia="Calibri" w:hAnsi="Calibri"/>
                <w:b w:val="false"/>
                <w:bCs w:val="false"/>
                <w:sz w:val="20"/>
                <w:szCs w:val="20"/>
              </w:rPr>
              <w:t xml:space="preserve">5</w:t>
            </w:r>
          </w:p>
        </w:tc>
      </w:tr>
    </w:tbl>
    <w:p>
      <w:pPr>
        <w:spacing w:after="200" w:before="200"/>
      </w:pPr>
    </w:p>
    <w:p>
      <w:pPr>
        <w:spacing w:after="200" w:line="300"/>
      </w:pPr>
      <w:r>
        <w:rPr>
          <w:rFonts w:ascii="Calibri" w:cs="Calibri" w:eastAsia="Calibri" w:hAnsi="Calibri"/>
          <w:sz w:val="22"/>
          <w:szCs w:val="22"/>
        </w:rPr>
        <w:t xml:space="preserve">XGBoost produced the lowest cross-validated error by a clear margin and was carried forward as the model to tune, with the tree-based ensembles broadly outperforming the Ridge baseline — consistent with the non-linear, interaction-heavy relationships between battery, geometry, and range.</w:t>
      </w:r>
    </w:p>
    <w:p>
      <w:pPr>
        <w:pStyle w:val="Heading2"/>
        <w:spacing w:after="120" w:before="260"/>
      </w:pPr>
      <w:r>
        <w:t xml:space="preserve">4.4 Hyperparameter Tuning</w:t>
      </w:r>
    </w:p>
    <w:p>
      <w:pPr>
        <w:spacing w:after="200" w:line="300"/>
      </w:pPr>
      <w:r>
        <w:rPr>
          <w:rFonts w:ascii="Calibri" w:cs="Calibri" w:eastAsia="Calibri" w:hAnsi="Calibri"/>
          <w:sz w:val="22"/>
          <w:szCs w:val="22"/>
        </w:rPr>
        <w:t xml:space="preserve">The selected XGBoost model was tuned using RandomizedSearchCV with 30 iterations under the same 5-fold cross-validation scheme, searching over tree depth, learning rate, subsampling ratio, and the number of estimators. The best configuration found is summarised below.</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00"/>
      </w:tblGrid>
      <w:tr>
        <w:tc>
          <w:tcPr>
            <w:tcW w:type="dxa" w:w="3400"/>
            <w:shd w:fill="1F4E5F" w:val="clear"/>
            <w:tcMar>
              <w:top w:type="dxa" w:w="80"/>
              <w:left w:type="dxa" w:w="120"/>
              <w:bottom w:type="dxa" w:w="80"/>
              <w:right w:type="dxa" w:w="120"/>
            </w:tcMar>
          </w:tcPr>
          <w:p>
            <w:r>
              <w:rPr>
                <w:rFonts w:ascii="Calibri" w:cs="Calibri" w:eastAsia="Calibri" w:hAnsi="Calibri"/>
                <w:b/>
                <w:bCs/>
                <w:sz w:val="20"/>
                <w:szCs w:val="20"/>
              </w:rPr>
              <w:t xml:space="preserve">Parameter</w:t>
            </w:r>
          </w:p>
        </w:tc>
        <w:tc>
          <w:tcPr>
            <w:tcW w:type="dxa" w:w="3400"/>
            <w:shd w:fill="1F4E5F" w:val="clear"/>
            <w:tcMar>
              <w:top w:type="dxa" w:w="80"/>
              <w:left w:type="dxa" w:w="120"/>
              <w:bottom w:type="dxa" w:w="80"/>
              <w:right w:type="dxa" w:w="120"/>
            </w:tcMar>
          </w:tcPr>
          <w:p>
            <w:r>
              <w:rPr>
                <w:rFonts w:ascii="Calibri" w:cs="Calibri" w:eastAsia="Calibri" w:hAnsi="Calibri"/>
                <w:b/>
                <w:bCs/>
                <w:sz w:val="20"/>
                <w:szCs w:val="20"/>
              </w:rPr>
              <w:t xml:space="preserve">Best Value</w:t>
            </w:r>
          </w:p>
        </w:tc>
        <w:tc>
          <w:tcPr>
            <w:tcW w:type="dxa" w:w="3400"/>
            <w:shd w:fill="1F4E5F" w:val="clear"/>
            <w:tcMar>
              <w:top w:type="dxa" w:w="80"/>
              <w:left w:type="dxa" w:w="120"/>
              <w:bottom w:type="dxa" w:w="80"/>
              <w:right w:type="dxa" w:w="120"/>
            </w:tcMar>
          </w:tcPr>
          <w:p>
            <w:r>
              <w:rPr>
                <w:rFonts w:ascii="Calibri" w:cs="Calibri" w:eastAsia="Calibri" w:hAnsi="Calibri"/>
                <w:b/>
                <w:bCs/>
                <w:sz w:val="20"/>
                <w:szCs w:val="20"/>
              </w:rPr>
              <w:t xml:space="preserve">Role</w:t>
            </w:r>
          </w:p>
        </w:tc>
      </w:tr>
      <w:tr>
        <w:tc>
          <w:tcPr>
            <w:tcW w:type="dxa" w:w="3400"/>
            <w:tcMar>
              <w:top w:type="dxa" w:w="80"/>
              <w:left w:type="dxa" w:w="120"/>
              <w:bottom w:type="dxa" w:w="80"/>
              <w:right w:type="dxa" w:w="120"/>
            </w:tcMar>
          </w:tcPr>
          <w:p>
            <w:r>
              <w:rPr>
                <w:rFonts w:ascii="Calibri" w:cs="Calibri" w:eastAsia="Calibri" w:hAnsi="Calibri"/>
                <w:b w:val="false"/>
                <w:bCs w:val="false"/>
                <w:sz w:val="20"/>
                <w:szCs w:val="20"/>
              </w:rPr>
              <w:t xml:space="preserve">n_estimators</w:t>
            </w:r>
          </w:p>
        </w:tc>
        <w:tc>
          <w:tcPr>
            <w:tcW w:type="dxa" w:w="3400"/>
            <w:tcMar>
              <w:top w:type="dxa" w:w="80"/>
              <w:left w:type="dxa" w:w="120"/>
              <w:bottom w:type="dxa" w:w="80"/>
              <w:right w:type="dxa" w:w="120"/>
            </w:tcMar>
          </w:tcPr>
          <w:p>
            <w:r>
              <w:rPr>
                <w:rFonts w:ascii="Calibri" w:cs="Calibri" w:eastAsia="Calibri" w:hAnsi="Calibri"/>
                <w:b w:val="false"/>
                <w:bCs w:val="false"/>
                <w:sz w:val="20"/>
                <w:szCs w:val="20"/>
              </w:rPr>
              <w:t xml:space="preserve">700</w:t>
            </w:r>
          </w:p>
        </w:tc>
        <w:tc>
          <w:tcPr>
            <w:tcW w:type="dxa" w:w="3400"/>
            <w:tcMar>
              <w:top w:type="dxa" w:w="80"/>
              <w:left w:type="dxa" w:w="120"/>
              <w:bottom w:type="dxa" w:w="80"/>
              <w:right w:type="dxa" w:w="120"/>
            </w:tcMar>
          </w:tcPr>
          <w:p>
            <w:r>
              <w:rPr>
                <w:rFonts w:ascii="Calibri" w:cs="Calibri" w:eastAsia="Calibri" w:hAnsi="Calibri"/>
                <w:b w:val="false"/>
                <w:bCs w:val="false"/>
                <w:sz w:val="20"/>
                <w:szCs w:val="20"/>
              </w:rPr>
              <w:t xml:space="preserve">Number of boosting rounds</w:t>
            </w:r>
          </w:p>
        </w:tc>
      </w:tr>
      <w:tr>
        <w:tc>
          <w:tcPr>
            <w:tcW w:type="dxa" w:w="3400"/>
            <w:shd w:fill="EAF1F3" w:val="clear"/>
            <w:tcMar>
              <w:top w:type="dxa" w:w="80"/>
              <w:left w:type="dxa" w:w="120"/>
              <w:bottom w:type="dxa" w:w="80"/>
              <w:right w:type="dxa" w:w="120"/>
            </w:tcMar>
          </w:tcPr>
          <w:p>
            <w:r>
              <w:rPr>
                <w:rFonts w:ascii="Calibri" w:cs="Calibri" w:eastAsia="Calibri" w:hAnsi="Calibri"/>
                <w:b w:val="false"/>
                <w:bCs w:val="false"/>
                <w:sz w:val="20"/>
                <w:szCs w:val="20"/>
              </w:rPr>
              <w:t xml:space="preserve">max_depth</w:t>
            </w:r>
          </w:p>
        </w:tc>
        <w:tc>
          <w:tcPr>
            <w:tcW w:type="dxa" w:w="3400"/>
            <w:shd w:fill="EAF1F3" w:val="clear"/>
            <w:tcMar>
              <w:top w:type="dxa" w:w="80"/>
              <w:left w:type="dxa" w:w="120"/>
              <w:bottom w:type="dxa" w:w="80"/>
              <w:right w:type="dxa" w:w="120"/>
            </w:tcMar>
          </w:tcPr>
          <w:p>
            <w:r>
              <w:rPr>
                <w:rFonts w:ascii="Calibri" w:cs="Calibri" w:eastAsia="Calibri" w:hAnsi="Calibri"/>
                <w:b w:val="false"/>
                <w:bCs w:val="false"/>
                <w:sz w:val="20"/>
                <w:szCs w:val="20"/>
              </w:rPr>
              <w:t xml:space="preserve">3</w:t>
            </w:r>
          </w:p>
        </w:tc>
        <w:tc>
          <w:tcPr>
            <w:tcW w:type="dxa" w:w="3400"/>
            <w:shd w:fill="EAF1F3" w:val="clear"/>
            <w:tcMar>
              <w:top w:type="dxa" w:w="80"/>
              <w:left w:type="dxa" w:w="120"/>
              <w:bottom w:type="dxa" w:w="80"/>
              <w:right w:type="dxa" w:w="120"/>
            </w:tcMar>
          </w:tcPr>
          <w:p>
            <w:r>
              <w:rPr>
                <w:rFonts w:ascii="Calibri" w:cs="Calibri" w:eastAsia="Calibri" w:hAnsi="Calibri"/>
                <w:b w:val="false"/>
                <w:bCs w:val="false"/>
                <w:sz w:val="20"/>
                <w:szCs w:val="20"/>
              </w:rPr>
              <w:t xml:space="preserve">Shallow trees to limit overfitting</w:t>
            </w:r>
          </w:p>
        </w:tc>
      </w:tr>
      <w:tr>
        <w:tc>
          <w:tcPr>
            <w:tcW w:type="dxa" w:w="3400"/>
            <w:tcMar>
              <w:top w:type="dxa" w:w="80"/>
              <w:left w:type="dxa" w:w="120"/>
              <w:bottom w:type="dxa" w:w="80"/>
              <w:right w:type="dxa" w:w="120"/>
            </w:tcMar>
          </w:tcPr>
          <w:p>
            <w:r>
              <w:rPr>
                <w:rFonts w:ascii="Calibri" w:cs="Calibri" w:eastAsia="Calibri" w:hAnsi="Calibri"/>
                <w:b w:val="false"/>
                <w:bCs w:val="false"/>
                <w:sz w:val="20"/>
                <w:szCs w:val="20"/>
              </w:rPr>
              <w:t xml:space="preserve">learning_rate</w:t>
            </w:r>
          </w:p>
        </w:tc>
        <w:tc>
          <w:tcPr>
            <w:tcW w:type="dxa" w:w="3400"/>
            <w:tcMar>
              <w:top w:type="dxa" w:w="80"/>
              <w:left w:type="dxa" w:w="120"/>
              <w:bottom w:type="dxa" w:w="80"/>
              <w:right w:type="dxa" w:w="120"/>
            </w:tcMar>
          </w:tcPr>
          <w:p>
            <w:r>
              <w:rPr>
                <w:rFonts w:ascii="Calibri" w:cs="Calibri" w:eastAsia="Calibri" w:hAnsi="Calibri"/>
                <w:b w:val="false"/>
                <w:bCs w:val="false"/>
                <w:sz w:val="20"/>
                <w:szCs w:val="20"/>
              </w:rPr>
              <w:t xml:space="preserve">0.08</w:t>
            </w:r>
          </w:p>
        </w:tc>
        <w:tc>
          <w:tcPr>
            <w:tcW w:type="dxa" w:w="3400"/>
            <w:tcMar>
              <w:top w:type="dxa" w:w="80"/>
              <w:left w:type="dxa" w:w="120"/>
              <w:bottom w:type="dxa" w:w="80"/>
              <w:right w:type="dxa" w:w="120"/>
            </w:tcMar>
          </w:tcPr>
          <w:p>
            <w:r>
              <w:rPr>
                <w:rFonts w:ascii="Calibri" w:cs="Calibri" w:eastAsia="Calibri" w:hAnsi="Calibri"/>
                <w:b w:val="false"/>
                <w:bCs w:val="false"/>
                <w:sz w:val="20"/>
                <w:szCs w:val="20"/>
              </w:rPr>
              <w:t xml:space="preserve">Step size per boosting round</w:t>
            </w:r>
          </w:p>
        </w:tc>
      </w:tr>
      <w:tr>
        <w:tc>
          <w:tcPr>
            <w:tcW w:type="dxa" w:w="3400"/>
            <w:shd w:fill="EAF1F3" w:val="clear"/>
            <w:tcMar>
              <w:top w:type="dxa" w:w="80"/>
              <w:left w:type="dxa" w:w="120"/>
              <w:bottom w:type="dxa" w:w="80"/>
              <w:right w:type="dxa" w:w="120"/>
            </w:tcMar>
          </w:tcPr>
          <w:p>
            <w:r>
              <w:rPr>
                <w:rFonts w:ascii="Calibri" w:cs="Calibri" w:eastAsia="Calibri" w:hAnsi="Calibri"/>
                <w:b w:val="false"/>
                <w:bCs w:val="false"/>
                <w:sz w:val="20"/>
                <w:szCs w:val="20"/>
              </w:rPr>
              <w:t xml:space="preserve">subsample</w:t>
            </w:r>
          </w:p>
        </w:tc>
        <w:tc>
          <w:tcPr>
            <w:tcW w:type="dxa" w:w="3400"/>
            <w:shd w:fill="EAF1F3" w:val="clear"/>
            <w:tcMar>
              <w:top w:type="dxa" w:w="80"/>
              <w:left w:type="dxa" w:w="120"/>
              <w:bottom w:type="dxa" w:w="80"/>
              <w:right w:type="dxa" w:w="120"/>
            </w:tcMar>
          </w:tcPr>
          <w:p>
            <w:r>
              <w:rPr>
                <w:rFonts w:ascii="Calibri" w:cs="Calibri" w:eastAsia="Calibri" w:hAnsi="Calibri"/>
                <w:b w:val="false"/>
                <w:bCs w:val="false"/>
                <w:sz w:val="20"/>
                <w:szCs w:val="20"/>
              </w:rPr>
              <w:t xml:space="preserve">0.7</w:t>
            </w:r>
          </w:p>
        </w:tc>
        <w:tc>
          <w:tcPr>
            <w:tcW w:type="dxa" w:w="3400"/>
            <w:shd w:fill="EAF1F3" w:val="clear"/>
            <w:tcMar>
              <w:top w:type="dxa" w:w="80"/>
              <w:left w:type="dxa" w:w="120"/>
              <w:bottom w:type="dxa" w:w="80"/>
              <w:right w:type="dxa" w:w="120"/>
            </w:tcMar>
          </w:tcPr>
          <w:p>
            <w:r>
              <w:rPr>
                <w:rFonts w:ascii="Calibri" w:cs="Calibri" w:eastAsia="Calibri" w:hAnsi="Calibri"/>
                <w:b w:val="false"/>
                <w:bCs w:val="false"/>
                <w:sz w:val="20"/>
                <w:szCs w:val="20"/>
              </w:rPr>
              <w:t xml:space="preserve">Row sampling per tree</w:t>
            </w:r>
          </w:p>
        </w:tc>
      </w:tr>
    </w:tbl>
    <w:p>
      <w:pPr>
        <w:pStyle w:val="Heading1"/>
        <w:spacing w:after="160" w:before="360"/>
      </w:pPr>
      <w:r>
        <w:t xml:space="preserve">5. Results</w:t>
      </w:r>
    </w:p>
    <w:p>
      <w:pPr>
        <w:spacing w:after="200" w:line="300"/>
      </w:pPr>
      <w:r>
        <w:rPr>
          <w:rFonts w:ascii="Calibri" w:cs="Calibri" w:eastAsia="Calibri" w:hAnsi="Calibri"/>
          <w:sz w:val="22"/>
          <w:szCs w:val="22"/>
        </w:rPr>
        <w:t xml:space="preserve">The tuned pipeline was evaluated once on a held-out test set comprising 20% of the data, which had not been seen during either cross-validation or hyperparameter search.</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c>
          <w:tcPr>
            <w:tcW w:type="dxa" w:w="3600"/>
            <w:shd w:fill="1F4E5F" w:val="clear"/>
            <w:tcMar>
              <w:top w:type="dxa" w:w="80"/>
              <w:left w:type="dxa" w:w="120"/>
              <w:bottom w:type="dxa" w:w="80"/>
              <w:right w:type="dxa" w:w="120"/>
            </w:tcMar>
          </w:tcPr>
          <w:p>
            <w:r>
              <w:rPr>
                <w:rFonts w:ascii="Calibri" w:cs="Calibri" w:eastAsia="Calibri" w:hAnsi="Calibri"/>
                <w:b/>
                <w:bCs/>
                <w:sz w:val="20"/>
                <w:szCs w:val="20"/>
              </w:rPr>
              <w:t xml:space="preserve">Metric</w:t>
            </w:r>
          </w:p>
        </w:tc>
        <w:tc>
          <w:tcPr>
            <w:tcW w:type="dxa" w:w="3600"/>
            <w:shd w:fill="1F4E5F" w:val="clear"/>
            <w:tcMar>
              <w:top w:type="dxa" w:w="80"/>
              <w:left w:type="dxa" w:w="120"/>
              <w:bottom w:type="dxa" w:w="80"/>
              <w:right w:type="dxa" w:w="120"/>
            </w:tcMar>
          </w:tcPr>
          <w:p>
            <w:r>
              <w:rPr>
                <w:rFonts w:ascii="Calibri" w:cs="Calibri" w:eastAsia="Calibri" w:hAnsi="Calibri"/>
                <w:b/>
                <w:bCs/>
                <w:sz w:val="20"/>
                <w:szCs w:val="20"/>
              </w:rPr>
              <w:t xml:space="preserve">Value</w:t>
            </w:r>
          </w:p>
        </w:tc>
        <w:tc>
          <w:tcPr>
            <w:tcW w:type="dxa" w:w="3600"/>
            <w:shd w:fill="1F4E5F" w:val="clear"/>
            <w:tcMar>
              <w:top w:type="dxa" w:w="80"/>
              <w:left w:type="dxa" w:w="120"/>
              <w:bottom w:type="dxa" w:w="80"/>
              <w:right w:type="dxa" w:w="120"/>
            </w:tcMar>
          </w:tcPr>
          <w:p>
            <w:r>
              <w:rPr>
                <w:rFonts w:ascii="Calibri" w:cs="Calibri" w:eastAsia="Calibri" w:hAnsi="Calibri"/>
                <w:b/>
                <w:bCs/>
                <w:sz w:val="20"/>
                <w:szCs w:val="20"/>
              </w:rPr>
              <w:t xml:space="preserve">Interpretation</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MAE</w:t>
            </w:r>
          </w:p>
        </w:tc>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10.54 km</w:t>
            </w:r>
          </w:p>
        </w:tc>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Average absolute deviation from true range</w:t>
            </w:r>
          </w:p>
        </w:tc>
      </w:tr>
      <w:tr>
        <w:tc>
          <w:tcPr>
            <w:tcW w:type="dxa" w:w="3600"/>
            <w:shd w:fill="EAF1F3" w:val="clear"/>
            <w:tcMar>
              <w:top w:type="dxa" w:w="80"/>
              <w:left w:type="dxa" w:w="120"/>
              <w:bottom w:type="dxa" w:w="80"/>
              <w:right w:type="dxa" w:w="120"/>
            </w:tcMar>
          </w:tcPr>
          <w:p>
            <w:r>
              <w:rPr>
                <w:rFonts w:ascii="Calibri" w:cs="Calibri" w:eastAsia="Calibri" w:hAnsi="Calibri"/>
                <w:b w:val="false"/>
                <w:bCs w:val="false"/>
                <w:sz w:val="20"/>
                <w:szCs w:val="20"/>
              </w:rPr>
              <w:t xml:space="preserve">RMSE</w:t>
            </w:r>
          </w:p>
        </w:tc>
        <w:tc>
          <w:tcPr>
            <w:tcW w:type="dxa" w:w="3600"/>
            <w:shd w:fill="EAF1F3" w:val="clear"/>
            <w:tcMar>
              <w:top w:type="dxa" w:w="80"/>
              <w:left w:type="dxa" w:w="120"/>
              <w:bottom w:type="dxa" w:w="80"/>
              <w:right w:type="dxa" w:w="120"/>
            </w:tcMar>
          </w:tcPr>
          <w:p>
            <w:r>
              <w:rPr>
                <w:rFonts w:ascii="Calibri" w:cs="Calibri" w:eastAsia="Calibri" w:hAnsi="Calibri"/>
                <w:b w:val="false"/>
                <w:bCs w:val="false"/>
                <w:sz w:val="20"/>
                <w:szCs w:val="20"/>
              </w:rPr>
              <w:t xml:space="preserve">13.67 km</w:t>
            </w:r>
          </w:p>
        </w:tc>
        <w:tc>
          <w:tcPr>
            <w:tcW w:type="dxa" w:w="3600"/>
            <w:shd w:fill="EAF1F3" w:val="clear"/>
            <w:tcMar>
              <w:top w:type="dxa" w:w="80"/>
              <w:left w:type="dxa" w:w="120"/>
              <w:bottom w:type="dxa" w:w="80"/>
              <w:right w:type="dxa" w:w="120"/>
            </w:tcMar>
          </w:tcPr>
          <w:p>
            <w:r>
              <w:rPr>
                <w:rFonts w:ascii="Calibri" w:cs="Calibri" w:eastAsia="Calibri" w:hAnsi="Calibri"/>
                <w:b w:val="false"/>
                <w:bCs w:val="false"/>
                <w:sz w:val="20"/>
                <w:szCs w:val="20"/>
              </w:rPr>
              <w:t xml:space="preserve">Penalises larger errors more heavily</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R²</w:t>
            </w:r>
          </w:p>
        </w:tc>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0.9823</w:t>
            </w:r>
          </w:p>
        </w:tc>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~98% of range variance explained by specs alone</w:t>
            </w:r>
          </w:p>
        </w:tc>
      </w:tr>
    </w:tbl>
    <w:p>
      <w:pPr>
        <w:spacing w:after="200" w:before="200"/>
      </w:pPr>
    </w:p>
    <w:p>
      <w:pPr>
        <w:spacing w:after="200" w:line="300"/>
      </w:pPr>
      <w:r>
        <w:rPr>
          <w:rFonts w:ascii="Calibri" w:cs="Calibri" w:eastAsia="Calibri" w:hAnsi="Calibri"/>
          <w:sz w:val="22"/>
          <w:szCs w:val="22"/>
        </w:rPr>
        <w:t xml:space="preserve">An R² of 0.9823 indicates that static, launch-time specifications alone account for roughly 98% of the variance in real-world driving range across the 59 brands in the dataset. With a mean absolute error of 10.54 km, predictions are typically within a small margin of the true figure — well within the range needed for meaningful vehicle comparison, even though it is not a substitute for a manufacturer's official test-cycle rating.</w:t>
      </w:r>
    </w:p>
    <w:p>
      <w:pPr>
        <w:pStyle w:val="Heading1"/>
        <w:spacing w:after="160" w:before="360"/>
      </w:pPr>
      <w:r>
        <w:t xml:space="preserve">6. Deployment</w:t>
      </w:r>
    </w:p>
    <w:p>
      <w:pPr>
        <w:spacing w:after="200" w:line="300"/>
      </w:pPr>
      <w:r>
        <w:rPr>
          <w:rFonts w:ascii="Calibri" w:cs="Calibri" w:eastAsia="Calibri" w:hAnsi="Calibri"/>
          <w:sz w:val="22"/>
          <w:szCs w:val="22"/>
        </w:rPr>
        <w:t xml:space="preserve">The complete trained pipeline — preprocessing (imputation, scaling, encoding) and the tuned XGBoost model — is serialised as a single scikit-learn Pipeline object at model/ev_range_pipeline.joblib. Loading it with joblib.load() and calling .predict() on a correctly formatted row of specifications is sufficient to get a range estimate; no separate preprocessing code needs to be maintained alongside the model. A Streamlit interface is planned on top of this pipeline to let a user enter a vehicle's specifications and receive an instant range estimate.</w:t>
      </w:r>
    </w:p>
    <w:p>
      <w:pPr>
        <w:pStyle w:val="Heading1"/>
        <w:spacing w:after="160" w:before="360"/>
      </w:pPr>
      <w:r>
        <w:t xml:space="preserve">7. Limitations</w:t>
      </w:r>
    </w:p>
    <w:p>
      <w:pPr>
        <w:pStyle w:val="ListParagraph"/>
        <w:numPr>
          <w:ilvl w:val="0"/>
          <w:numId w:val="2"/>
        </w:numPr>
        <w:spacing w:after="100" w:line="300"/>
      </w:pPr>
      <w:r>
        <w:rPr>
          <w:rFonts w:ascii="Calibri" w:cs="Calibri" w:eastAsia="Calibri" w:hAnsi="Calibri"/>
          <w:sz w:val="22"/>
          <w:szCs w:val="22"/>
        </w:rPr>
        <w:t xml:space="preserve">The model relies solely on static manufacturer specifications; it does not account for driving style, terrain, HVAC usage, or ambient temperature.</w:t>
      </w:r>
    </w:p>
    <w:p>
      <w:pPr>
        <w:pStyle w:val="ListParagraph"/>
        <w:numPr>
          <w:ilvl w:val="0"/>
          <w:numId w:val="2"/>
        </w:numPr>
        <w:spacing w:after="100" w:line="300"/>
      </w:pPr>
      <w:r>
        <w:rPr>
          <w:rFonts w:ascii="Calibri" w:cs="Calibri" w:eastAsia="Calibri" w:hAnsi="Calibri"/>
          <w:sz w:val="22"/>
          <w:szCs w:val="22"/>
        </w:rPr>
        <w:t xml:space="preserve">No real-time telemetry or battery health data is used, so the estimate reflects a vehicle's specified condition rather than an individual unit's actual state.</w:t>
      </w:r>
    </w:p>
    <w:p>
      <w:pPr>
        <w:pStyle w:val="ListParagraph"/>
        <w:numPr>
          <w:ilvl w:val="0"/>
          <w:numId w:val="2"/>
        </w:numPr>
        <w:spacing w:after="100" w:line="300"/>
      </w:pPr>
      <w:r>
        <w:rPr>
          <w:rFonts w:ascii="Calibri" w:cs="Calibri" w:eastAsia="Calibri" w:hAnsi="Calibri"/>
          <w:sz w:val="22"/>
          <w:szCs w:val="22"/>
        </w:rPr>
        <w:t xml:space="preserve">Predictions are only as reliable as the specification data supplied for a given vehicle, and accuracy may be lower for vehicle categories that are underrepresented among the 478 models in the dataset.</w:t>
      </w:r>
    </w:p>
    <w:p>
      <w:pPr>
        <w:pStyle w:val="Heading1"/>
        <w:spacing w:after="160" w:before="360"/>
      </w:pPr>
      <w:r>
        <w:t xml:space="preserve">8. Conclusion</w:t>
      </w:r>
    </w:p>
    <w:p>
      <w:pPr>
        <w:spacing w:after="200" w:line="300"/>
      </w:pPr>
      <w:r>
        <w:rPr>
          <w:rFonts w:ascii="Calibri" w:cs="Calibri" w:eastAsia="Calibri" w:hAnsi="Calibri"/>
          <w:sz w:val="22"/>
          <w:szCs w:val="22"/>
        </w:rPr>
        <w:t xml:space="preserve">TechTrack demonstrates that a vehicle's driving range can be predicted with high accuracy from information that is available the moment a model is announced, without waiting for real-world driving data. By combining careful feature engineering with a tuned gradient-boosted model, the system achieves an R² of 0.9823 and a mean absolute error of roughly 10.5 km on unseen vehicles. This makes it a practical building block for EV comparison tools, marketplace listings, and early-stage vehicle configurators, with the Streamlit-based interface planned as the next step toward a usable end-to-end product.</w:t>
      </w:r>
    </w:p>
    <w:p>
      <w:pPr>
        <w:pStyle w:val="Heading1"/>
        <w:spacing w:after="160" w:before="360"/>
      </w:pPr>
      <w:r>
        <w:t xml:space="preserve">9. Tech Stack</w:t>
      </w:r>
    </w:p>
    <w:p>
      <w:pPr>
        <w:spacing w:after="200" w:line="300"/>
      </w:pPr>
      <w:r>
        <w:rPr>
          <w:rFonts w:ascii="Calibri" w:cs="Calibri" w:eastAsia="Calibri" w:hAnsi="Calibri"/>
          <w:sz w:val="22"/>
          <w:szCs w:val="22"/>
        </w:rPr>
        <w:t xml:space="preserve">Python 3 · pandas · scikit-learn · XGBoost · joblib · matplotlib · seaborn · Streamlit (interface layer, planned)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5F"/>
      <w:sz w:val="32"/>
      <w:szCs w:val="32"/>
    </w:rPr>
  </w:style>
  <w:style w:type="paragraph" w:styleId="Heading2">
    <w:name w:val="Heading 2"/>
    <w:basedOn w:val="Normal"/>
    <w:next w:val="Normal"/>
    <w:qFormat/>
    <w:pPr>
      <w:spacing w:after="120" w:before="260"/>
    </w:pPr>
    <w:rPr>
      <w:rFonts w:ascii="Calibri" w:cs="Calibri" w:eastAsia="Calibri" w:hAnsi="Calibri"/>
      <w:b/>
      <w:bCs/>
      <w:color w:val="2E2E2E"/>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2026-09-03T17:56:00.320Z</dcterms:created>
  <dcterms:modified xsi:type="dcterms:W3CDTF">2026-09-03T17:56:00.332Z</dcterms:modified>
</cp:coreProperties>
</file>

<file path=docProps/custom.xml><?xml version="1.0" encoding="utf-8"?>
<Properties xmlns="http://schemas.openxmlformats.org/officeDocument/2006/custom-properties" xmlns:vt="http://schemas.openxmlformats.org/officeDocument/2006/docPropsVTypes"/>
</file>