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1zijuuo82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Performance &amp; Trade-offs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project evaluated several models, primarily focusing 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Logistic Regression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Random Forest</w:t>
      </w:r>
      <w:r w:rsidDel="00000000" w:rsidR="00000000" w:rsidRPr="00000000">
        <w:rPr>
          <w:sz w:val="20"/>
          <w:szCs w:val="20"/>
          <w:rtl w:val="0"/>
        </w:rPr>
        <w:t xml:space="preserve">, each offering distinct advantages depending on the business objective: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Logistic Regression (Baseline Model):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Performance:</w:t>
      </w:r>
      <w:r w:rsidDel="00000000" w:rsidR="00000000" w:rsidRPr="00000000">
        <w:rPr>
          <w:sz w:val="20"/>
          <w:szCs w:val="20"/>
          <w:rtl w:val="0"/>
        </w:rPr>
        <w:t xml:space="preserve"> Achieved an overall accuracy of approximately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85%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Strengths:</w:t>
      </w:r>
      <w:r w:rsidDel="00000000" w:rsidR="00000000" w:rsidRPr="00000000">
        <w:rPr>
          <w:sz w:val="20"/>
          <w:szCs w:val="20"/>
          <w:rtl w:val="0"/>
        </w:rPr>
        <w:t xml:space="preserve"> It demonstrates an exceptional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Recall of 98%</w:t>
      </w:r>
      <w:r w:rsidDel="00000000" w:rsidR="00000000" w:rsidRPr="00000000">
        <w:rPr>
          <w:sz w:val="20"/>
          <w:szCs w:val="20"/>
          <w:rtl w:val="0"/>
        </w:rPr>
        <w:t xml:space="preserve"> for approved loans. This means the model is highly effective at identifying eligible applicants, ensuring that almost all qualified customers receive an approval.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Trade-off:</w:t>
      </w:r>
      <w:r w:rsidDel="00000000" w:rsidR="00000000" w:rsidRPr="00000000">
        <w:rPr>
          <w:sz w:val="20"/>
          <w:szCs w:val="20"/>
          <w:rtl w:val="0"/>
        </w:rPr>
        <w:t xml:space="preserve"> While it minimizes the rejection of good customers, it may have a higher rate of false positives (approving risky loans) compared to more complex models.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Random Forest (Advanced Model):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Performance:</w:t>
      </w:r>
      <w:r w:rsidDel="00000000" w:rsidR="00000000" w:rsidRPr="00000000">
        <w:rPr>
          <w:sz w:val="20"/>
          <w:szCs w:val="20"/>
          <w:rtl w:val="0"/>
        </w:rPr>
        <w:t xml:space="preserve"> Provides a better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ROC-AUC</w:t>
      </w:r>
      <w:r w:rsidDel="00000000" w:rsidR="00000000" w:rsidRPr="00000000">
        <w:rPr>
          <w:sz w:val="20"/>
          <w:szCs w:val="20"/>
          <w:rtl w:val="0"/>
        </w:rPr>
        <w:t xml:space="preserve"> score (approximately 0.80) and improved balance between risk and approval.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Strengths:</w:t>
      </w:r>
      <w:r w:rsidDel="00000000" w:rsidR="00000000" w:rsidRPr="00000000">
        <w:rPr>
          <w:sz w:val="20"/>
          <w:szCs w:val="20"/>
          <w:rtl w:val="0"/>
        </w:rPr>
        <w:t xml:space="preserve"> This model is better at capturing non-linear patterns in borrower behavior and achieves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higher recall for rejected loans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Trade-off:</w:t>
      </w:r>
      <w:r w:rsidDel="00000000" w:rsidR="00000000" w:rsidRPr="00000000">
        <w:rPr>
          <w:sz w:val="20"/>
          <w:szCs w:val="20"/>
          <w:rtl w:val="0"/>
        </w:rPr>
        <w:t xml:space="preserve"> By being more conservative to capture risk, it might reject slightly more "borderline" good customers than the Logistic Regression model but offers better overall risk detection.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11gf685u9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Threshold for Deployment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optimize the model for a production environment, the following deployment strategy is suggested: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Primary Metric - Recall for Approved Loans:</w:t>
      </w:r>
      <w:r w:rsidDel="00000000" w:rsidR="00000000" w:rsidRPr="00000000">
        <w:rPr>
          <w:sz w:val="20"/>
          <w:szCs w:val="20"/>
          <w:rtl w:val="0"/>
        </w:rPr>
        <w:t xml:space="preserve"> Given the financial context, maintaining a high recall for approved loans is critical to customer satisfaction and business growth.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Probability Threshold:</w:t>
      </w:r>
      <w:r w:rsidDel="00000000" w:rsidR="00000000" w:rsidRPr="00000000">
        <w:rPr>
          <w:sz w:val="20"/>
          <w:szCs w:val="20"/>
          <w:rtl w:val="0"/>
        </w:rPr>
        <w:t xml:space="preserve"> * A standard threshold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0.5</w:t>
      </w:r>
      <w:r w:rsidDel="00000000" w:rsidR="00000000" w:rsidRPr="00000000">
        <w:rPr>
          <w:sz w:val="20"/>
          <w:szCs w:val="20"/>
          <w:rtl w:val="0"/>
        </w:rPr>
        <w:t xml:space="preserve"> is used for general accuracy.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Recommendation:</w:t>
      </w:r>
      <w:r w:rsidDel="00000000" w:rsidR="00000000" w:rsidRPr="00000000">
        <w:rPr>
          <w:sz w:val="20"/>
          <w:szCs w:val="20"/>
          <w:rtl w:val="0"/>
        </w:rPr>
        <w:t xml:space="preserve"> If the bank's priority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growth and customer acquisition</w:t>
      </w:r>
      <w:r w:rsidDel="00000000" w:rsidR="00000000" w:rsidRPr="00000000">
        <w:rPr>
          <w:sz w:val="20"/>
          <w:szCs w:val="20"/>
          <w:rtl w:val="0"/>
        </w:rPr>
        <w:t xml:space="preserve">, keeping the threshold at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0.5 or slightly lower</w:t>
      </w:r>
      <w:r w:rsidDel="00000000" w:rsidR="00000000" w:rsidRPr="00000000">
        <w:rPr>
          <w:sz w:val="20"/>
          <w:szCs w:val="20"/>
          <w:rtl w:val="0"/>
        </w:rPr>
        <w:t xml:space="preserve"> (e.g., 0.45) with the Logistic Regression model is advised to maintain the 98% recall rate.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Alternative:</w:t>
      </w:r>
      <w:r w:rsidDel="00000000" w:rsidR="00000000" w:rsidRPr="00000000">
        <w:rPr>
          <w:sz w:val="20"/>
          <w:szCs w:val="20"/>
          <w:rtl w:val="0"/>
        </w:rPr>
        <w:t xml:space="preserve"> If the bank is in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high-risk environment</w:t>
      </w:r>
      <w:r w:rsidDel="00000000" w:rsidR="00000000" w:rsidRPr="00000000">
        <w:rPr>
          <w:sz w:val="20"/>
          <w:szCs w:val="20"/>
          <w:rtl w:val="0"/>
        </w:rPr>
        <w:t xml:space="preserve"> or economic downturn, deploying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Random Forest</w:t>
      </w:r>
      <w:r w:rsidDel="00000000" w:rsidR="00000000" w:rsidRPr="00000000">
        <w:rPr>
          <w:sz w:val="20"/>
          <w:szCs w:val="20"/>
          <w:rtl w:val="0"/>
        </w:rPr>
        <w:t xml:space="preserve"> model with a slightly higher threshold (e.g.,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0.55 or 0.6</w:t>
      </w:r>
      <w:r w:rsidDel="00000000" w:rsidR="00000000" w:rsidRPr="00000000">
        <w:rPr>
          <w:sz w:val="20"/>
          <w:szCs w:val="20"/>
          <w:rtl w:val="0"/>
        </w:rPr>
        <w:t xml:space="preserve">) would be safer to better catch potential defaults, even at the cost of some approved loan volume.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g0m5f316t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a balanced approach,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Random Forest model</w:t>
      </w:r>
      <w:r w:rsidDel="00000000" w:rsidR="00000000" w:rsidRPr="00000000">
        <w:rPr>
          <w:sz w:val="20"/>
          <w:szCs w:val="20"/>
          <w:rtl w:val="0"/>
        </w:rPr>
        <w:t xml:space="preserve"> is recommended for deployment as it handles non-linear relationships and provides a more robust balance between approving good customers and detecting risky ones. SMOTE (Synthetic Minority Over-sampling Technique) was also utilized in the pipeline to address class imbalance and prevent bias toward the majority class, ensuring the model remains fair during deployment.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ExtraBold">
    <w:embedBold w:fontKey="{00000000-0000-0000-0000-000000000000}" r:id="rId1" w:subsetted="0"/>
    <w:embedBoldItalic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>
        <w:rFonts w:ascii="Merriweather ExtraBold" w:cs="Merriweather ExtraBold" w:eastAsia="Merriweather ExtraBold" w:hAnsi="Merriweather ExtraBold"/>
        <w:color w:val="6d9eeb"/>
        <w:sz w:val="36"/>
        <w:szCs w:val="36"/>
      </w:rPr>
    </w:pPr>
    <w:r w:rsidDel="00000000" w:rsidR="00000000" w:rsidRPr="00000000">
      <w:rPr>
        <w:rFonts w:ascii="Merriweather ExtraBold" w:cs="Merriweather ExtraBold" w:eastAsia="Merriweather ExtraBold" w:hAnsi="Merriweather ExtraBold"/>
        <w:color w:val="6d9eeb"/>
        <w:sz w:val="36"/>
        <w:szCs w:val="36"/>
        <w:rtl w:val="0"/>
      </w:rPr>
      <w:t xml:space="preserve">Predictive Analysis for Loan Approval Decisions</w:t>
    </w:r>
  </w:p>
  <w:p w:rsidR="00000000" w:rsidDel="00000000" w:rsidP="00000000" w:rsidRDefault="00000000" w:rsidRPr="00000000" w14:paraId="00000015">
    <w:pPr>
      <w:rPr>
        <w:rFonts w:ascii="Merriweather ExtraBold" w:cs="Merriweather ExtraBold" w:eastAsia="Merriweather ExtraBold" w:hAnsi="Merriweather ExtraBold"/>
        <w:color w:val="6d9eeb"/>
        <w:sz w:val="36"/>
        <w:szCs w:val="3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rPr>
        <w:rFonts w:ascii="Merriweather ExtraBold" w:cs="Merriweather ExtraBold" w:eastAsia="Merriweather ExtraBold" w:hAnsi="Merriweather ExtraBold"/>
        <w:color w:val="6d9eeb"/>
        <w:sz w:val="36"/>
        <w:szCs w:val="3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ExtraBold-bold.ttf"/><Relationship Id="rId2" Type="http://schemas.openxmlformats.org/officeDocument/2006/relationships/font" Target="fonts/Merriweather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